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253CF" w14:textId="21E732EC" w:rsidR="001E3866" w:rsidRPr="00D56579" w:rsidRDefault="007938EB" w:rsidP="002F131C">
      <w:pPr>
        <w:jc w:val="both"/>
        <w:rPr>
          <w:rFonts w:ascii="Montserrat Medium" w:eastAsia="Times New Roman" w:hAnsi="Montserrat Medium" w:cs="Tahoma"/>
          <w:color w:val="595959"/>
          <w:sz w:val="22"/>
          <w:szCs w:val="22"/>
          <w:lang w:eastAsia="en-US"/>
        </w:rPr>
      </w:pPr>
      <w:r>
        <w:rPr>
          <w:rFonts w:ascii="Montserrat Medium" w:eastAsia="Times New Roman" w:hAnsi="Montserrat Medium" w:cs="Tahoma"/>
          <w:color w:val="595959"/>
          <w:sz w:val="22"/>
          <w:szCs w:val="22"/>
          <w:lang w:eastAsia="en-US"/>
        </w:rPr>
        <w:t>D</w:t>
      </w:r>
      <w:r w:rsidR="001E3866" w:rsidRPr="00D56579">
        <w:rPr>
          <w:rFonts w:ascii="Montserrat Medium" w:eastAsia="Times New Roman" w:hAnsi="Montserrat Medium" w:cs="Tahoma"/>
          <w:color w:val="595959"/>
          <w:sz w:val="22"/>
          <w:szCs w:val="22"/>
          <w:lang w:eastAsia="en-US"/>
        </w:rPr>
        <w:t xml:space="preserve">e conformidad al artículo 46, fracción I, inciso </w:t>
      </w:r>
      <w:r w:rsidR="008F756C" w:rsidRPr="00D56579">
        <w:rPr>
          <w:rFonts w:ascii="Montserrat Medium" w:eastAsia="Times New Roman" w:hAnsi="Montserrat Medium" w:cs="Tahoma"/>
          <w:color w:val="595959"/>
          <w:sz w:val="22"/>
          <w:szCs w:val="22"/>
          <w:lang w:eastAsia="en-US"/>
        </w:rPr>
        <w:t>g</w:t>
      </w:r>
      <w:r w:rsidR="001E3866" w:rsidRPr="00D56579">
        <w:rPr>
          <w:rFonts w:ascii="Montserrat Medium" w:eastAsia="Times New Roman" w:hAnsi="Montserrat Medium" w:cs="Tahoma"/>
          <w:color w:val="595959"/>
          <w:sz w:val="22"/>
          <w:szCs w:val="22"/>
          <w:lang w:eastAsia="en-US"/>
        </w:rPr>
        <w:t xml:space="preserve">) y 49 de la Ley General de Contabilidad Gubernamental (LGCG), así como a la normatividad emitida por el Consejo Nacional de Armonización Contable (CONAC), primordialmente en el capítulo VII de los Estados e Informes Contables, Presupuestarios, Programáticos y de los Indicadores de Postura Fiscal, del Manual de Contabilidad Gubernamental, se presentan las notas a los estados financieros </w:t>
      </w:r>
      <w:r w:rsidR="004A69CC" w:rsidRPr="00D56579">
        <w:rPr>
          <w:rFonts w:ascii="Montserrat Medium" w:eastAsia="Times New Roman" w:hAnsi="Montserrat Medium" w:cs="Tahoma"/>
          <w:color w:val="595959"/>
          <w:sz w:val="22"/>
          <w:szCs w:val="22"/>
          <w:lang w:eastAsia="en-US"/>
        </w:rPr>
        <w:t>a</w:t>
      </w:r>
      <w:r w:rsidR="00A4586C" w:rsidRPr="00D56579">
        <w:rPr>
          <w:rFonts w:ascii="Montserrat Medium" w:eastAsia="Times New Roman" w:hAnsi="Montserrat Medium" w:cs="Tahoma"/>
          <w:color w:val="595959"/>
          <w:sz w:val="22"/>
          <w:szCs w:val="22"/>
          <w:lang w:eastAsia="en-US"/>
        </w:rPr>
        <w:t xml:space="preserve">l </w:t>
      </w:r>
      <w:r w:rsidR="00DC7C6F">
        <w:rPr>
          <w:rFonts w:ascii="Montserrat Medium" w:eastAsia="Times New Roman" w:hAnsi="Montserrat Medium" w:cs="Tahoma"/>
          <w:color w:val="595959"/>
          <w:sz w:val="22"/>
          <w:szCs w:val="22"/>
          <w:lang w:eastAsia="en-US"/>
        </w:rPr>
        <w:t>30</w:t>
      </w:r>
      <w:r w:rsidR="00A4586C" w:rsidRPr="00D56579">
        <w:rPr>
          <w:rFonts w:ascii="Montserrat Medium" w:eastAsia="Times New Roman" w:hAnsi="Montserrat Medium" w:cs="Tahoma"/>
          <w:color w:val="595959"/>
          <w:sz w:val="22"/>
          <w:szCs w:val="22"/>
          <w:lang w:eastAsia="en-US"/>
        </w:rPr>
        <w:t xml:space="preserve"> de </w:t>
      </w:r>
      <w:r w:rsidR="00DC7C6F">
        <w:rPr>
          <w:rFonts w:ascii="Montserrat Medium" w:eastAsia="Times New Roman" w:hAnsi="Montserrat Medium" w:cs="Tahoma"/>
          <w:color w:val="595959"/>
          <w:sz w:val="22"/>
          <w:szCs w:val="22"/>
          <w:lang w:eastAsia="en-US"/>
        </w:rPr>
        <w:t>junio</w:t>
      </w:r>
      <w:r w:rsidR="00802500" w:rsidRPr="00D56579">
        <w:rPr>
          <w:rFonts w:ascii="Montserrat Medium" w:eastAsia="Times New Roman" w:hAnsi="Montserrat Medium" w:cs="Tahoma"/>
          <w:color w:val="595959"/>
          <w:sz w:val="22"/>
          <w:szCs w:val="22"/>
          <w:lang w:eastAsia="en-US"/>
        </w:rPr>
        <w:t xml:space="preserve"> de 202</w:t>
      </w:r>
      <w:r w:rsidR="00DC7C6F">
        <w:rPr>
          <w:rFonts w:ascii="Montserrat Medium" w:eastAsia="Times New Roman" w:hAnsi="Montserrat Medium" w:cs="Tahoma"/>
          <w:color w:val="595959"/>
          <w:sz w:val="22"/>
          <w:szCs w:val="22"/>
          <w:lang w:eastAsia="en-US"/>
        </w:rPr>
        <w:t>5</w:t>
      </w:r>
      <w:r w:rsidR="001E3866" w:rsidRPr="00D56579">
        <w:rPr>
          <w:rFonts w:ascii="Montserrat Medium" w:eastAsia="Times New Roman" w:hAnsi="Montserrat Medium" w:cs="Tahoma"/>
          <w:color w:val="595959"/>
          <w:sz w:val="22"/>
          <w:szCs w:val="22"/>
          <w:lang w:eastAsia="en-US"/>
        </w:rPr>
        <w:t>, con los siguientes apartados:</w:t>
      </w:r>
      <w:r w:rsidR="00D77155" w:rsidRPr="00D56579">
        <w:rPr>
          <w:rFonts w:ascii="Montserrat Medium" w:eastAsia="Times New Roman" w:hAnsi="Montserrat Medium" w:cs="Tahoma"/>
          <w:color w:val="595959"/>
          <w:sz w:val="22"/>
          <w:szCs w:val="22"/>
          <w:lang w:eastAsia="en-US"/>
        </w:rPr>
        <w:t xml:space="preserve"> </w:t>
      </w:r>
    </w:p>
    <w:p w14:paraId="0F35FE19" w14:textId="77777777" w:rsidR="003C7FBB" w:rsidRPr="00D56579" w:rsidRDefault="003C7FBB" w:rsidP="002F131C">
      <w:pPr>
        <w:jc w:val="both"/>
        <w:rPr>
          <w:rFonts w:ascii="Montserrat Medium" w:eastAsia="Times New Roman" w:hAnsi="Montserrat Medium" w:cs="Tahoma"/>
          <w:b/>
          <w:sz w:val="22"/>
          <w:szCs w:val="22"/>
          <w:lang w:eastAsia="en-US"/>
        </w:rPr>
      </w:pPr>
    </w:p>
    <w:p w14:paraId="2561CD04" w14:textId="77777777" w:rsidR="001E3866" w:rsidRPr="00D56579" w:rsidRDefault="001E3866" w:rsidP="002F131C">
      <w:pPr>
        <w:numPr>
          <w:ilvl w:val="0"/>
          <w:numId w:val="24"/>
        </w:numPr>
        <w:contextualSpacing/>
        <w:jc w:val="both"/>
        <w:rPr>
          <w:rFonts w:ascii="Montserrat Medium" w:eastAsia="Times New Roman" w:hAnsi="Montserrat Medium"/>
          <w:b/>
          <w:color w:val="595959"/>
          <w:sz w:val="22"/>
          <w:szCs w:val="22"/>
        </w:rPr>
      </w:pPr>
      <w:r w:rsidRPr="00D56579">
        <w:rPr>
          <w:rFonts w:ascii="Montserrat Medium" w:eastAsia="Times New Roman" w:hAnsi="Montserrat Medium"/>
          <w:b/>
          <w:color w:val="595959"/>
          <w:sz w:val="22"/>
          <w:szCs w:val="22"/>
        </w:rPr>
        <w:t xml:space="preserve">Notas de </w:t>
      </w:r>
      <w:r w:rsidR="008257FE" w:rsidRPr="00D56579">
        <w:rPr>
          <w:rFonts w:ascii="Montserrat Medium" w:eastAsia="Times New Roman" w:hAnsi="Montserrat Medium"/>
          <w:b/>
          <w:color w:val="595959"/>
          <w:sz w:val="22"/>
          <w:szCs w:val="22"/>
        </w:rPr>
        <w:t xml:space="preserve">Gestión Administrativa </w:t>
      </w:r>
      <w:r w:rsidR="002569FF" w:rsidRPr="00D56579">
        <w:rPr>
          <w:rFonts w:ascii="Montserrat Medium" w:eastAsia="Times New Roman" w:hAnsi="Montserrat Medium"/>
          <w:b/>
          <w:color w:val="595959"/>
          <w:sz w:val="22"/>
          <w:szCs w:val="22"/>
        </w:rPr>
        <w:t xml:space="preserve">    </w:t>
      </w:r>
    </w:p>
    <w:p w14:paraId="3402D451" w14:textId="77777777" w:rsidR="001E3866" w:rsidRPr="00D56579" w:rsidRDefault="001E3866" w:rsidP="002F131C">
      <w:pPr>
        <w:numPr>
          <w:ilvl w:val="0"/>
          <w:numId w:val="24"/>
        </w:numPr>
        <w:contextualSpacing/>
        <w:jc w:val="both"/>
        <w:rPr>
          <w:rFonts w:ascii="Montserrat Medium" w:eastAsia="Times New Roman" w:hAnsi="Montserrat Medium"/>
          <w:b/>
          <w:color w:val="595959"/>
          <w:sz w:val="22"/>
          <w:szCs w:val="22"/>
        </w:rPr>
      </w:pPr>
      <w:r w:rsidRPr="00D56579">
        <w:rPr>
          <w:rFonts w:ascii="Montserrat Medium" w:eastAsia="Times New Roman" w:hAnsi="Montserrat Medium"/>
          <w:b/>
          <w:color w:val="595959"/>
          <w:sz w:val="22"/>
          <w:szCs w:val="22"/>
        </w:rPr>
        <w:t xml:space="preserve">Notas de </w:t>
      </w:r>
      <w:r w:rsidR="008257FE" w:rsidRPr="00D56579">
        <w:rPr>
          <w:rFonts w:ascii="Montserrat Medium" w:eastAsia="Times New Roman" w:hAnsi="Montserrat Medium"/>
          <w:b/>
          <w:color w:val="595959"/>
          <w:sz w:val="22"/>
          <w:szCs w:val="22"/>
        </w:rPr>
        <w:t xml:space="preserve">Desglose </w:t>
      </w:r>
    </w:p>
    <w:p w14:paraId="6B97F44D" w14:textId="77777777" w:rsidR="001B27E6" w:rsidRPr="00D56579" w:rsidRDefault="001E3866" w:rsidP="002F131C">
      <w:pPr>
        <w:numPr>
          <w:ilvl w:val="0"/>
          <w:numId w:val="24"/>
        </w:numPr>
        <w:contextualSpacing/>
        <w:jc w:val="both"/>
        <w:rPr>
          <w:rFonts w:ascii="Montserrat Medium" w:eastAsia="Times New Roman" w:hAnsi="Montserrat Medium"/>
          <w:b/>
          <w:color w:val="595959"/>
          <w:sz w:val="22"/>
          <w:szCs w:val="22"/>
        </w:rPr>
      </w:pPr>
      <w:r w:rsidRPr="00D56579">
        <w:rPr>
          <w:rFonts w:ascii="Montserrat Medium" w:eastAsia="Times New Roman" w:hAnsi="Montserrat Medium"/>
          <w:b/>
          <w:color w:val="595959"/>
          <w:sz w:val="22"/>
          <w:szCs w:val="22"/>
        </w:rPr>
        <w:t xml:space="preserve">Notas de </w:t>
      </w:r>
      <w:r w:rsidR="008257FE" w:rsidRPr="00D56579">
        <w:rPr>
          <w:rFonts w:ascii="Montserrat Medium" w:eastAsia="Times New Roman" w:hAnsi="Montserrat Medium"/>
          <w:b/>
          <w:color w:val="595959"/>
          <w:sz w:val="22"/>
          <w:szCs w:val="22"/>
        </w:rPr>
        <w:t>Memoria</w:t>
      </w:r>
      <w:r w:rsidR="00845034" w:rsidRPr="00D56579">
        <w:rPr>
          <w:rFonts w:ascii="Montserrat Medium" w:eastAsia="Times New Roman" w:hAnsi="Montserrat Medium"/>
          <w:b/>
          <w:color w:val="595959"/>
          <w:sz w:val="22"/>
          <w:szCs w:val="22"/>
        </w:rPr>
        <w:t xml:space="preserve"> (cuentas de orden)</w:t>
      </w:r>
    </w:p>
    <w:p w14:paraId="3F8415C0" w14:textId="77777777" w:rsidR="001E3866" w:rsidRPr="00D56579" w:rsidRDefault="001E3866" w:rsidP="002F131C">
      <w:pPr>
        <w:ind w:left="927"/>
        <w:contextualSpacing/>
        <w:jc w:val="both"/>
        <w:rPr>
          <w:rFonts w:ascii="Montserrat Medium" w:eastAsia="Times New Roman" w:hAnsi="Montserrat Medium"/>
          <w:b/>
          <w:color w:val="595959"/>
          <w:sz w:val="22"/>
          <w:szCs w:val="22"/>
        </w:rPr>
      </w:pPr>
    </w:p>
    <w:p w14:paraId="49433041" w14:textId="77777777" w:rsidR="008257FE" w:rsidRPr="00D56579" w:rsidRDefault="003F0DC7" w:rsidP="002F131C">
      <w:pPr>
        <w:jc w:val="center"/>
        <w:rPr>
          <w:rFonts w:ascii="Montserrat Medium" w:eastAsia="Times New Roman" w:hAnsi="Montserrat Medium" w:cs="Tahoma"/>
          <w:b/>
          <w:color w:val="595959"/>
          <w:sz w:val="22"/>
          <w:szCs w:val="22"/>
          <w:lang w:eastAsia="en-US"/>
        </w:rPr>
      </w:pPr>
      <w:r w:rsidRPr="00D56579">
        <w:rPr>
          <w:rFonts w:ascii="Montserrat Medium" w:eastAsia="Times New Roman" w:hAnsi="Montserrat Medium" w:cs="Tahoma"/>
          <w:b/>
          <w:color w:val="595959"/>
          <w:sz w:val="22"/>
          <w:szCs w:val="22"/>
          <w:lang w:eastAsia="en-US"/>
        </w:rPr>
        <w:t>a)</w:t>
      </w:r>
      <w:r w:rsidR="008257FE" w:rsidRPr="00D56579">
        <w:rPr>
          <w:rFonts w:ascii="Montserrat Medium" w:eastAsia="Times New Roman" w:hAnsi="Montserrat Medium" w:cs="Tahoma"/>
          <w:b/>
          <w:color w:val="595959"/>
          <w:sz w:val="22"/>
          <w:szCs w:val="22"/>
          <w:lang w:eastAsia="en-US"/>
        </w:rPr>
        <w:t xml:space="preserve"> NOTAS DE GESTIÓN ADMINISTRATIVA</w:t>
      </w:r>
    </w:p>
    <w:p w14:paraId="319F0EB9" w14:textId="77777777" w:rsidR="008257FE" w:rsidRPr="00D56579" w:rsidRDefault="008257FE" w:rsidP="002F131C">
      <w:pPr>
        <w:keepNext/>
        <w:keepLines/>
        <w:ind w:left="1296" w:hanging="1296"/>
        <w:jc w:val="both"/>
        <w:outlineLvl w:val="6"/>
        <w:rPr>
          <w:rFonts w:ascii="Montserrat Medium" w:eastAsia="Times New Roman" w:hAnsi="Montserrat Medium" w:cs="Arial"/>
          <w:b/>
          <w:i/>
          <w:iCs/>
          <w:color w:val="595959"/>
          <w:sz w:val="22"/>
          <w:szCs w:val="22"/>
        </w:rPr>
      </w:pPr>
    </w:p>
    <w:p w14:paraId="3E049245" w14:textId="77777777" w:rsidR="008257FE" w:rsidRPr="00D56579" w:rsidRDefault="008257FE" w:rsidP="002F131C">
      <w:pPr>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 xml:space="preserve">En las notas de Gestión Administrativa se muestra la información del contexto y de los aspectos económico-financieros más importantes que influyeron en las decisiones del </w:t>
      </w:r>
      <w:r w:rsidR="004B18E1" w:rsidRPr="00D56579">
        <w:rPr>
          <w:rFonts w:ascii="Montserrat Medium" w:eastAsia="Times New Roman" w:hAnsi="Montserrat Medium" w:cs="Tahoma"/>
          <w:color w:val="595959"/>
          <w:sz w:val="22"/>
          <w:szCs w:val="22"/>
          <w:lang w:eastAsia="en-US"/>
        </w:rPr>
        <w:t>periodo</w:t>
      </w:r>
      <w:r w:rsidRPr="00D56579">
        <w:rPr>
          <w:rFonts w:ascii="Montserrat Medium" w:eastAsia="Times New Roman" w:hAnsi="Montserrat Medium" w:cs="Tahoma"/>
          <w:color w:val="595959"/>
          <w:sz w:val="22"/>
          <w:szCs w:val="22"/>
          <w:lang w:eastAsia="en-US"/>
        </w:rPr>
        <w:t xml:space="preserve"> que se informa, y que deberán ser considerados en </w:t>
      </w:r>
      <w:r w:rsidR="004B18E1" w:rsidRPr="00D56579">
        <w:rPr>
          <w:rFonts w:ascii="Montserrat Medium" w:eastAsia="Times New Roman" w:hAnsi="Montserrat Medium" w:cs="Tahoma"/>
          <w:color w:val="595959"/>
          <w:sz w:val="22"/>
          <w:szCs w:val="22"/>
          <w:lang w:eastAsia="en-US"/>
        </w:rPr>
        <w:t>la elaboración</w:t>
      </w:r>
      <w:r w:rsidRPr="00D56579">
        <w:rPr>
          <w:rFonts w:ascii="Montserrat Medium" w:eastAsia="Times New Roman" w:hAnsi="Montserrat Medium" w:cs="Tahoma"/>
          <w:color w:val="595959"/>
          <w:sz w:val="22"/>
          <w:szCs w:val="22"/>
          <w:lang w:eastAsia="en-US"/>
        </w:rPr>
        <w:t xml:space="preserve"> de los Estados Financieros para la mayor comprensión de los mismos y sus particularidades.</w:t>
      </w:r>
    </w:p>
    <w:p w14:paraId="506C2A58" w14:textId="77777777" w:rsidR="000A093C" w:rsidRPr="00D56579" w:rsidRDefault="000A093C" w:rsidP="002F131C">
      <w:pPr>
        <w:keepNext/>
        <w:keepLines/>
        <w:jc w:val="both"/>
        <w:outlineLvl w:val="6"/>
        <w:rPr>
          <w:rFonts w:ascii="Montserrat Medium" w:eastAsia="Times New Roman" w:hAnsi="Montserrat Medium" w:cs="Arial"/>
          <w:b/>
          <w:i/>
          <w:iCs/>
          <w:color w:val="595959"/>
          <w:sz w:val="22"/>
          <w:szCs w:val="22"/>
        </w:rPr>
      </w:pPr>
    </w:p>
    <w:p w14:paraId="60A16488" w14:textId="77777777" w:rsidR="008257FE" w:rsidRPr="00D56579" w:rsidRDefault="008257FE" w:rsidP="002F131C">
      <w:pPr>
        <w:jc w:val="both"/>
        <w:rPr>
          <w:rFonts w:ascii="Montserrat Medium" w:eastAsia="Times New Roman" w:hAnsi="Montserrat Medium" w:cs="Tahoma"/>
          <w:color w:val="595959"/>
          <w:sz w:val="22"/>
          <w:szCs w:val="22"/>
          <w:lang w:val="es-MX" w:eastAsia="en-US"/>
        </w:rPr>
      </w:pPr>
      <w:r w:rsidRPr="00D56579">
        <w:rPr>
          <w:rFonts w:ascii="Montserrat Medium" w:eastAsia="Times New Roman" w:hAnsi="Montserrat Medium" w:cs="Tahoma"/>
          <w:color w:val="595959"/>
          <w:sz w:val="22"/>
          <w:szCs w:val="22"/>
          <w:lang w:val="es-MX" w:eastAsia="en-US"/>
        </w:rPr>
        <w:t>Los Estados Financieros del Poder Ejecutivo del Gobierno del Estado de Quintana Roo, muestran los datos que resultan de los registros contables de las operaciones presupuestales derivadas de la recaudación de los ingresos; el ejercicio del presupuesto de egresos aprobado; la amortización de la Deuda Pública; así como otros registros no presupuestales.</w:t>
      </w:r>
    </w:p>
    <w:p w14:paraId="2A9AAB32" w14:textId="77777777" w:rsidR="008257FE" w:rsidRPr="00D56579" w:rsidRDefault="008257FE" w:rsidP="002F131C">
      <w:pPr>
        <w:keepNext/>
        <w:keepLines/>
        <w:ind w:left="1296" w:hanging="1296"/>
        <w:jc w:val="both"/>
        <w:outlineLvl w:val="6"/>
        <w:rPr>
          <w:rFonts w:ascii="Montserrat Medium" w:eastAsia="Times New Roman" w:hAnsi="Montserrat Medium" w:cs="Arial"/>
          <w:b/>
          <w:i/>
          <w:iCs/>
          <w:color w:val="595959"/>
          <w:sz w:val="22"/>
          <w:szCs w:val="22"/>
        </w:rPr>
      </w:pPr>
    </w:p>
    <w:p w14:paraId="0AA66553" w14:textId="77777777" w:rsidR="000A093C" w:rsidRPr="00D56579" w:rsidRDefault="003F0DC7" w:rsidP="002F131C">
      <w:pPr>
        <w:keepNext/>
        <w:keepLines/>
        <w:jc w:val="both"/>
        <w:outlineLvl w:val="6"/>
        <w:rPr>
          <w:rFonts w:ascii="Montserrat Medium" w:eastAsia="Times New Roman" w:hAnsi="Montserrat Medium" w:cs="Arial"/>
          <w:b/>
          <w:i/>
          <w:iCs/>
          <w:color w:val="FF0000"/>
          <w:sz w:val="22"/>
          <w:szCs w:val="22"/>
        </w:rPr>
      </w:pPr>
      <w:r w:rsidRPr="00D56579">
        <w:rPr>
          <w:rFonts w:ascii="Montserrat Medium" w:eastAsia="Times New Roman" w:hAnsi="Montserrat Medium" w:cs="Arial"/>
          <w:b/>
          <w:i/>
          <w:iCs/>
          <w:color w:val="595959"/>
          <w:sz w:val="22"/>
          <w:szCs w:val="22"/>
        </w:rPr>
        <w:t xml:space="preserve">1. </w:t>
      </w:r>
      <w:r w:rsidR="000A093C" w:rsidRPr="00D56579">
        <w:rPr>
          <w:rFonts w:ascii="Montserrat Medium" w:eastAsia="Times New Roman" w:hAnsi="Montserrat Medium" w:cs="Arial"/>
          <w:b/>
          <w:i/>
          <w:iCs/>
          <w:color w:val="595959"/>
          <w:sz w:val="22"/>
          <w:szCs w:val="22"/>
        </w:rPr>
        <w:t>Autorización e Historia</w:t>
      </w:r>
      <w:r w:rsidR="00223CE3" w:rsidRPr="00D56579">
        <w:rPr>
          <w:rFonts w:ascii="Montserrat Medium" w:eastAsia="Times New Roman" w:hAnsi="Montserrat Medium" w:cs="Arial"/>
          <w:b/>
          <w:i/>
          <w:iCs/>
          <w:color w:val="595959"/>
          <w:sz w:val="22"/>
          <w:szCs w:val="22"/>
        </w:rPr>
        <w:t xml:space="preserve"> </w:t>
      </w:r>
    </w:p>
    <w:p w14:paraId="49871FF8" w14:textId="77777777" w:rsidR="0016062E" w:rsidRPr="00D56579" w:rsidRDefault="0016062E" w:rsidP="002F131C">
      <w:pPr>
        <w:spacing w:before="100" w:beforeAutospacing="1" w:after="100" w:afterAutospacing="1"/>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a) Fecha de creación del ente público</w:t>
      </w:r>
    </w:p>
    <w:p w14:paraId="2C89D18F" w14:textId="2579442A" w:rsidR="000A093C" w:rsidRPr="00D56579" w:rsidRDefault="000A093C" w:rsidP="002F131C">
      <w:pPr>
        <w:spacing w:before="100" w:beforeAutospacing="1" w:after="100" w:afterAutospacing="1"/>
        <w:ind w:left="708" w:hanging="708"/>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 xml:space="preserve">La historia de Quintana Roo, inicia en 1902 cuando se crea el Territorio Federal de Quintana Roo. La construcción de la carretera Chetumal-Escárcega, la pavimentación de la carretera Puerto Juárez-Playa del Carmen y la terracería del camino Felipe Carrillo Puerto-Tulum (1970). La orientación económica de la entidad daría un giro de 180 grados, al iniciar en Quintana Roo la industria turística. En 1972, el presidente Luis Echeverría Álvarez, emitió un acuerdo presidencial que otorgó para todo el Territorio la condición de zona libre durante los siguientes ocho años. Al fin Quintana Roo reunía las condiciones necesarias establecidas en el artículo 73 de la Constitución el cual dispone, que para dejar su condición de Territorio, debía contar con una población mínima de 80 mil habitantes, ingresos propios suficientes para cubrir los gastos de administración pública, así como la existencia de infraestructura agrícola, industrial, comercial y educativa, entre otras. El 2 de septiembre de 1974 Echeverría envío al Congreso de la Unión una iniciativa de ley para que Quintana Roo y Baja California Sur fueran </w:t>
      </w:r>
      <w:proofErr w:type="gramStart"/>
      <w:r w:rsidRPr="00D56579">
        <w:rPr>
          <w:rFonts w:ascii="Montserrat Medium" w:eastAsia="Times New Roman" w:hAnsi="Montserrat Medium" w:cs="Tahoma"/>
          <w:color w:val="595959"/>
          <w:sz w:val="22"/>
          <w:szCs w:val="22"/>
          <w:lang w:eastAsia="en-US"/>
        </w:rPr>
        <w:t>elevados</w:t>
      </w:r>
      <w:proofErr w:type="gramEnd"/>
      <w:r w:rsidRPr="00D56579">
        <w:rPr>
          <w:rFonts w:ascii="Montserrat Medium" w:eastAsia="Times New Roman" w:hAnsi="Montserrat Medium" w:cs="Tahoma"/>
          <w:color w:val="595959"/>
          <w:sz w:val="22"/>
          <w:szCs w:val="22"/>
          <w:lang w:eastAsia="en-US"/>
        </w:rPr>
        <w:t xml:space="preserve"> a la categoría de estados. Tras la aprobación de las legislaturas estatales, el 8 de octubre de 1974 Quintana</w:t>
      </w:r>
      <w:r w:rsidR="00DB4196">
        <w:rPr>
          <w:rFonts w:ascii="Montserrat Medium" w:eastAsia="Times New Roman" w:hAnsi="Montserrat Medium" w:cs="Tahoma"/>
          <w:color w:val="595959"/>
          <w:sz w:val="22"/>
          <w:szCs w:val="22"/>
          <w:lang w:eastAsia="en-US"/>
        </w:rPr>
        <w:t xml:space="preserve"> </w:t>
      </w:r>
      <w:r w:rsidRPr="00D56579">
        <w:rPr>
          <w:rFonts w:ascii="Montserrat Medium" w:eastAsia="Times New Roman" w:hAnsi="Montserrat Medium" w:cs="Tahoma"/>
          <w:color w:val="595959"/>
          <w:sz w:val="22"/>
          <w:szCs w:val="22"/>
          <w:lang w:eastAsia="en-US"/>
        </w:rPr>
        <w:t>Roo nació como Estado Libre y Soberano con los mismos límites y extensión que se le había otorgado en 1902.</w:t>
      </w:r>
    </w:p>
    <w:p w14:paraId="1D6F492F" w14:textId="77777777" w:rsidR="00D81B5E" w:rsidRPr="00D56579" w:rsidRDefault="00D81B5E" w:rsidP="002F131C">
      <w:pPr>
        <w:spacing w:before="100" w:beforeAutospacing="1" w:after="100" w:afterAutospacing="1"/>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lastRenderedPageBreak/>
        <w:t>b) Principales cambios en su estructura</w:t>
      </w:r>
    </w:p>
    <w:p w14:paraId="515754A2" w14:textId="77777777" w:rsidR="00D81B5E" w:rsidRPr="00D56579" w:rsidRDefault="00D81B5E" w:rsidP="002F131C">
      <w:pPr>
        <w:spacing w:before="100" w:beforeAutospacing="1" w:after="100" w:afterAutospacing="1"/>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A la fecha de presentación de las notas a los estados financieros, no existen cambios en la estructura del Poder Ejecutivo.</w:t>
      </w:r>
    </w:p>
    <w:p w14:paraId="72AD490F" w14:textId="77777777" w:rsidR="009F2FB2" w:rsidRPr="002F35EE" w:rsidRDefault="009F2FB2" w:rsidP="002F131C">
      <w:pPr>
        <w:keepNext/>
        <w:keepLines/>
        <w:jc w:val="both"/>
        <w:outlineLvl w:val="6"/>
        <w:rPr>
          <w:rFonts w:ascii="Montserrat Medium" w:eastAsia="Times New Roman" w:hAnsi="Montserrat Medium" w:cs="Arial"/>
          <w:b/>
          <w:i/>
          <w:iCs/>
          <w:color w:val="595959"/>
          <w:sz w:val="22"/>
          <w:szCs w:val="22"/>
        </w:rPr>
      </w:pPr>
      <w:r w:rsidRPr="002F35EE">
        <w:rPr>
          <w:rFonts w:ascii="Montserrat Medium" w:eastAsia="Times New Roman" w:hAnsi="Montserrat Medium" w:cs="Arial"/>
          <w:b/>
          <w:i/>
          <w:iCs/>
          <w:color w:val="595959"/>
          <w:sz w:val="22"/>
          <w:szCs w:val="22"/>
        </w:rPr>
        <w:t xml:space="preserve">2. Panorama Económico y Financiero </w:t>
      </w:r>
    </w:p>
    <w:p w14:paraId="1E56AC69" w14:textId="77777777" w:rsidR="00D81B5E" w:rsidRPr="002F35EE" w:rsidRDefault="00D81B5E" w:rsidP="002F131C">
      <w:pPr>
        <w:keepNext/>
        <w:keepLines/>
        <w:jc w:val="both"/>
        <w:outlineLvl w:val="6"/>
        <w:rPr>
          <w:rFonts w:ascii="Montserrat Medium" w:eastAsia="Times New Roman" w:hAnsi="Montserrat Medium" w:cs="Arial"/>
          <w:b/>
          <w:i/>
          <w:iCs/>
          <w:color w:val="595959"/>
          <w:sz w:val="22"/>
          <w:szCs w:val="22"/>
        </w:rPr>
      </w:pPr>
    </w:p>
    <w:p w14:paraId="33DDC716" w14:textId="04BE37A4" w:rsidR="00BB4105" w:rsidRPr="002F35EE" w:rsidRDefault="00BB4105" w:rsidP="002F131C">
      <w:pPr>
        <w:pStyle w:val="Prrafodelista"/>
        <w:keepNext/>
        <w:keepLines/>
        <w:numPr>
          <w:ilvl w:val="0"/>
          <w:numId w:val="35"/>
        </w:numPr>
        <w:jc w:val="both"/>
        <w:rPr>
          <w:rFonts w:ascii="Montserrat Medium" w:eastAsia="Montserrat Medium" w:hAnsi="Montserrat Medium" w:cs="Montserrat Medium"/>
          <w:b/>
          <w:i/>
          <w:color w:val="595959"/>
          <w:sz w:val="22"/>
          <w:szCs w:val="20"/>
          <w:lang w:val="es-419"/>
        </w:rPr>
      </w:pPr>
      <w:r w:rsidRPr="002F35EE">
        <w:rPr>
          <w:rFonts w:ascii="Montserrat Medium" w:eastAsia="Montserrat Medium" w:hAnsi="Montserrat Medium" w:cs="Montserrat Medium"/>
          <w:b/>
          <w:i/>
          <w:color w:val="595959"/>
          <w:sz w:val="22"/>
          <w:szCs w:val="20"/>
          <w:lang w:val="es-419"/>
        </w:rPr>
        <w:t xml:space="preserve">Crecimiento económico. </w:t>
      </w:r>
    </w:p>
    <w:p w14:paraId="1804A1C1" w14:textId="77777777" w:rsidR="00AF5900" w:rsidRPr="004E5937" w:rsidRDefault="00AF5900" w:rsidP="002F131C">
      <w:pPr>
        <w:pStyle w:val="Prrafodelista"/>
        <w:keepNext/>
        <w:keepLines/>
        <w:ind w:left="358"/>
        <w:jc w:val="both"/>
        <w:rPr>
          <w:rFonts w:ascii="Montserrat Medium" w:eastAsia="Montserrat Medium" w:hAnsi="Montserrat Medium" w:cs="Montserrat Medium"/>
          <w:b/>
          <w:i/>
          <w:color w:val="595959"/>
          <w:sz w:val="22"/>
          <w:szCs w:val="20"/>
          <w:highlight w:val="yellow"/>
          <w:lang w:val="es-419"/>
        </w:rPr>
      </w:pPr>
    </w:p>
    <w:p w14:paraId="36BA0BD5" w14:textId="77777777" w:rsidR="005365AD" w:rsidRDefault="005365AD" w:rsidP="002F131C">
      <w:pPr>
        <w:ind w:hanging="2"/>
        <w:jc w:val="both"/>
        <w:rPr>
          <w:rFonts w:ascii="Montserrat Medium" w:eastAsia="Montserrat Medium" w:hAnsi="Montserrat Medium" w:cs="Montserrat Medium"/>
          <w:color w:val="595959"/>
          <w:sz w:val="20"/>
          <w:szCs w:val="20"/>
        </w:rPr>
      </w:pPr>
      <w:r w:rsidRPr="002F35EE">
        <w:rPr>
          <w:rFonts w:ascii="Montserrat Medium" w:eastAsia="Montserrat Medium" w:hAnsi="Montserrat Medium" w:cs="Montserrat Medium"/>
          <w:color w:val="595959"/>
          <w:sz w:val="20"/>
          <w:szCs w:val="20"/>
        </w:rPr>
        <w:t>La principal variable para analizar el desempeño económico de una entidad es el Producto Interno Bruto Estatal que es uno de los determinantes de la recaudación, principalmente porque la actividad económica determina el ingreso obtenido del Impuesto sobre Nómina y del Impuesto al Hospedaje. Sin embargo, la información de la evolución de este indicador solo se conoce de forma anual y con el atraso de un ejercicio fiscal (el dato de 2023 se publicó en diciembre de 2024, y el dato de 2024 se publicará hasta diciembre de 2025), en ese sentido una variable proxy de corto plazo que nos permite obtener información sobre la dinámica económica es el Indicador Trimestral de la Actividad Económica Estatal (ITAEE).</w:t>
      </w:r>
    </w:p>
    <w:p w14:paraId="21A51FC0" w14:textId="77777777" w:rsidR="002F35EE" w:rsidRPr="002F35EE" w:rsidRDefault="002F35EE" w:rsidP="002F131C">
      <w:pPr>
        <w:ind w:hanging="2"/>
        <w:jc w:val="both"/>
        <w:rPr>
          <w:rFonts w:ascii="Montserrat Medium" w:eastAsia="Montserrat Medium" w:hAnsi="Montserrat Medium" w:cs="Montserrat Medium"/>
          <w:color w:val="595959"/>
          <w:sz w:val="20"/>
          <w:szCs w:val="20"/>
        </w:rPr>
      </w:pPr>
    </w:p>
    <w:p w14:paraId="774C86FB" w14:textId="77777777" w:rsidR="002F35EE" w:rsidRPr="002F35EE" w:rsidRDefault="002F35EE" w:rsidP="002F131C">
      <w:pPr>
        <w:jc w:val="both"/>
        <w:rPr>
          <w:rFonts w:ascii="Montserrat Medium" w:eastAsia="Montserrat Medium" w:hAnsi="Montserrat Medium" w:cs="Montserrat Medium"/>
          <w:color w:val="595959"/>
          <w:sz w:val="20"/>
          <w:szCs w:val="20"/>
        </w:rPr>
      </w:pPr>
      <w:r w:rsidRPr="002F35EE">
        <w:rPr>
          <w:rFonts w:ascii="Montserrat Medium" w:eastAsia="Montserrat Medium" w:hAnsi="Montserrat Medium" w:cs="Montserrat Medium"/>
          <w:color w:val="595959"/>
          <w:sz w:val="20"/>
          <w:szCs w:val="20"/>
        </w:rPr>
        <w:t xml:space="preserve">La cifra preliminar de crecimiento estatal publicada por el INEGI (29-abril-2025) al cierre del cuarto trimestre, señala una contracción de -3.9 % del ITAEE, incluyendo los datos de los impuestos a los productos netos, con esto se proyecta una tasa de crecimiento del PIB del estado de -3.51 % para 2024. Para el año 2025, durante el primer trimestre, se tenía la expectativa de crecimiento de 2.31 % anual, pero tras la revisión de los datos y la publicación del pronóstico a partir del ITAEE, se estima ahora una caída del PIB de -8.39 %. </w:t>
      </w:r>
    </w:p>
    <w:p w14:paraId="4DE33CED" w14:textId="77777777" w:rsidR="002F35EE" w:rsidRPr="002F35EE" w:rsidRDefault="002F35EE" w:rsidP="002F131C">
      <w:pPr>
        <w:jc w:val="both"/>
        <w:rPr>
          <w:rFonts w:ascii="Montserrat Medium" w:eastAsia="Montserrat Medium" w:hAnsi="Montserrat Medium" w:cs="Montserrat Medium"/>
          <w:color w:val="595959"/>
          <w:sz w:val="20"/>
          <w:szCs w:val="20"/>
        </w:rPr>
      </w:pPr>
      <w:r w:rsidRPr="002F35EE">
        <w:rPr>
          <w:rFonts w:ascii="Montserrat Medium" w:eastAsia="Montserrat Medium" w:hAnsi="Montserrat Medium" w:cs="Montserrat Medium"/>
          <w:color w:val="595959"/>
          <w:sz w:val="20"/>
          <w:szCs w:val="20"/>
        </w:rPr>
        <w:t xml:space="preserve"> </w:t>
      </w:r>
    </w:p>
    <w:p w14:paraId="332CB29D" w14:textId="77777777" w:rsidR="002F35EE" w:rsidRPr="002F35EE" w:rsidRDefault="002F35EE" w:rsidP="002F131C">
      <w:pPr>
        <w:ind w:hanging="2"/>
        <w:jc w:val="both"/>
        <w:rPr>
          <w:rFonts w:ascii="Montserrat Medium" w:eastAsia="Montserrat Medium" w:hAnsi="Montserrat Medium" w:cs="Montserrat Medium"/>
          <w:color w:val="595959"/>
          <w:sz w:val="20"/>
          <w:szCs w:val="20"/>
        </w:rPr>
      </w:pPr>
      <w:r w:rsidRPr="002F35EE">
        <w:rPr>
          <w:rFonts w:ascii="Montserrat Medium" w:eastAsia="Montserrat Medium" w:hAnsi="Montserrat Medium" w:cs="Montserrat Medium"/>
          <w:color w:val="595959"/>
          <w:sz w:val="20"/>
          <w:szCs w:val="20"/>
        </w:rPr>
        <w:t>Tabla 1. Expectativas de crecimiento del Producto Interno Bruto en Quintana Roo, 2024-2025</w:t>
      </w:r>
    </w:p>
    <w:tbl>
      <w:tblPr>
        <w:tblW w:w="7843" w:type="dxa"/>
        <w:jc w:val="center"/>
        <w:tblLayout w:type="fixed"/>
        <w:tblLook w:val="0400" w:firstRow="0" w:lastRow="0" w:firstColumn="0" w:lastColumn="0" w:noHBand="0" w:noVBand="1"/>
      </w:tblPr>
      <w:tblGrid>
        <w:gridCol w:w="810"/>
        <w:gridCol w:w="2355"/>
        <w:gridCol w:w="2268"/>
        <w:gridCol w:w="2410"/>
      </w:tblGrid>
      <w:tr w:rsidR="002F35EE" w:rsidRPr="002F35EE" w14:paraId="7BF2DD3C" w14:textId="77777777" w:rsidTr="00DE1E95">
        <w:trPr>
          <w:trHeight w:val="372"/>
          <w:jc w:val="center"/>
        </w:trPr>
        <w:tc>
          <w:tcPr>
            <w:tcW w:w="810" w:type="dxa"/>
            <w:tcBorders>
              <w:top w:val="single" w:sz="8" w:space="0" w:color="000000"/>
              <w:left w:val="nil"/>
              <w:bottom w:val="single" w:sz="8" w:space="0" w:color="000000"/>
              <w:right w:val="nil"/>
            </w:tcBorders>
            <w:vAlign w:val="center"/>
          </w:tcPr>
          <w:p w14:paraId="54CCFECF" w14:textId="77777777" w:rsidR="002F35EE" w:rsidRPr="002F35EE" w:rsidRDefault="002F35EE" w:rsidP="002F131C">
            <w:pPr>
              <w:ind w:hanging="2"/>
              <w:jc w:val="both"/>
              <w:rPr>
                <w:rFonts w:ascii="Montserrat Medium" w:eastAsia="Montserrat Medium" w:hAnsi="Montserrat Medium" w:cs="Montserrat Medium"/>
                <w:b/>
                <w:color w:val="595959"/>
                <w:sz w:val="20"/>
                <w:szCs w:val="20"/>
              </w:rPr>
            </w:pPr>
            <w:r w:rsidRPr="002F35EE">
              <w:rPr>
                <w:rFonts w:ascii="Montserrat Medium" w:eastAsia="Montserrat Medium" w:hAnsi="Montserrat Medium" w:cs="Montserrat Medium"/>
                <w:b/>
                <w:color w:val="595959"/>
                <w:sz w:val="20"/>
                <w:szCs w:val="20"/>
              </w:rPr>
              <w:t>Año</w:t>
            </w:r>
          </w:p>
        </w:tc>
        <w:tc>
          <w:tcPr>
            <w:tcW w:w="2355" w:type="dxa"/>
            <w:tcBorders>
              <w:top w:val="single" w:sz="8" w:space="0" w:color="000000"/>
              <w:left w:val="nil"/>
              <w:bottom w:val="single" w:sz="8" w:space="0" w:color="000000"/>
              <w:right w:val="nil"/>
            </w:tcBorders>
            <w:vAlign w:val="center"/>
          </w:tcPr>
          <w:p w14:paraId="575839DE" w14:textId="77777777" w:rsidR="002F35EE" w:rsidRPr="002F35EE" w:rsidRDefault="002F35EE" w:rsidP="002F131C">
            <w:pPr>
              <w:ind w:hanging="2"/>
              <w:jc w:val="center"/>
              <w:rPr>
                <w:rFonts w:ascii="Montserrat Medium" w:eastAsia="Montserrat Medium" w:hAnsi="Montserrat Medium" w:cs="Montserrat Medium"/>
                <w:b/>
                <w:color w:val="595959"/>
                <w:sz w:val="20"/>
                <w:szCs w:val="20"/>
              </w:rPr>
            </w:pPr>
            <w:r w:rsidRPr="002F35EE">
              <w:rPr>
                <w:rFonts w:ascii="Montserrat Medium" w:eastAsia="Montserrat Medium" w:hAnsi="Montserrat Medium" w:cs="Montserrat Medium"/>
                <w:b/>
                <w:color w:val="595959"/>
                <w:sz w:val="20"/>
                <w:szCs w:val="20"/>
              </w:rPr>
              <w:t>4to trimestre de 2024</w:t>
            </w:r>
          </w:p>
        </w:tc>
        <w:tc>
          <w:tcPr>
            <w:tcW w:w="2268" w:type="dxa"/>
            <w:tcBorders>
              <w:top w:val="single" w:sz="8" w:space="0" w:color="000000"/>
              <w:left w:val="nil"/>
              <w:bottom w:val="single" w:sz="8" w:space="0" w:color="000000"/>
              <w:right w:val="nil"/>
            </w:tcBorders>
            <w:vAlign w:val="center"/>
          </w:tcPr>
          <w:p w14:paraId="6EB0DE59" w14:textId="77777777" w:rsidR="002F35EE" w:rsidRPr="002F35EE" w:rsidRDefault="002F35EE" w:rsidP="002F131C">
            <w:pPr>
              <w:ind w:hanging="2"/>
              <w:jc w:val="center"/>
              <w:rPr>
                <w:rFonts w:ascii="Montserrat Medium" w:eastAsia="Montserrat Medium" w:hAnsi="Montserrat Medium" w:cs="Montserrat Medium"/>
                <w:b/>
                <w:color w:val="595959"/>
                <w:sz w:val="20"/>
                <w:szCs w:val="20"/>
              </w:rPr>
            </w:pPr>
            <w:r w:rsidRPr="002F35EE">
              <w:rPr>
                <w:rFonts w:ascii="Montserrat Medium" w:eastAsia="Montserrat Medium" w:hAnsi="Montserrat Medium" w:cs="Montserrat Medium"/>
                <w:b/>
                <w:color w:val="595959"/>
                <w:sz w:val="20"/>
                <w:szCs w:val="20"/>
              </w:rPr>
              <w:t>1er trimestre de 2025</w:t>
            </w:r>
          </w:p>
        </w:tc>
        <w:tc>
          <w:tcPr>
            <w:tcW w:w="2410" w:type="dxa"/>
            <w:tcBorders>
              <w:top w:val="single" w:sz="8" w:space="0" w:color="000000"/>
              <w:left w:val="nil"/>
              <w:bottom w:val="single" w:sz="8" w:space="0" w:color="000000"/>
              <w:right w:val="nil"/>
            </w:tcBorders>
            <w:vAlign w:val="center"/>
          </w:tcPr>
          <w:p w14:paraId="124F0155" w14:textId="02C0E926" w:rsidR="002F35EE" w:rsidRPr="002F35EE" w:rsidRDefault="002F35EE" w:rsidP="002F131C">
            <w:pPr>
              <w:ind w:hanging="2"/>
              <w:jc w:val="center"/>
              <w:rPr>
                <w:rFonts w:ascii="Montserrat Medium" w:eastAsia="Montserrat Medium" w:hAnsi="Montserrat Medium" w:cs="Montserrat Medium"/>
                <w:b/>
                <w:color w:val="595959"/>
                <w:sz w:val="20"/>
                <w:szCs w:val="20"/>
              </w:rPr>
            </w:pPr>
            <w:r w:rsidRPr="002F35EE">
              <w:rPr>
                <w:rFonts w:ascii="Montserrat Medium" w:eastAsia="Montserrat Medium" w:hAnsi="Montserrat Medium" w:cs="Montserrat Medium"/>
                <w:b/>
                <w:color w:val="595959"/>
                <w:sz w:val="20"/>
                <w:szCs w:val="20"/>
              </w:rPr>
              <w:t>2do trimestre de 2025</w:t>
            </w:r>
          </w:p>
        </w:tc>
      </w:tr>
      <w:tr w:rsidR="002F35EE" w:rsidRPr="002F35EE" w14:paraId="1614EED3" w14:textId="77777777" w:rsidTr="00DE1E95">
        <w:trPr>
          <w:trHeight w:val="372"/>
          <w:jc w:val="center"/>
        </w:trPr>
        <w:tc>
          <w:tcPr>
            <w:tcW w:w="810" w:type="dxa"/>
            <w:tcBorders>
              <w:top w:val="nil"/>
              <w:left w:val="nil"/>
              <w:bottom w:val="nil"/>
              <w:right w:val="nil"/>
            </w:tcBorders>
            <w:vAlign w:val="center"/>
          </w:tcPr>
          <w:p w14:paraId="2F1E5251" w14:textId="77777777" w:rsidR="002F35EE" w:rsidRPr="002F35EE" w:rsidRDefault="002F35EE" w:rsidP="002F131C">
            <w:pPr>
              <w:ind w:hanging="2"/>
              <w:jc w:val="both"/>
              <w:rPr>
                <w:rFonts w:ascii="Montserrat Medium" w:eastAsia="Montserrat Medium" w:hAnsi="Montserrat Medium" w:cs="Montserrat Medium"/>
                <w:color w:val="595959"/>
                <w:sz w:val="20"/>
                <w:szCs w:val="20"/>
              </w:rPr>
            </w:pPr>
            <w:r w:rsidRPr="002F35EE">
              <w:rPr>
                <w:rFonts w:ascii="Montserrat Medium" w:eastAsia="Montserrat Medium" w:hAnsi="Montserrat Medium" w:cs="Montserrat Medium"/>
                <w:color w:val="595959"/>
                <w:sz w:val="20"/>
                <w:szCs w:val="20"/>
              </w:rPr>
              <w:t>2024</w:t>
            </w:r>
          </w:p>
        </w:tc>
        <w:tc>
          <w:tcPr>
            <w:tcW w:w="2355" w:type="dxa"/>
            <w:tcBorders>
              <w:top w:val="nil"/>
              <w:left w:val="nil"/>
              <w:bottom w:val="nil"/>
              <w:right w:val="nil"/>
            </w:tcBorders>
            <w:vAlign w:val="center"/>
          </w:tcPr>
          <w:p w14:paraId="3948A94B" w14:textId="77777777" w:rsidR="002F35EE" w:rsidRPr="002F35EE" w:rsidRDefault="002F35EE" w:rsidP="002F131C">
            <w:pPr>
              <w:ind w:hanging="2"/>
              <w:jc w:val="center"/>
              <w:rPr>
                <w:rFonts w:ascii="Montserrat Medium" w:eastAsia="Montserrat Medium" w:hAnsi="Montserrat Medium" w:cs="Montserrat Medium"/>
                <w:color w:val="595959"/>
                <w:sz w:val="20"/>
                <w:szCs w:val="20"/>
              </w:rPr>
            </w:pPr>
            <w:r w:rsidRPr="002F35EE">
              <w:rPr>
                <w:rFonts w:ascii="Montserrat Medium" w:eastAsia="Montserrat Medium" w:hAnsi="Montserrat Medium" w:cs="Montserrat Medium"/>
                <w:color w:val="595959"/>
                <w:sz w:val="20"/>
                <w:szCs w:val="20"/>
              </w:rPr>
              <w:t>2.51 %</w:t>
            </w:r>
          </w:p>
        </w:tc>
        <w:tc>
          <w:tcPr>
            <w:tcW w:w="2268" w:type="dxa"/>
            <w:tcBorders>
              <w:top w:val="nil"/>
              <w:left w:val="nil"/>
              <w:bottom w:val="nil"/>
              <w:right w:val="nil"/>
            </w:tcBorders>
            <w:vAlign w:val="center"/>
          </w:tcPr>
          <w:p w14:paraId="3393811B" w14:textId="77777777" w:rsidR="002F35EE" w:rsidRPr="002F35EE" w:rsidRDefault="002F35EE" w:rsidP="002F131C">
            <w:pPr>
              <w:ind w:hanging="2"/>
              <w:jc w:val="center"/>
              <w:rPr>
                <w:rFonts w:ascii="Montserrat Medium" w:eastAsia="Montserrat Medium" w:hAnsi="Montserrat Medium" w:cs="Montserrat Medium"/>
                <w:color w:val="595959"/>
                <w:sz w:val="20"/>
                <w:szCs w:val="20"/>
              </w:rPr>
            </w:pPr>
            <w:r w:rsidRPr="002F35EE">
              <w:rPr>
                <w:rFonts w:ascii="Montserrat Medium" w:eastAsia="Montserrat Medium" w:hAnsi="Montserrat Medium" w:cs="Montserrat Medium"/>
                <w:color w:val="595959"/>
                <w:sz w:val="20"/>
                <w:szCs w:val="20"/>
              </w:rPr>
              <w:t>-3.15 %</w:t>
            </w:r>
          </w:p>
        </w:tc>
        <w:tc>
          <w:tcPr>
            <w:tcW w:w="2410" w:type="dxa"/>
            <w:tcBorders>
              <w:top w:val="nil"/>
              <w:left w:val="nil"/>
              <w:bottom w:val="nil"/>
              <w:right w:val="nil"/>
            </w:tcBorders>
            <w:vAlign w:val="center"/>
          </w:tcPr>
          <w:p w14:paraId="3CCCC100" w14:textId="77777777" w:rsidR="002F35EE" w:rsidRPr="002F35EE" w:rsidRDefault="002F35EE" w:rsidP="002F131C">
            <w:pPr>
              <w:ind w:hanging="2"/>
              <w:jc w:val="center"/>
              <w:rPr>
                <w:rFonts w:ascii="Montserrat Medium" w:eastAsia="Montserrat Medium" w:hAnsi="Montserrat Medium" w:cs="Montserrat Medium"/>
                <w:color w:val="595959"/>
                <w:sz w:val="20"/>
                <w:szCs w:val="20"/>
              </w:rPr>
            </w:pPr>
            <w:r w:rsidRPr="002F35EE">
              <w:rPr>
                <w:rFonts w:ascii="Montserrat Medium" w:eastAsia="Montserrat Medium" w:hAnsi="Montserrat Medium" w:cs="Montserrat Medium"/>
                <w:color w:val="595959"/>
                <w:sz w:val="20"/>
                <w:szCs w:val="20"/>
              </w:rPr>
              <w:t>-3.51%</w:t>
            </w:r>
          </w:p>
        </w:tc>
      </w:tr>
      <w:tr w:rsidR="002F35EE" w:rsidRPr="002F35EE" w14:paraId="4E7146EE" w14:textId="77777777" w:rsidTr="00DE1E95">
        <w:trPr>
          <w:trHeight w:val="372"/>
          <w:jc w:val="center"/>
        </w:trPr>
        <w:tc>
          <w:tcPr>
            <w:tcW w:w="810" w:type="dxa"/>
            <w:tcBorders>
              <w:top w:val="nil"/>
              <w:left w:val="nil"/>
              <w:bottom w:val="single" w:sz="8" w:space="0" w:color="000000"/>
              <w:right w:val="nil"/>
            </w:tcBorders>
            <w:vAlign w:val="center"/>
          </w:tcPr>
          <w:p w14:paraId="3C1AD59E" w14:textId="77777777" w:rsidR="002F35EE" w:rsidRPr="002F35EE" w:rsidRDefault="002F35EE" w:rsidP="002F131C">
            <w:pPr>
              <w:ind w:hanging="2"/>
              <w:jc w:val="both"/>
              <w:rPr>
                <w:rFonts w:ascii="Montserrat Medium" w:eastAsia="Montserrat Medium" w:hAnsi="Montserrat Medium" w:cs="Montserrat Medium"/>
                <w:color w:val="595959"/>
                <w:sz w:val="20"/>
                <w:szCs w:val="20"/>
              </w:rPr>
            </w:pPr>
            <w:r w:rsidRPr="002F35EE">
              <w:rPr>
                <w:rFonts w:ascii="Montserrat Medium" w:eastAsia="Montserrat Medium" w:hAnsi="Montserrat Medium" w:cs="Montserrat Medium"/>
                <w:color w:val="595959"/>
                <w:sz w:val="20"/>
                <w:szCs w:val="20"/>
              </w:rPr>
              <w:t>2025</w:t>
            </w:r>
          </w:p>
        </w:tc>
        <w:tc>
          <w:tcPr>
            <w:tcW w:w="2355" w:type="dxa"/>
            <w:tcBorders>
              <w:top w:val="nil"/>
              <w:left w:val="nil"/>
              <w:bottom w:val="single" w:sz="8" w:space="0" w:color="000000"/>
              <w:right w:val="nil"/>
            </w:tcBorders>
            <w:vAlign w:val="center"/>
          </w:tcPr>
          <w:p w14:paraId="6C81D461" w14:textId="77777777" w:rsidR="002F35EE" w:rsidRPr="002F35EE" w:rsidRDefault="002F35EE" w:rsidP="002F131C">
            <w:pPr>
              <w:ind w:hanging="2"/>
              <w:jc w:val="center"/>
              <w:rPr>
                <w:rFonts w:ascii="Montserrat Medium" w:eastAsia="Montserrat Medium" w:hAnsi="Montserrat Medium" w:cs="Montserrat Medium"/>
                <w:color w:val="595959"/>
                <w:sz w:val="20"/>
                <w:szCs w:val="20"/>
              </w:rPr>
            </w:pPr>
            <w:r w:rsidRPr="002F35EE">
              <w:rPr>
                <w:rFonts w:ascii="Montserrat Medium" w:eastAsia="Montserrat Medium" w:hAnsi="Montserrat Medium" w:cs="Montserrat Medium"/>
                <w:color w:val="595959"/>
                <w:sz w:val="20"/>
                <w:szCs w:val="20"/>
              </w:rPr>
              <w:t>1.03 %</w:t>
            </w:r>
          </w:p>
        </w:tc>
        <w:tc>
          <w:tcPr>
            <w:tcW w:w="2268" w:type="dxa"/>
            <w:tcBorders>
              <w:top w:val="nil"/>
              <w:left w:val="nil"/>
              <w:bottom w:val="single" w:sz="8" w:space="0" w:color="000000"/>
              <w:right w:val="nil"/>
            </w:tcBorders>
            <w:vAlign w:val="center"/>
          </w:tcPr>
          <w:p w14:paraId="4BBD801A" w14:textId="77777777" w:rsidR="002F35EE" w:rsidRPr="002F35EE" w:rsidRDefault="002F35EE" w:rsidP="002F131C">
            <w:pPr>
              <w:ind w:hanging="2"/>
              <w:jc w:val="center"/>
              <w:rPr>
                <w:rFonts w:ascii="Montserrat Medium" w:eastAsia="Montserrat Medium" w:hAnsi="Montserrat Medium" w:cs="Montserrat Medium"/>
                <w:color w:val="595959"/>
                <w:sz w:val="20"/>
                <w:szCs w:val="20"/>
              </w:rPr>
            </w:pPr>
            <w:r w:rsidRPr="002F35EE">
              <w:rPr>
                <w:rFonts w:ascii="Montserrat Medium" w:eastAsia="Montserrat Medium" w:hAnsi="Montserrat Medium" w:cs="Montserrat Medium"/>
                <w:color w:val="595959"/>
                <w:sz w:val="20"/>
                <w:szCs w:val="20"/>
              </w:rPr>
              <w:t>2.31 %</w:t>
            </w:r>
          </w:p>
        </w:tc>
        <w:tc>
          <w:tcPr>
            <w:tcW w:w="2410" w:type="dxa"/>
            <w:tcBorders>
              <w:top w:val="nil"/>
              <w:left w:val="nil"/>
              <w:bottom w:val="single" w:sz="8" w:space="0" w:color="000000"/>
              <w:right w:val="nil"/>
            </w:tcBorders>
            <w:vAlign w:val="center"/>
          </w:tcPr>
          <w:p w14:paraId="3FE850D1" w14:textId="77777777" w:rsidR="002F35EE" w:rsidRPr="002F35EE" w:rsidRDefault="002F35EE" w:rsidP="002F131C">
            <w:pPr>
              <w:ind w:hanging="2"/>
              <w:jc w:val="center"/>
              <w:rPr>
                <w:rFonts w:ascii="Montserrat Medium" w:eastAsia="Montserrat Medium" w:hAnsi="Montserrat Medium" w:cs="Montserrat Medium"/>
                <w:color w:val="595959"/>
                <w:sz w:val="20"/>
                <w:szCs w:val="20"/>
              </w:rPr>
            </w:pPr>
            <w:r w:rsidRPr="002F35EE">
              <w:rPr>
                <w:rFonts w:ascii="Montserrat Medium" w:eastAsia="Montserrat Medium" w:hAnsi="Montserrat Medium" w:cs="Montserrat Medium"/>
                <w:color w:val="595959"/>
                <w:sz w:val="20"/>
                <w:szCs w:val="20"/>
              </w:rPr>
              <w:t>-8.39%</w:t>
            </w:r>
          </w:p>
        </w:tc>
      </w:tr>
    </w:tbl>
    <w:p w14:paraId="6ABAEC9A" w14:textId="175E97FC" w:rsidR="002F35EE" w:rsidRPr="00DE1E95" w:rsidRDefault="002F35EE" w:rsidP="002F131C">
      <w:pPr>
        <w:ind w:hanging="2"/>
        <w:jc w:val="both"/>
        <w:rPr>
          <w:rFonts w:ascii="Montserrat Medium" w:eastAsia="Montserrat Medium" w:hAnsi="Montserrat Medium" w:cs="Montserrat Medium"/>
          <w:color w:val="595959"/>
          <w:sz w:val="16"/>
          <w:szCs w:val="16"/>
        </w:rPr>
      </w:pPr>
      <w:r w:rsidRPr="002F35EE">
        <w:rPr>
          <w:rFonts w:ascii="Montserrat Medium" w:eastAsia="Montserrat Medium" w:hAnsi="Montserrat Medium" w:cs="Montserrat Medium"/>
          <w:color w:val="595959"/>
          <w:sz w:val="16"/>
          <w:szCs w:val="16"/>
        </w:rPr>
        <w:t>Fuente</w:t>
      </w:r>
      <w:r w:rsidR="00DE1E95" w:rsidRPr="002F35EE">
        <w:rPr>
          <w:rFonts w:ascii="Montserrat Medium" w:eastAsia="Montserrat Medium" w:hAnsi="Montserrat Medium" w:cs="Montserrat Medium"/>
          <w:color w:val="595959"/>
          <w:sz w:val="16"/>
          <w:szCs w:val="16"/>
        </w:rPr>
        <w:t>: Elaboración</w:t>
      </w:r>
      <w:r w:rsidRPr="002F35EE">
        <w:rPr>
          <w:rFonts w:ascii="Montserrat Medium" w:eastAsia="Montserrat Medium" w:hAnsi="Montserrat Medium" w:cs="Montserrat Medium"/>
          <w:color w:val="595959"/>
          <w:sz w:val="16"/>
          <w:szCs w:val="16"/>
        </w:rPr>
        <w:t xml:space="preserve"> de la Subsecretaría de Análisis Económico y Finanzas Públicas de la Secretaría de Finanzas y Planeaci</w:t>
      </w:r>
      <w:r w:rsidRPr="00DE1E95">
        <w:rPr>
          <w:rFonts w:ascii="Montserrat Medium" w:eastAsia="Montserrat Medium" w:hAnsi="Montserrat Medium" w:cs="Montserrat Medium"/>
          <w:color w:val="595959"/>
          <w:sz w:val="16"/>
          <w:szCs w:val="16"/>
        </w:rPr>
        <w:t>ón con datos del INEGI, 2025.</w:t>
      </w:r>
    </w:p>
    <w:p w14:paraId="4FEF4FB1" w14:textId="77777777" w:rsidR="002F35EE" w:rsidRPr="00DE1E95" w:rsidRDefault="002F35EE" w:rsidP="002F131C">
      <w:pPr>
        <w:ind w:hanging="2"/>
        <w:jc w:val="both"/>
        <w:rPr>
          <w:rFonts w:ascii="Montserrat Medium" w:eastAsia="Montserrat Medium" w:hAnsi="Montserrat Medium" w:cs="Montserrat Medium"/>
          <w:color w:val="595959"/>
          <w:sz w:val="16"/>
          <w:szCs w:val="16"/>
        </w:rPr>
      </w:pPr>
    </w:p>
    <w:p w14:paraId="1D0B4C4A" w14:textId="2FBC124B" w:rsidR="005365AD" w:rsidRPr="00DE1E95" w:rsidRDefault="005365AD" w:rsidP="002F131C">
      <w:pPr>
        <w:pStyle w:val="Prrafodelista"/>
        <w:keepNext/>
        <w:keepLines/>
        <w:numPr>
          <w:ilvl w:val="0"/>
          <w:numId w:val="35"/>
        </w:numPr>
        <w:jc w:val="both"/>
        <w:rPr>
          <w:rFonts w:ascii="Montserrat Medium" w:eastAsia="Montserrat Medium" w:hAnsi="Montserrat Medium" w:cs="Montserrat Medium"/>
          <w:b/>
          <w:i/>
          <w:color w:val="595959"/>
          <w:sz w:val="20"/>
          <w:szCs w:val="20"/>
        </w:rPr>
      </w:pPr>
      <w:r w:rsidRPr="00DE1E95">
        <w:rPr>
          <w:rFonts w:ascii="Montserrat Medium" w:eastAsia="Montserrat Medium" w:hAnsi="Montserrat Medium" w:cs="Montserrat Medium"/>
          <w:b/>
          <w:i/>
          <w:color w:val="595959"/>
          <w:sz w:val="20"/>
          <w:szCs w:val="20"/>
        </w:rPr>
        <w:t xml:space="preserve">Tasa de interés. </w:t>
      </w:r>
    </w:p>
    <w:p w14:paraId="0280DCFA" w14:textId="77777777" w:rsidR="000A66EE" w:rsidRPr="00DE1E95" w:rsidRDefault="000A66EE" w:rsidP="002F131C">
      <w:pPr>
        <w:ind w:hanging="2"/>
        <w:jc w:val="both"/>
        <w:rPr>
          <w:rFonts w:ascii="Montserrat Medium" w:eastAsia="Montserrat Medium" w:hAnsi="Montserrat Medium" w:cs="Montserrat Medium"/>
          <w:color w:val="595959"/>
          <w:sz w:val="20"/>
          <w:szCs w:val="20"/>
        </w:rPr>
      </w:pPr>
    </w:p>
    <w:p w14:paraId="557A75A5" w14:textId="77777777" w:rsidR="005365AD" w:rsidRPr="00DE1E95" w:rsidRDefault="005365AD" w:rsidP="002F131C">
      <w:pPr>
        <w:ind w:hanging="2"/>
        <w:jc w:val="both"/>
        <w:rPr>
          <w:rFonts w:ascii="Montserrat Medium" w:eastAsia="Montserrat Medium" w:hAnsi="Montserrat Medium" w:cs="Montserrat Medium"/>
          <w:color w:val="595959"/>
          <w:sz w:val="20"/>
          <w:szCs w:val="20"/>
        </w:rPr>
      </w:pPr>
      <w:r w:rsidRPr="00DE1E95">
        <w:rPr>
          <w:rFonts w:ascii="Montserrat Medium" w:eastAsia="Montserrat Medium" w:hAnsi="Montserrat Medium" w:cs="Montserrat Medium"/>
          <w:color w:val="595959"/>
          <w:sz w:val="20"/>
          <w:szCs w:val="20"/>
        </w:rPr>
        <w:t xml:space="preserve">La tasa de interés es una variable de referencia para el costo financiero de la deuda, dado que un aumento de la tasa de interés eleva directamente la carga financiera de la deuda pública.  </w:t>
      </w:r>
    </w:p>
    <w:p w14:paraId="24AA201D" w14:textId="77777777" w:rsidR="000A66EE" w:rsidRPr="00DE1E95" w:rsidRDefault="000A66EE" w:rsidP="002F131C">
      <w:pPr>
        <w:ind w:hanging="2"/>
        <w:jc w:val="both"/>
        <w:rPr>
          <w:rFonts w:ascii="Montserrat Medium" w:eastAsia="Montserrat Medium" w:hAnsi="Montserrat Medium" w:cs="Montserrat Medium"/>
          <w:color w:val="595959"/>
          <w:sz w:val="20"/>
          <w:szCs w:val="20"/>
        </w:rPr>
      </w:pPr>
    </w:p>
    <w:p w14:paraId="5B4138CD" w14:textId="77777777" w:rsidR="005365AD" w:rsidRPr="00DE1E95" w:rsidRDefault="005365AD" w:rsidP="002F131C">
      <w:pPr>
        <w:ind w:hanging="2"/>
        <w:jc w:val="both"/>
        <w:rPr>
          <w:rFonts w:ascii="Montserrat Medium" w:eastAsia="Montserrat Medium" w:hAnsi="Montserrat Medium" w:cs="Montserrat Medium"/>
          <w:color w:val="595959"/>
          <w:sz w:val="20"/>
          <w:szCs w:val="20"/>
        </w:rPr>
      </w:pPr>
      <w:r w:rsidRPr="00DE1E95">
        <w:rPr>
          <w:rFonts w:ascii="Montserrat Medium" w:eastAsia="Montserrat Medium" w:hAnsi="Montserrat Medium" w:cs="Montserrat Medium"/>
          <w:color w:val="595959"/>
          <w:sz w:val="20"/>
          <w:szCs w:val="20"/>
        </w:rPr>
        <w:t>Para contextualizar la evolución de la tasa de interés, debemos distinguir entre etapas de endurecimiento (aumentos en la tasa de interés) y etapas de relación de la política monetaria:</w:t>
      </w:r>
    </w:p>
    <w:p w14:paraId="556474FE" w14:textId="77777777" w:rsidR="00153CD3" w:rsidRPr="00DE1E95" w:rsidRDefault="00153CD3" w:rsidP="002F131C">
      <w:pPr>
        <w:ind w:hanging="2"/>
        <w:jc w:val="both"/>
        <w:rPr>
          <w:rFonts w:ascii="Montserrat Medium" w:eastAsia="Montserrat Medium" w:hAnsi="Montserrat Medium" w:cs="Montserrat Medium"/>
          <w:color w:val="595959"/>
          <w:sz w:val="20"/>
          <w:szCs w:val="20"/>
        </w:rPr>
      </w:pPr>
    </w:p>
    <w:p w14:paraId="702D04C2" w14:textId="77777777" w:rsidR="005365AD" w:rsidRPr="00DE1E95" w:rsidRDefault="005365AD" w:rsidP="002F131C">
      <w:pPr>
        <w:pStyle w:val="Prrafodelista"/>
        <w:numPr>
          <w:ilvl w:val="0"/>
          <w:numId w:val="34"/>
        </w:numPr>
        <w:suppressAutoHyphens/>
        <w:jc w:val="both"/>
        <w:textDirection w:val="btLr"/>
        <w:textAlignment w:val="top"/>
        <w:outlineLvl w:val="0"/>
        <w:rPr>
          <w:rFonts w:ascii="Montserrat Medium" w:eastAsia="Montserrat Medium" w:hAnsi="Montserrat Medium" w:cs="Montserrat Medium"/>
          <w:color w:val="595959"/>
          <w:sz w:val="20"/>
          <w:szCs w:val="20"/>
        </w:rPr>
      </w:pPr>
      <w:r w:rsidRPr="00DE1E95">
        <w:rPr>
          <w:rFonts w:ascii="Montserrat Medium" w:eastAsia="Montserrat Medium" w:hAnsi="Montserrat Medium" w:cs="Montserrat Medium"/>
          <w:color w:val="595959"/>
          <w:sz w:val="20"/>
          <w:szCs w:val="20"/>
        </w:rPr>
        <w:t xml:space="preserve">Tras los estímulos para superar el COVID-19, Banxico inicio en junio de 2021 una etapa de aumentos consecutivos en la tasa de interés que se elevó hasta 11.25 % en marzo de 2023. </w:t>
      </w:r>
    </w:p>
    <w:p w14:paraId="56BED1AC" w14:textId="77777777" w:rsidR="00DE1E95" w:rsidRPr="00DE1E95" w:rsidRDefault="005365AD" w:rsidP="002F131C">
      <w:pPr>
        <w:pStyle w:val="Prrafodelista"/>
        <w:numPr>
          <w:ilvl w:val="0"/>
          <w:numId w:val="34"/>
        </w:numPr>
        <w:suppressAutoHyphens/>
        <w:jc w:val="both"/>
        <w:textDirection w:val="btLr"/>
        <w:textAlignment w:val="top"/>
        <w:outlineLvl w:val="0"/>
        <w:rPr>
          <w:rFonts w:ascii="Montserrat Medium" w:eastAsia="Montserrat Medium" w:hAnsi="Montserrat Medium" w:cs="Montserrat Medium"/>
          <w:color w:val="595959"/>
          <w:sz w:val="20"/>
          <w:szCs w:val="20"/>
        </w:rPr>
      </w:pPr>
      <w:r w:rsidRPr="00DE1E95">
        <w:rPr>
          <w:rFonts w:ascii="Montserrat Medium" w:eastAsia="Montserrat Medium" w:hAnsi="Montserrat Medium" w:cs="Montserrat Medium"/>
          <w:color w:val="595959"/>
          <w:sz w:val="20"/>
          <w:szCs w:val="20"/>
        </w:rPr>
        <w:t>Posteriormente empezó un ciclo de relajamiento que llevo la tasa de in</w:t>
      </w:r>
      <w:r w:rsidR="00DE1E95" w:rsidRPr="00DE1E95">
        <w:rPr>
          <w:rFonts w:ascii="Montserrat Medium" w:eastAsia="Montserrat Medium" w:hAnsi="Montserrat Medium" w:cs="Montserrat Medium"/>
          <w:color w:val="595959"/>
          <w:sz w:val="20"/>
          <w:szCs w:val="20"/>
        </w:rPr>
        <w:t>terés a 10 % al cierre de 2024.</w:t>
      </w:r>
    </w:p>
    <w:p w14:paraId="6DB927CE" w14:textId="77777777" w:rsidR="00DE1E95" w:rsidRPr="00DE1E95" w:rsidRDefault="00DE1E95" w:rsidP="002F131C">
      <w:pPr>
        <w:pStyle w:val="Prrafodelista"/>
        <w:numPr>
          <w:ilvl w:val="0"/>
          <w:numId w:val="34"/>
        </w:numPr>
        <w:suppressAutoHyphens/>
        <w:jc w:val="both"/>
        <w:textDirection w:val="btLr"/>
        <w:textAlignment w:val="top"/>
        <w:outlineLvl w:val="0"/>
        <w:rPr>
          <w:rFonts w:ascii="Montserrat Medium" w:eastAsia="Montserrat Medium" w:hAnsi="Montserrat Medium" w:cs="Montserrat Medium"/>
          <w:color w:val="595959"/>
          <w:sz w:val="20"/>
          <w:szCs w:val="20"/>
        </w:rPr>
      </w:pPr>
      <w:r w:rsidRPr="00DE1E95">
        <w:rPr>
          <w:rFonts w:ascii="Montserrat Medium" w:eastAsia="Montserrat Medium" w:hAnsi="Montserrat Medium" w:cs="Montserrat Medium"/>
          <w:color w:val="595959"/>
          <w:sz w:val="20"/>
          <w:szCs w:val="20"/>
        </w:rPr>
        <w:t xml:space="preserve">Actualmente la tasa objetivo de política monetaria se ubica en 8 % tras recortes de medio punto porcentual en 4 ocasiones durante el año (6-02-25, 27-03-25, 16-05-25 y 27-06-25).  </w:t>
      </w:r>
    </w:p>
    <w:p w14:paraId="5A21B7E3" w14:textId="77777777" w:rsidR="00DE1E95" w:rsidRDefault="00DE1E95" w:rsidP="002F131C">
      <w:pPr>
        <w:ind w:left="-2"/>
      </w:pPr>
    </w:p>
    <w:p w14:paraId="538E198E" w14:textId="77777777" w:rsidR="00DE1E95" w:rsidRDefault="00DE1E95" w:rsidP="002F131C">
      <w:pPr>
        <w:ind w:hanging="2"/>
        <w:jc w:val="both"/>
        <w:rPr>
          <w:rFonts w:ascii="Montserrat Medium" w:eastAsia="Montserrat Medium" w:hAnsi="Montserrat Medium" w:cs="Montserrat Medium"/>
          <w:color w:val="595959"/>
          <w:sz w:val="20"/>
          <w:szCs w:val="20"/>
        </w:rPr>
      </w:pPr>
      <w:r w:rsidRPr="00DE1E95">
        <w:rPr>
          <w:rFonts w:ascii="Montserrat Medium" w:eastAsia="Montserrat Medium" w:hAnsi="Montserrat Medium" w:cs="Montserrat Medium"/>
          <w:color w:val="595959"/>
          <w:sz w:val="20"/>
          <w:szCs w:val="20"/>
        </w:rPr>
        <w:lastRenderedPageBreak/>
        <w:t xml:space="preserve">Vale la pena referir que previo al recorte de tasas ha existido una persistente discusión </w:t>
      </w:r>
      <w:proofErr w:type="spellStart"/>
      <w:r w:rsidRPr="00DE1E95">
        <w:rPr>
          <w:rFonts w:ascii="Montserrat Medium" w:eastAsia="Montserrat Medium" w:hAnsi="Montserrat Medium" w:cs="Montserrat Medium"/>
          <w:color w:val="595959"/>
          <w:sz w:val="20"/>
          <w:szCs w:val="20"/>
        </w:rPr>
        <w:t>entorno</w:t>
      </w:r>
      <w:proofErr w:type="spellEnd"/>
      <w:r w:rsidRPr="00DE1E95">
        <w:rPr>
          <w:rFonts w:ascii="Montserrat Medium" w:eastAsia="Montserrat Medium" w:hAnsi="Montserrat Medium" w:cs="Montserrat Medium"/>
          <w:color w:val="595959"/>
          <w:sz w:val="20"/>
          <w:szCs w:val="20"/>
        </w:rPr>
        <w:t xml:space="preserve"> a las presiones de las tarifas arancelarias de EUA sobre los precios en México, además de que la tasa de inflación no ha mostrado una clara tendencia de convergencia hacia el objetivo de inflación fijado por Banco de México. </w:t>
      </w:r>
    </w:p>
    <w:p w14:paraId="6E5AA7B1" w14:textId="77777777" w:rsidR="00DE1E95" w:rsidRPr="00DE1E95" w:rsidRDefault="00DE1E95" w:rsidP="002F131C">
      <w:pPr>
        <w:ind w:hanging="2"/>
        <w:jc w:val="both"/>
        <w:rPr>
          <w:rFonts w:ascii="Montserrat Medium" w:eastAsia="Montserrat Medium" w:hAnsi="Montserrat Medium" w:cs="Montserrat Medium"/>
          <w:color w:val="595959"/>
          <w:sz w:val="20"/>
          <w:szCs w:val="20"/>
        </w:rPr>
      </w:pPr>
    </w:p>
    <w:p w14:paraId="0144840B" w14:textId="77777777" w:rsidR="00DE1E95" w:rsidRDefault="00DE1E95" w:rsidP="002F131C">
      <w:pPr>
        <w:ind w:hanging="2"/>
        <w:jc w:val="both"/>
        <w:rPr>
          <w:rFonts w:ascii="Montserrat Medium" w:eastAsia="Montserrat Medium" w:hAnsi="Montserrat Medium" w:cs="Montserrat Medium"/>
          <w:color w:val="595959"/>
          <w:sz w:val="20"/>
          <w:szCs w:val="20"/>
        </w:rPr>
      </w:pPr>
      <w:r w:rsidRPr="00DE1E95">
        <w:rPr>
          <w:rFonts w:ascii="Montserrat Medium" w:eastAsia="Montserrat Medium" w:hAnsi="Montserrat Medium" w:cs="Montserrat Medium"/>
          <w:color w:val="595959"/>
          <w:sz w:val="20"/>
          <w:szCs w:val="20"/>
        </w:rPr>
        <w:t xml:space="preserve">Estas decisiones de política monetaria tienen un impacto directo en la Tasa de Interés Interbancaria de Equilibrio (TIIE) al estar anclada a la tasa de interés objetivo, aunque con una variación en función de las expectativas, entre otros determinantes. La disminución de la tasa objetivo permitió que la tasa de interés interbancaria de equilibrio se ubique en promedio en 8.71 % durante el segundo trimestre de 2025. </w:t>
      </w:r>
    </w:p>
    <w:p w14:paraId="10976213" w14:textId="77777777" w:rsidR="00DE1E95" w:rsidRDefault="00DE1E95" w:rsidP="002F131C">
      <w:pPr>
        <w:ind w:hanging="2"/>
        <w:jc w:val="both"/>
        <w:rPr>
          <w:rFonts w:ascii="Montserrat Medium" w:eastAsia="Montserrat Medium" w:hAnsi="Montserrat Medium" w:cs="Montserrat Medium"/>
          <w:color w:val="595959"/>
          <w:sz w:val="20"/>
          <w:szCs w:val="20"/>
        </w:rPr>
      </w:pPr>
    </w:p>
    <w:p w14:paraId="3524E304" w14:textId="77777777" w:rsidR="00DE1E95" w:rsidRPr="00DE1E95" w:rsidRDefault="00DE1E95" w:rsidP="002F131C">
      <w:pPr>
        <w:ind w:hanging="2"/>
        <w:jc w:val="center"/>
        <w:rPr>
          <w:rFonts w:ascii="Montserrat Medium" w:hAnsi="Montserrat Medium"/>
          <w:i/>
          <w:color w:val="000000"/>
          <w:sz w:val="18"/>
          <w:szCs w:val="20"/>
        </w:rPr>
      </w:pPr>
      <w:r w:rsidRPr="00DE1E95">
        <w:rPr>
          <w:rFonts w:ascii="Montserrat Medium" w:hAnsi="Montserrat Medium"/>
          <w:i/>
          <w:color w:val="000000"/>
          <w:sz w:val="18"/>
          <w:szCs w:val="20"/>
        </w:rPr>
        <w:t>Tabla 2. Tasa de Interés Interbancaria de Equilibrio a 28 días, tasa en por ciento anual (promedio) 2024-2025.</w:t>
      </w:r>
    </w:p>
    <w:tbl>
      <w:tblPr>
        <w:tblW w:w="4353" w:type="pct"/>
        <w:jc w:val="center"/>
        <w:tblInd w:w="31" w:type="dxa"/>
        <w:tblLook w:val="0400" w:firstRow="0" w:lastRow="0" w:firstColumn="0" w:lastColumn="0" w:noHBand="0" w:noVBand="1"/>
      </w:tblPr>
      <w:tblGrid>
        <w:gridCol w:w="2469"/>
        <w:gridCol w:w="2317"/>
        <w:gridCol w:w="2310"/>
        <w:gridCol w:w="1774"/>
      </w:tblGrid>
      <w:tr w:rsidR="00DE1E95" w:rsidRPr="00DE1E95" w14:paraId="783DE616" w14:textId="77777777" w:rsidTr="00DE1E95">
        <w:trPr>
          <w:trHeight w:val="381"/>
          <w:jc w:val="center"/>
        </w:trPr>
        <w:tc>
          <w:tcPr>
            <w:tcW w:w="1392" w:type="pct"/>
            <w:tcBorders>
              <w:top w:val="single" w:sz="8" w:space="0" w:color="000000"/>
              <w:left w:val="nil"/>
              <w:bottom w:val="single" w:sz="8" w:space="0" w:color="000000"/>
              <w:right w:val="nil"/>
            </w:tcBorders>
            <w:vAlign w:val="center"/>
          </w:tcPr>
          <w:p w14:paraId="6325CF51" w14:textId="77777777" w:rsidR="00DE1E95" w:rsidRPr="00DE1E95" w:rsidRDefault="00DE1E95" w:rsidP="002F131C">
            <w:pPr>
              <w:ind w:hanging="2"/>
              <w:jc w:val="both"/>
              <w:rPr>
                <w:rFonts w:ascii="Montserrat Medium" w:hAnsi="Montserrat Medium"/>
                <w:b/>
                <w:i/>
                <w:color w:val="000000"/>
                <w:sz w:val="18"/>
                <w:szCs w:val="20"/>
              </w:rPr>
            </w:pPr>
            <w:r w:rsidRPr="00DE1E95">
              <w:rPr>
                <w:rFonts w:ascii="Montserrat Medium" w:hAnsi="Montserrat Medium"/>
                <w:b/>
                <w:i/>
                <w:color w:val="000000"/>
                <w:sz w:val="18"/>
                <w:szCs w:val="20"/>
              </w:rPr>
              <w:t>Año</w:t>
            </w:r>
          </w:p>
        </w:tc>
        <w:tc>
          <w:tcPr>
            <w:tcW w:w="1306" w:type="pct"/>
            <w:tcBorders>
              <w:top w:val="single" w:sz="8" w:space="0" w:color="000000"/>
              <w:left w:val="nil"/>
              <w:bottom w:val="single" w:sz="8" w:space="0" w:color="000000"/>
              <w:right w:val="nil"/>
            </w:tcBorders>
          </w:tcPr>
          <w:p w14:paraId="3C8F3F7A" w14:textId="77777777" w:rsidR="00DE1E95" w:rsidRPr="00DE1E95" w:rsidRDefault="00DE1E95" w:rsidP="002F131C">
            <w:pPr>
              <w:ind w:hanging="2"/>
              <w:jc w:val="center"/>
              <w:rPr>
                <w:rFonts w:ascii="Montserrat Medium" w:hAnsi="Montserrat Medium"/>
                <w:b/>
                <w:i/>
                <w:color w:val="000000"/>
                <w:sz w:val="18"/>
                <w:szCs w:val="20"/>
              </w:rPr>
            </w:pPr>
            <w:r w:rsidRPr="00DE1E95">
              <w:rPr>
                <w:rFonts w:ascii="Montserrat Medium" w:hAnsi="Montserrat Medium"/>
                <w:b/>
                <w:i/>
                <w:color w:val="000000"/>
                <w:sz w:val="18"/>
                <w:szCs w:val="20"/>
              </w:rPr>
              <w:t>4to trimestre de 2024</w:t>
            </w:r>
          </w:p>
        </w:tc>
        <w:tc>
          <w:tcPr>
            <w:tcW w:w="1302" w:type="pct"/>
            <w:tcBorders>
              <w:top w:val="single" w:sz="8" w:space="0" w:color="000000"/>
              <w:left w:val="nil"/>
              <w:bottom w:val="single" w:sz="8" w:space="0" w:color="000000"/>
              <w:right w:val="nil"/>
            </w:tcBorders>
          </w:tcPr>
          <w:p w14:paraId="5E82F81F" w14:textId="77777777" w:rsidR="00DE1E95" w:rsidRPr="00DE1E95" w:rsidRDefault="00DE1E95" w:rsidP="002F131C">
            <w:pPr>
              <w:ind w:hanging="2"/>
              <w:jc w:val="center"/>
              <w:rPr>
                <w:rFonts w:ascii="Montserrat Medium" w:hAnsi="Montserrat Medium"/>
                <w:b/>
                <w:i/>
                <w:color w:val="000000"/>
                <w:sz w:val="18"/>
                <w:szCs w:val="20"/>
              </w:rPr>
            </w:pPr>
            <w:r w:rsidRPr="00DE1E95">
              <w:rPr>
                <w:rFonts w:ascii="Montserrat Medium" w:hAnsi="Montserrat Medium"/>
                <w:b/>
                <w:i/>
                <w:color w:val="000000"/>
                <w:sz w:val="18"/>
                <w:szCs w:val="20"/>
              </w:rPr>
              <w:t>1er trimestre de 2025</w:t>
            </w:r>
          </w:p>
        </w:tc>
        <w:tc>
          <w:tcPr>
            <w:tcW w:w="1001" w:type="pct"/>
            <w:tcBorders>
              <w:top w:val="single" w:sz="8" w:space="0" w:color="000000"/>
              <w:left w:val="nil"/>
              <w:bottom w:val="single" w:sz="8" w:space="0" w:color="000000"/>
              <w:right w:val="nil"/>
            </w:tcBorders>
          </w:tcPr>
          <w:p w14:paraId="61759E11" w14:textId="77777777" w:rsidR="00DE1E95" w:rsidRPr="00DE1E95" w:rsidRDefault="00DE1E95" w:rsidP="002F131C">
            <w:pPr>
              <w:ind w:hanging="2"/>
              <w:jc w:val="center"/>
              <w:rPr>
                <w:rFonts w:ascii="Montserrat Medium" w:hAnsi="Montserrat Medium"/>
                <w:b/>
                <w:i/>
                <w:color w:val="000000"/>
                <w:sz w:val="18"/>
                <w:szCs w:val="20"/>
              </w:rPr>
            </w:pPr>
            <w:r w:rsidRPr="00DE1E95">
              <w:rPr>
                <w:rFonts w:ascii="Montserrat Medium" w:hAnsi="Montserrat Medium"/>
                <w:b/>
                <w:i/>
                <w:color w:val="000000"/>
                <w:sz w:val="18"/>
                <w:szCs w:val="20"/>
              </w:rPr>
              <w:t>2do trimestre de 2025</w:t>
            </w:r>
          </w:p>
        </w:tc>
      </w:tr>
      <w:tr w:rsidR="00DE1E95" w:rsidRPr="00DE1E95" w14:paraId="1EFEC273" w14:textId="77777777" w:rsidTr="00DE1E95">
        <w:trPr>
          <w:trHeight w:val="373"/>
          <w:jc w:val="center"/>
        </w:trPr>
        <w:tc>
          <w:tcPr>
            <w:tcW w:w="1392" w:type="pct"/>
            <w:tcBorders>
              <w:top w:val="nil"/>
              <w:left w:val="nil"/>
              <w:bottom w:val="single" w:sz="8" w:space="0" w:color="000000"/>
              <w:right w:val="nil"/>
            </w:tcBorders>
            <w:vAlign w:val="center"/>
          </w:tcPr>
          <w:p w14:paraId="79B0DA1E" w14:textId="77777777" w:rsidR="00DE1E95" w:rsidRPr="00DE1E95" w:rsidRDefault="00DE1E95" w:rsidP="002F131C">
            <w:pPr>
              <w:ind w:hanging="2"/>
              <w:jc w:val="both"/>
              <w:rPr>
                <w:rFonts w:ascii="Montserrat Medium" w:hAnsi="Montserrat Medium"/>
                <w:i/>
                <w:color w:val="000000"/>
                <w:sz w:val="18"/>
                <w:szCs w:val="20"/>
              </w:rPr>
            </w:pPr>
            <w:r w:rsidRPr="00DE1E95">
              <w:rPr>
                <w:rFonts w:ascii="Montserrat Medium" w:hAnsi="Montserrat Medium"/>
                <w:i/>
                <w:color w:val="000000"/>
                <w:sz w:val="18"/>
                <w:szCs w:val="20"/>
              </w:rPr>
              <w:t>Tasa en por ciento anual</w:t>
            </w:r>
          </w:p>
        </w:tc>
        <w:tc>
          <w:tcPr>
            <w:tcW w:w="1306" w:type="pct"/>
            <w:tcBorders>
              <w:top w:val="nil"/>
              <w:left w:val="nil"/>
              <w:bottom w:val="single" w:sz="8" w:space="0" w:color="000000"/>
              <w:right w:val="nil"/>
            </w:tcBorders>
            <w:vAlign w:val="center"/>
          </w:tcPr>
          <w:p w14:paraId="10ACA21E" w14:textId="77777777" w:rsidR="00DE1E95" w:rsidRPr="00DE1E95" w:rsidRDefault="00DE1E95" w:rsidP="002F131C">
            <w:pPr>
              <w:ind w:hanging="2"/>
              <w:jc w:val="center"/>
              <w:rPr>
                <w:rFonts w:ascii="Montserrat Medium" w:hAnsi="Montserrat Medium"/>
                <w:i/>
                <w:color w:val="000000"/>
                <w:sz w:val="18"/>
                <w:szCs w:val="20"/>
              </w:rPr>
            </w:pPr>
            <w:r w:rsidRPr="00DE1E95">
              <w:rPr>
                <w:rFonts w:ascii="Montserrat Medium" w:hAnsi="Montserrat Medium"/>
                <w:i/>
                <w:color w:val="000000"/>
                <w:sz w:val="18"/>
                <w:szCs w:val="20"/>
              </w:rPr>
              <w:t>10.58 %</w:t>
            </w:r>
          </w:p>
        </w:tc>
        <w:tc>
          <w:tcPr>
            <w:tcW w:w="1302" w:type="pct"/>
            <w:tcBorders>
              <w:top w:val="nil"/>
              <w:left w:val="nil"/>
              <w:bottom w:val="single" w:sz="8" w:space="0" w:color="000000"/>
              <w:right w:val="nil"/>
            </w:tcBorders>
            <w:vAlign w:val="center"/>
          </w:tcPr>
          <w:p w14:paraId="49D41E0F" w14:textId="77777777" w:rsidR="00DE1E95" w:rsidRPr="00DE1E95" w:rsidRDefault="00DE1E95" w:rsidP="002F131C">
            <w:pPr>
              <w:ind w:hanging="2"/>
              <w:jc w:val="center"/>
              <w:rPr>
                <w:rFonts w:ascii="Montserrat Medium" w:hAnsi="Montserrat Medium"/>
                <w:i/>
                <w:color w:val="000000"/>
                <w:sz w:val="18"/>
                <w:szCs w:val="20"/>
              </w:rPr>
            </w:pPr>
            <w:r w:rsidRPr="00DE1E95">
              <w:rPr>
                <w:rFonts w:ascii="Montserrat Medium" w:hAnsi="Montserrat Medium"/>
                <w:i/>
                <w:color w:val="000000"/>
                <w:sz w:val="18"/>
                <w:szCs w:val="20"/>
              </w:rPr>
              <w:t>9.97 %</w:t>
            </w:r>
          </w:p>
        </w:tc>
        <w:tc>
          <w:tcPr>
            <w:tcW w:w="1001" w:type="pct"/>
            <w:tcBorders>
              <w:top w:val="nil"/>
              <w:left w:val="nil"/>
              <w:bottom w:val="single" w:sz="8" w:space="0" w:color="000000"/>
              <w:right w:val="nil"/>
            </w:tcBorders>
            <w:vAlign w:val="center"/>
          </w:tcPr>
          <w:p w14:paraId="6991F206" w14:textId="77777777" w:rsidR="00DE1E95" w:rsidRPr="00DE1E95" w:rsidRDefault="00DE1E95" w:rsidP="002F131C">
            <w:pPr>
              <w:ind w:hanging="2"/>
              <w:jc w:val="center"/>
              <w:rPr>
                <w:rFonts w:ascii="Montserrat Medium" w:hAnsi="Montserrat Medium"/>
                <w:i/>
                <w:color w:val="000000"/>
                <w:sz w:val="18"/>
                <w:szCs w:val="20"/>
              </w:rPr>
            </w:pPr>
            <w:r w:rsidRPr="00DE1E95">
              <w:rPr>
                <w:rFonts w:ascii="Montserrat Medium" w:hAnsi="Montserrat Medium"/>
                <w:i/>
                <w:color w:val="000000"/>
                <w:sz w:val="18"/>
                <w:szCs w:val="20"/>
              </w:rPr>
              <w:t>8.71 %</w:t>
            </w:r>
          </w:p>
        </w:tc>
      </w:tr>
    </w:tbl>
    <w:p w14:paraId="2E766954" w14:textId="77777777" w:rsidR="00DE1E95" w:rsidRDefault="00DE1E95" w:rsidP="002F131C">
      <w:pPr>
        <w:ind w:hanging="2"/>
        <w:jc w:val="both"/>
        <w:rPr>
          <w:sz w:val="16"/>
          <w:szCs w:val="16"/>
        </w:rPr>
      </w:pPr>
      <w:r w:rsidRPr="00DE1E95">
        <w:rPr>
          <w:rFonts w:ascii="Montserrat Medium" w:hAnsi="Montserrat Medium"/>
          <w:i/>
          <w:color w:val="000000"/>
          <w:sz w:val="16"/>
          <w:szCs w:val="16"/>
        </w:rPr>
        <w:t>Fuente: Elaboración de la Subsecretaría de Análisis Económico y Finanzas Públicas de la Secretaría de Finanzas y Planeación con información del Banco de México, BANXICO 2025</w:t>
      </w:r>
      <w:r w:rsidRPr="00DE1E95">
        <w:rPr>
          <w:sz w:val="16"/>
          <w:szCs w:val="16"/>
        </w:rPr>
        <w:t xml:space="preserve">. </w:t>
      </w:r>
    </w:p>
    <w:p w14:paraId="6D2E1629" w14:textId="77777777" w:rsidR="00861B30" w:rsidRPr="00DE1E95" w:rsidRDefault="00861B30" w:rsidP="002F131C">
      <w:pPr>
        <w:ind w:hanging="2"/>
        <w:jc w:val="both"/>
        <w:rPr>
          <w:sz w:val="16"/>
          <w:szCs w:val="16"/>
        </w:rPr>
      </w:pPr>
    </w:p>
    <w:p w14:paraId="57823269" w14:textId="4608270E" w:rsidR="00DE1E95" w:rsidRPr="00DE1E95" w:rsidRDefault="00DE1E95" w:rsidP="002F131C">
      <w:pPr>
        <w:pStyle w:val="Prrafodelista"/>
        <w:keepNext/>
        <w:keepLines/>
        <w:numPr>
          <w:ilvl w:val="0"/>
          <w:numId w:val="35"/>
        </w:numPr>
        <w:jc w:val="both"/>
        <w:rPr>
          <w:rFonts w:ascii="Montserrat Medium" w:eastAsia="Montserrat Medium" w:hAnsi="Montserrat Medium" w:cs="Montserrat Medium"/>
          <w:b/>
          <w:i/>
          <w:color w:val="595959"/>
          <w:sz w:val="20"/>
          <w:szCs w:val="20"/>
        </w:rPr>
      </w:pPr>
      <w:r w:rsidRPr="00DE1E95">
        <w:rPr>
          <w:rFonts w:ascii="Montserrat Medium" w:eastAsia="Montserrat Medium" w:hAnsi="Montserrat Medium" w:cs="Montserrat Medium"/>
          <w:b/>
          <w:i/>
          <w:color w:val="595959"/>
          <w:sz w:val="20"/>
          <w:szCs w:val="20"/>
        </w:rPr>
        <w:t xml:space="preserve">Tasa de inflación. </w:t>
      </w:r>
    </w:p>
    <w:p w14:paraId="38378C25" w14:textId="77777777" w:rsidR="00DE1E95" w:rsidRPr="00DE1E95" w:rsidRDefault="00DE1E95" w:rsidP="002F131C">
      <w:pPr>
        <w:keepNext/>
        <w:keepLines/>
        <w:ind w:left="-2"/>
        <w:jc w:val="both"/>
        <w:rPr>
          <w:rFonts w:ascii="Montserrat Medium" w:eastAsia="Montserrat Medium" w:hAnsi="Montserrat Medium" w:cs="Montserrat Medium"/>
          <w:b/>
          <w:i/>
          <w:color w:val="595959"/>
          <w:sz w:val="20"/>
          <w:szCs w:val="20"/>
        </w:rPr>
      </w:pPr>
    </w:p>
    <w:p w14:paraId="38D4D5CA" w14:textId="77777777" w:rsidR="00DE1E95" w:rsidRPr="00DE1E95" w:rsidRDefault="00DE1E95" w:rsidP="002F131C">
      <w:pPr>
        <w:keepNext/>
        <w:keepLines/>
        <w:jc w:val="both"/>
        <w:rPr>
          <w:rFonts w:ascii="Montserrat Medium" w:eastAsia="Montserrat Medium" w:hAnsi="Montserrat Medium" w:cs="Montserrat Medium"/>
          <w:color w:val="595959"/>
          <w:sz w:val="20"/>
          <w:szCs w:val="20"/>
        </w:rPr>
      </w:pPr>
      <w:r w:rsidRPr="00DE1E95">
        <w:rPr>
          <w:rFonts w:ascii="Montserrat Medium" w:eastAsia="Montserrat Medium" w:hAnsi="Montserrat Medium" w:cs="Montserrat Medium"/>
          <w:color w:val="595959"/>
          <w:sz w:val="20"/>
          <w:szCs w:val="20"/>
        </w:rPr>
        <w:t xml:space="preserve">La inflación es una variable relevante porque deprecia el poder adquisitivo del Estado y si se encuentra por encima del rango objetivo entonces podría indicar un endurecimiento de la política monetaria a través de la tasa de interés. Derivado de la pandemia del COVID-19 y de las continuas inyecciones de liquidez del gobierno federal a través de los proyectos de infraestructura y los programas sociales, la inflación se ha ubicado por encima del objetivo de Banco de México de 3 %, con un rango de variación entre 2 y 4 %.  </w:t>
      </w:r>
    </w:p>
    <w:p w14:paraId="581A7295" w14:textId="77777777" w:rsidR="00DE1E95" w:rsidRDefault="00DE1E95" w:rsidP="002F131C"/>
    <w:p w14:paraId="09AAB3EB" w14:textId="77777777" w:rsidR="00DE1E95" w:rsidRPr="00DE1E95" w:rsidRDefault="00DE1E95" w:rsidP="002F131C">
      <w:pPr>
        <w:keepNext/>
        <w:keepLines/>
        <w:jc w:val="both"/>
        <w:rPr>
          <w:rFonts w:ascii="Montserrat Medium" w:eastAsia="Montserrat Medium" w:hAnsi="Montserrat Medium" w:cs="Montserrat Medium"/>
          <w:color w:val="595959"/>
          <w:sz w:val="20"/>
          <w:szCs w:val="20"/>
        </w:rPr>
      </w:pPr>
      <w:r w:rsidRPr="00DE1E95">
        <w:rPr>
          <w:rFonts w:ascii="Montserrat Medium" w:eastAsia="Montserrat Medium" w:hAnsi="Montserrat Medium" w:cs="Montserrat Medium"/>
          <w:color w:val="595959"/>
          <w:sz w:val="20"/>
          <w:szCs w:val="20"/>
        </w:rPr>
        <w:t xml:space="preserve">La inflación en Quintana Roo cerró el ejercicio fiscal 2024 en 4.70 %, mientras que en el primer trimestre de 2025 se redujo a 3.81 % y los datos preliminares de junio muestran un incremento a 4.06 %.  En ese sentido, la inflación se encontró en el primer trimestre dentro del rango de Banxico, aunque los datos más recientes nos ubican ligeramente por encima del objetivo de inflación. </w:t>
      </w:r>
    </w:p>
    <w:p w14:paraId="74C50686" w14:textId="77777777" w:rsidR="00DE1E95" w:rsidRDefault="00DE1E95" w:rsidP="002F131C">
      <w:pPr>
        <w:jc w:val="center"/>
      </w:pPr>
    </w:p>
    <w:p w14:paraId="45983FCF" w14:textId="77777777" w:rsidR="00DE1E95" w:rsidRPr="00DE1E95" w:rsidRDefault="00DE1E95" w:rsidP="002F131C">
      <w:pPr>
        <w:ind w:hanging="2"/>
        <w:jc w:val="center"/>
        <w:rPr>
          <w:rFonts w:ascii="Montserrat Medium" w:hAnsi="Montserrat Medium"/>
          <w:i/>
          <w:color w:val="000000"/>
          <w:sz w:val="18"/>
          <w:szCs w:val="20"/>
        </w:rPr>
      </w:pPr>
      <w:r w:rsidRPr="00DE1E95">
        <w:rPr>
          <w:rFonts w:ascii="Montserrat Medium" w:hAnsi="Montserrat Medium"/>
          <w:i/>
          <w:color w:val="000000"/>
          <w:sz w:val="18"/>
          <w:szCs w:val="20"/>
        </w:rPr>
        <w:t>Tabla 3. Tasa de inflación interanual en Quintana Roo, 2024-2025</w:t>
      </w:r>
    </w:p>
    <w:tbl>
      <w:tblPr>
        <w:tblW w:w="7460" w:type="dxa"/>
        <w:jc w:val="center"/>
        <w:tblLayout w:type="fixed"/>
        <w:tblLook w:val="0400" w:firstRow="0" w:lastRow="0" w:firstColumn="0" w:lastColumn="0" w:noHBand="0" w:noVBand="1"/>
      </w:tblPr>
      <w:tblGrid>
        <w:gridCol w:w="1688"/>
        <w:gridCol w:w="1924"/>
        <w:gridCol w:w="1924"/>
        <w:gridCol w:w="1924"/>
      </w:tblGrid>
      <w:tr w:rsidR="00DE1E95" w:rsidRPr="00DE1E95" w14:paraId="4579A396" w14:textId="77777777" w:rsidTr="00C70CE4">
        <w:trPr>
          <w:trHeight w:val="507"/>
          <w:jc w:val="center"/>
        </w:trPr>
        <w:tc>
          <w:tcPr>
            <w:tcW w:w="1688" w:type="dxa"/>
            <w:tcBorders>
              <w:top w:val="single" w:sz="8" w:space="0" w:color="000000"/>
              <w:left w:val="nil"/>
              <w:bottom w:val="single" w:sz="8" w:space="0" w:color="000000"/>
              <w:right w:val="nil"/>
            </w:tcBorders>
            <w:vAlign w:val="center"/>
          </w:tcPr>
          <w:p w14:paraId="7CD4CF39" w14:textId="77777777" w:rsidR="00DE1E95" w:rsidRPr="00DE1E95" w:rsidRDefault="00DE1E95" w:rsidP="002F131C">
            <w:pPr>
              <w:ind w:hanging="2"/>
              <w:jc w:val="both"/>
              <w:rPr>
                <w:rFonts w:ascii="Montserrat Medium" w:hAnsi="Montserrat Medium"/>
                <w:i/>
                <w:color w:val="000000"/>
                <w:sz w:val="18"/>
                <w:szCs w:val="20"/>
              </w:rPr>
            </w:pPr>
            <w:r w:rsidRPr="00DE1E95">
              <w:rPr>
                <w:rFonts w:ascii="Montserrat Medium" w:hAnsi="Montserrat Medium"/>
                <w:i/>
                <w:color w:val="000000"/>
                <w:sz w:val="18"/>
                <w:szCs w:val="20"/>
              </w:rPr>
              <w:t>Año</w:t>
            </w:r>
          </w:p>
        </w:tc>
        <w:tc>
          <w:tcPr>
            <w:tcW w:w="1924" w:type="dxa"/>
            <w:tcBorders>
              <w:top w:val="single" w:sz="8" w:space="0" w:color="000000"/>
              <w:left w:val="nil"/>
              <w:bottom w:val="single" w:sz="8" w:space="0" w:color="000000"/>
              <w:right w:val="nil"/>
            </w:tcBorders>
          </w:tcPr>
          <w:p w14:paraId="0B1EB48C" w14:textId="77777777" w:rsidR="00DE1E95" w:rsidRPr="00DE1E95" w:rsidRDefault="00DE1E95" w:rsidP="002F131C">
            <w:pPr>
              <w:ind w:hanging="2"/>
              <w:jc w:val="center"/>
              <w:rPr>
                <w:rFonts w:ascii="Montserrat Medium" w:hAnsi="Montserrat Medium"/>
                <w:i/>
                <w:color w:val="000000"/>
                <w:sz w:val="18"/>
                <w:szCs w:val="20"/>
              </w:rPr>
            </w:pPr>
            <w:r w:rsidRPr="00DE1E95">
              <w:rPr>
                <w:rFonts w:ascii="Montserrat Medium" w:hAnsi="Montserrat Medium"/>
                <w:i/>
                <w:color w:val="000000"/>
                <w:sz w:val="18"/>
                <w:szCs w:val="20"/>
              </w:rPr>
              <w:t>4to trimestre de 2024</w:t>
            </w:r>
          </w:p>
        </w:tc>
        <w:tc>
          <w:tcPr>
            <w:tcW w:w="1924" w:type="dxa"/>
            <w:tcBorders>
              <w:top w:val="single" w:sz="8" w:space="0" w:color="000000"/>
              <w:left w:val="nil"/>
              <w:bottom w:val="single" w:sz="8" w:space="0" w:color="000000"/>
              <w:right w:val="nil"/>
            </w:tcBorders>
          </w:tcPr>
          <w:p w14:paraId="340115A2" w14:textId="77777777" w:rsidR="00DE1E95" w:rsidRPr="00DE1E95" w:rsidRDefault="00DE1E95" w:rsidP="002F131C">
            <w:pPr>
              <w:ind w:hanging="2"/>
              <w:jc w:val="center"/>
              <w:rPr>
                <w:rFonts w:ascii="Montserrat Medium" w:hAnsi="Montserrat Medium"/>
                <w:i/>
                <w:color w:val="000000"/>
                <w:sz w:val="18"/>
                <w:szCs w:val="20"/>
              </w:rPr>
            </w:pPr>
            <w:r w:rsidRPr="00DE1E95">
              <w:rPr>
                <w:rFonts w:ascii="Montserrat Medium" w:hAnsi="Montserrat Medium"/>
                <w:i/>
                <w:color w:val="000000"/>
                <w:sz w:val="18"/>
                <w:szCs w:val="20"/>
              </w:rPr>
              <w:t>1er trimestre de 2025</w:t>
            </w:r>
          </w:p>
        </w:tc>
        <w:tc>
          <w:tcPr>
            <w:tcW w:w="1924" w:type="dxa"/>
            <w:tcBorders>
              <w:top w:val="single" w:sz="8" w:space="0" w:color="000000"/>
              <w:left w:val="nil"/>
              <w:bottom w:val="single" w:sz="8" w:space="0" w:color="000000"/>
              <w:right w:val="nil"/>
            </w:tcBorders>
          </w:tcPr>
          <w:p w14:paraId="28A7B93A" w14:textId="77777777" w:rsidR="00DE1E95" w:rsidRPr="00DE1E95" w:rsidRDefault="00DE1E95" w:rsidP="002F131C">
            <w:pPr>
              <w:ind w:hanging="2"/>
              <w:jc w:val="center"/>
              <w:rPr>
                <w:rFonts w:ascii="Montserrat Medium" w:hAnsi="Montserrat Medium"/>
                <w:i/>
                <w:color w:val="000000"/>
                <w:sz w:val="18"/>
                <w:szCs w:val="20"/>
              </w:rPr>
            </w:pPr>
            <w:r w:rsidRPr="00DE1E95">
              <w:rPr>
                <w:rFonts w:ascii="Montserrat Medium" w:hAnsi="Montserrat Medium"/>
                <w:i/>
                <w:color w:val="000000"/>
                <w:sz w:val="18"/>
                <w:szCs w:val="20"/>
              </w:rPr>
              <w:t>Junio de 2025 (1Q)</w:t>
            </w:r>
          </w:p>
        </w:tc>
      </w:tr>
      <w:tr w:rsidR="00DE1E95" w:rsidRPr="00DE1E95" w14:paraId="4A60F114" w14:textId="77777777" w:rsidTr="00C70CE4">
        <w:trPr>
          <w:trHeight w:val="484"/>
          <w:jc w:val="center"/>
        </w:trPr>
        <w:tc>
          <w:tcPr>
            <w:tcW w:w="1688" w:type="dxa"/>
            <w:tcBorders>
              <w:top w:val="nil"/>
              <w:left w:val="nil"/>
              <w:bottom w:val="single" w:sz="8" w:space="0" w:color="000000"/>
              <w:right w:val="nil"/>
            </w:tcBorders>
            <w:vAlign w:val="center"/>
          </w:tcPr>
          <w:p w14:paraId="66859033" w14:textId="77777777" w:rsidR="00DE1E95" w:rsidRPr="00DE1E95" w:rsidRDefault="00DE1E95" w:rsidP="002F131C">
            <w:pPr>
              <w:ind w:hanging="2"/>
              <w:jc w:val="both"/>
              <w:rPr>
                <w:rFonts w:ascii="Montserrat Medium" w:hAnsi="Montserrat Medium"/>
                <w:i/>
                <w:color w:val="000000"/>
                <w:sz w:val="18"/>
                <w:szCs w:val="20"/>
              </w:rPr>
            </w:pPr>
            <w:r w:rsidRPr="00DE1E95">
              <w:rPr>
                <w:rFonts w:ascii="Montserrat Medium" w:hAnsi="Montserrat Medium"/>
                <w:i/>
                <w:color w:val="000000"/>
                <w:sz w:val="18"/>
                <w:szCs w:val="20"/>
              </w:rPr>
              <w:t>Inflación interanual</w:t>
            </w:r>
          </w:p>
        </w:tc>
        <w:tc>
          <w:tcPr>
            <w:tcW w:w="1924" w:type="dxa"/>
            <w:tcBorders>
              <w:top w:val="nil"/>
              <w:left w:val="nil"/>
              <w:bottom w:val="single" w:sz="8" w:space="0" w:color="000000"/>
              <w:right w:val="nil"/>
            </w:tcBorders>
            <w:vAlign w:val="center"/>
          </w:tcPr>
          <w:p w14:paraId="2CF9E525" w14:textId="77777777" w:rsidR="00DE1E95" w:rsidRPr="00DE1E95" w:rsidRDefault="00DE1E95" w:rsidP="002F131C">
            <w:pPr>
              <w:ind w:hanging="2"/>
              <w:jc w:val="center"/>
              <w:rPr>
                <w:rFonts w:ascii="Montserrat Medium" w:hAnsi="Montserrat Medium"/>
                <w:i/>
                <w:color w:val="000000"/>
                <w:sz w:val="18"/>
                <w:szCs w:val="20"/>
              </w:rPr>
            </w:pPr>
            <w:r w:rsidRPr="00DE1E95">
              <w:rPr>
                <w:rFonts w:ascii="Montserrat Medium" w:hAnsi="Montserrat Medium"/>
                <w:i/>
                <w:color w:val="000000"/>
                <w:sz w:val="18"/>
                <w:szCs w:val="20"/>
              </w:rPr>
              <w:t>4.70 %</w:t>
            </w:r>
          </w:p>
        </w:tc>
        <w:tc>
          <w:tcPr>
            <w:tcW w:w="1924" w:type="dxa"/>
            <w:tcBorders>
              <w:top w:val="nil"/>
              <w:left w:val="nil"/>
              <w:bottom w:val="single" w:sz="8" w:space="0" w:color="000000"/>
              <w:right w:val="nil"/>
            </w:tcBorders>
            <w:vAlign w:val="center"/>
          </w:tcPr>
          <w:p w14:paraId="09D89682" w14:textId="77777777" w:rsidR="00DE1E95" w:rsidRPr="00DE1E95" w:rsidRDefault="00DE1E95" w:rsidP="002F131C">
            <w:pPr>
              <w:ind w:hanging="2"/>
              <w:jc w:val="center"/>
              <w:rPr>
                <w:rFonts w:ascii="Montserrat Medium" w:hAnsi="Montserrat Medium"/>
                <w:i/>
                <w:color w:val="000000"/>
                <w:sz w:val="18"/>
                <w:szCs w:val="20"/>
              </w:rPr>
            </w:pPr>
            <w:r w:rsidRPr="00DE1E95">
              <w:rPr>
                <w:rFonts w:ascii="Montserrat Medium" w:hAnsi="Montserrat Medium"/>
                <w:i/>
                <w:color w:val="000000"/>
                <w:sz w:val="18"/>
                <w:szCs w:val="20"/>
              </w:rPr>
              <w:t>3.81 %</w:t>
            </w:r>
          </w:p>
        </w:tc>
        <w:tc>
          <w:tcPr>
            <w:tcW w:w="1924" w:type="dxa"/>
            <w:tcBorders>
              <w:top w:val="nil"/>
              <w:left w:val="nil"/>
              <w:bottom w:val="single" w:sz="8" w:space="0" w:color="000000"/>
              <w:right w:val="nil"/>
            </w:tcBorders>
            <w:vAlign w:val="center"/>
          </w:tcPr>
          <w:p w14:paraId="5512B970" w14:textId="77777777" w:rsidR="00DE1E95" w:rsidRPr="00DE1E95" w:rsidRDefault="00DE1E95" w:rsidP="002F131C">
            <w:pPr>
              <w:ind w:hanging="2"/>
              <w:jc w:val="center"/>
              <w:rPr>
                <w:rFonts w:ascii="Montserrat Medium" w:hAnsi="Montserrat Medium"/>
                <w:i/>
                <w:color w:val="000000"/>
                <w:sz w:val="18"/>
                <w:szCs w:val="20"/>
              </w:rPr>
            </w:pPr>
            <w:r w:rsidRPr="00DE1E95">
              <w:rPr>
                <w:rFonts w:ascii="Montserrat Medium" w:hAnsi="Montserrat Medium"/>
                <w:i/>
                <w:color w:val="000000"/>
                <w:sz w:val="18"/>
                <w:szCs w:val="20"/>
              </w:rPr>
              <w:t>4.26%</w:t>
            </w:r>
          </w:p>
        </w:tc>
      </w:tr>
    </w:tbl>
    <w:p w14:paraId="040D5B9E" w14:textId="77777777" w:rsidR="00DE1E95" w:rsidRPr="00DE1E95" w:rsidRDefault="00DE1E95" w:rsidP="002F131C">
      <w:pPr>
        <w:ind w:hanging="2"/>
        <w:jc w:val="both"/>
        <w:rPr>
          <w:rFonts w:ascii="Montserrat Medium" w:hAnsi="Montserrat Medium"/>
          <w:i/>
          <w:color w:val="000000"/>
          <w:sz w:val="16"/>
          <w:szCs w:val="16"/>
        </w:rPr>
      </w:pPr>
      <w:r w:rsidRPr="00DE1E95">
        <w:rPr>
          <w:rFonts w:ascii="Montserrat Medium" w:hAnsi="Montserrat Medium"/>
          <w:i/>
          <w:color w:val="000000"/>
          <w:sz w:val="16"/>
          <w:szCs w:val="16"/>
        </w:rPr>
        <w:t xml:space="preserve">1Q: Los datos de junio incluyen información hasta la primera quincena. </w:t>
      </w:r>
    </w:p>
    <w:p w14:paraId="0F807D97" w14:textId="00FB55DE" w:rsidR="00DE1E95" w:rsidRPr="00DE1E95" w:rsidRDefault="00861B30" w:rsidP="002F131C">
      <w:pPr>
        <w:ind w:hanging="2"/>
        <w:jc w:val="both"/>
        <w:rPr>
          <w:rFonts w:ascii="Montserrat Medium" w:hAnsi="Montserrat Medium"/>
          <w:i/>
          <w:color w:val="000000"/>
          <w:sz w:val="16"/>
          <w:szCs w:val="16"/>
        </w:rPr>
      </w:pPr>
      <w:r>
        <w:rPr>
          <w:rFonts w:ascii="Montserrat Medium" w:hAnsi="Montserrat Medium"/>
          <w:i/>
          <w:color w:val="000000"/>
          <w:sz w:val="16"/>
          <w:szCs w:val="16"/>
        </w:rPr>
        <w:t xml:space="preserve">Fuente: </w:t>
      </w:r>
      <w:r w:rsidR="00DE1E95" w:rsidRPr="00DE1E95">
        <w:rPr>
          <w:rFonts w:ascii="Montserrat Medium" w:hAnsi="Montserrat Medium"/>
          <w:i/>
          <w:color w:val="000000"/>
          <w:sz w:val="16"/>
          <w:szCs w:val="16"/>
        </w:rPr>
        <w:t>Elaboración de la subsecretaría de Análisis Económico y Finanzas Públicas de la Secretaría de Finanzas y Planeación con información del INEGI, 2025.</w:t>
      </w:r>
    </w:p>
    <w:p w14:paraId="26E01B54" w14:textId="77777777" w:rsidR="00DE1E95" w:rsidRPr="00DE1E95" w:rsidRDefault="00DE1E95" w:rsidP="002F131C">
      <w:pPr>
        <w:ind w:hanging="2"/>
        <w:jc w:val="both"/>
        <w:rPr>
          <w:rFonts w:ascii="Montserrat Medium" w:eastAsia="Montserrat Medium" w:hAnsi="Montserrat Medium" w:cs="Montserrat Medium"/>
          <w:color w:val="595959"/>
          <w:sz w:val="20"/>
          <w:szCs w:val="20"/>
        </w:rPr>
      </w:pPr>
    </w:p>
    <w:p w14:paraId="53AA50B9" w14:textId="14BCD7BF" w:rsidR="005365AD" w:rsidRPr="00DE1E95" w:rsidRDefault="005365AD" w:rsidP="002F131C">
      <w:pPr>
        <w:pStyle w:val="Prrafodelista"/>
        <w:keepNext/>
        <w:keepLines/>
        <w:numPr>
          <w:ilvl w:val="0"/>
          <w:numId w:val="35"/>
        </w:numPr>
        <w:jc w:val="both"/>
        <w:rPr>
          <w:rFonts w:ascii="Montserrat Medium" w:eastAsia="Montserrat Medium" w:hAnsi="Montserrat Medium" w:cs="Montserrat Medium"/>
          <w:b/>
          <w:i/>
          <w:color w:val="595959"/>
          <w:sz w:val="20"/>
          <w:szCs w:val="20"/>
        </w:rPr>
      </w:pPr>
      <w:r w:rsidRPr="00DE1E95">
        <w:rPr>
          <w:rFonts w:ascii="Montserrat Medium" w:eastAsia="Montserrat Medium" w:hAnsi="Montserrat Medium" w:cs="Montserrat Medium"/>
          <w:b/>
          <w:i/>
          <w:color w:val="595959"/>
          <w:sz w:val="20"/>
          <w:szCs w:val="20"/>
        </w:rPr>
        <w:t xml:space="preserve">Tasa de desempleo. </w:t>
      </w:r>
    </w:p>
    <w:p w14:paraId="5E343AB3" w14:textId="77777777" w:rsidR="00AF5900" w:rsidRPr="00DE1E95" w:rsidRDefault="00AF5900" w:rsidP="002F131C">
      <w:pPr>
        <w:pStyle w:val="Prrafodelista"/>
        <w:keepNext/>
        <w:keepLines/>
        <w:ind w:left="358"/>
        <w:jc w:val="both"/>
        <w:rPr>
          <w:rFonts w:ascii="Montserrat Medium" w:eastAsia="Montserrat Medium" w:hAnsi="Montserrat Medium" w:cs="Montserrat Medium"/>
          <w:color w:val="595959"/>
          <w:sz w:val="20"/>
          <w:szCs w:val="20"/>
        </w:rPr>
      </w:pPr>
    </w:p>
    <w:p w14:paraId="47E799AE" w14:textId="77777777" w:rsidR="005365AD" w:rsidRDefault="005365AD" w:rsidP="002F131C">
      <w:pPr>
        <w:ind w:hanging="2"/>
        <w:jc w:val="both"/>
        <w:rPr>
          <w:rFonts w:ascii="Montserrat Medium" w:eastAsia="Montserrat Medium" w:hAnsi="Montserrat Medium" w:cs="Montserrat Medium"/>
          <w:color w:val="595959"/>
          <w:sz w:val="20"/>
          <w:szCs w:val="20"/>
        </w:rPr>
      </w:pPr>
      <w:r w:rsidRPr="00DE1E95">
        <w:rPr>
          <w:rFonts w:ascii="Montserrat Medium" w:eastAsia="Montserrat Medium" w:hAnsi="Montserrat Medium" w:cs="Montserrat Medium"/>
          <w:color w:val="595959"/>
          <w:sz w:val="20"/>
          <w:szCs w:val="20"/>
        </w:rPr>
        <w:t xml:space="preserve">La tasa de desempleo es relevante por su efecto sobre el nivel de recaudación del Impuesto sobre Nómina (ISN), la tasa de desempleo incluye la evolución tanto del empleo formal como informal y el ISN abarca solo el sector formal, dado que el ISN se aplica sobre las erogaciones realizadas por concepto de remuneraciones al trabajo personal subordinados con relaciones contractuales. El </w:t>
      </w:r>
      <w:r w:rsidRPr="00DE1E95">
        <w:rPr>
          <w:rFonts w:ascii="Montserrat Medium" w:eastAsia="Montserrat Medium" w:hAnsi="Montserrat Medium" w:cs="Montserrat Medium"/>
          <w:color w:val="595959"/>
          <w:sz w:val="20"/>
          <w:szCs w:val="20"/>
        </w:rPr>
        <w:lastRenderedPageBreak/>
        <w:t>ISN representa el rubro más importante por concepto de ingresos propios, por lo que reducciones en el nivel de empleo representaría una reducción en los ingresos del estado.</w:t>
      </w:r>
    </w:p>
    <w:p w14:paraId="64173604" w14:textId="77777777" w:rsidR="00DE1E95" w:rsidRPr="00DE1E95" w:rsidRDefault="00DE1E95" w:rsidP="002F131C">
      <w:pPr>
        <w:ind w:hanging="2"/>
        <w:jc w:val="both"/>
        <w:rPr>
          <w:rFonts w:ascii="Montserrat Medium" w:eastAsia="Montserrat Medium" w:hAnsi="Montserrat Medium" w:cs="Montserrat Medium"/>
          <w:color w:val="595959"/>
          <w:sz w:val="20"/>
          <w:szCs w:val="20"/>
        </w:rPr>
      </w:pPr>
    </w:p>
    <w:p w14:paraId="503F934C" w14:textId="77777777" w:rsidR="00DE1E95" w:rsidRPr="00DE1E95" w:rsidRDefault="00DE1E95" w:rsidP="002F131C">
      <w:pPr>
        <w:rPr>
          <w:rFonts w:ascii="Montserrat Medium" w:eastAsia="Montserrat Medium" w:hAnsi="Montserrat Medium" w:cs="Montserrat Medium"/>
          <w:color w:val="595959"/>
          <w:sz w:val="20"/>
          <w:szCs w:val="20"/>
        </w:rPr>
      </w:pPr>
      <w:r w:rsidRPr="00DE1E95">
        <w:rPr>
          <w:rFonts w:ascii="Montserrat Medium" w:eastAsia="Montserrat Medium" w:hAnsi="Montserrat Medium" w:cs="Montserrat Medium"/>
          <w:color w:val="595959"/>
          <w:sz w:val="20"/>
          <w:szCs w:val="20"/>
        </w:rPr>
        <w:t xml:space="preserve">Los últimos datos publicados del mercado laboral (27-05-25) incluyen datos al cierre del primer trimestre de 2025, en donde la tasa de desempleo se ubicó en 2.38 %. Esto revela una mejora de la situación del mercado laboral ya que es un nivel de desocupación inferior al de los 3 trimestres previos. </w:t>
      </w:r>
    </w:p>
    <w:p w14:paraId="2BB352B5" w14:textId="77777777" w:rsidR="00DE1E95" w:rsidRPr="00DE1E95" w:rsidRDefault="00DE1E95" w:rsidP="002F131C">
      <w:pPr>
        <w:keepNext/>
        <w:pBdr>
          <w:top w:val="nil"/>
          <w:left w:val="nil"/>
          <w:bottom w:val="nil"/>
          <w:right w:val="nil"/>
          <w:between w:val="nil"/>
        </w:pBdr>
        <w:spacing w:after="200"/>
        <w:ind w:hanging="2"/>
        <w:jc w:val="center"/>
        <w:rPr>
          <w:rFonts w:ascii="Montserrat Medium" w:hAnsi="Montserrat Medium"/>
          <w:i/>
          <w:color w:val="000000"/>
          <w:sz w:val="20"/>
          <w:szCs w:val="20"/>
        </w:rPr>
      </w:pPr>
      <w:r w:rsidRPr="00DE1E95">
        <w:rPr>
          <w:rFonts w:ascii="Montserrat Medium" w:hAnsi="Montserrat Medium"/>
          <w:i/>
          <w:color w:val="000000"/>
          <w:sz w:val="20"/>
          <w:szCs w:val="20"/>
        </w:rPr>
        <w:t>Tabla 4. Tasa de desempleo en Quintana Roo, 2024-2025</w:t>
      </w:r>
    </w:p>
    <w:tbl>
      <w:tblPr>
        <w:tblW w:w="9781" w:type="dxa"/>
        <w:jc w:val="center"/>
        <w:tblLayout w:type="fixed"/>
        <w:tblLook w:val="0400" w:firstRow="0" w:lastRow="0" w:firstColumn="0" w:lastColumn="0" w:noHBand="0" w:noVBand="1"/>
      </w:tblPr>
      <w:tblGrid>
        <w:gridCol w:w="1631"/>
        <w:gridCol w:w="1771"/>
        <w:gridCol w:w="1701"/>
        <w:gridCol w:w="1560"/>
        <w:gridCol w:w="1559"/>
        <w:gridCol w:w="1559"/>
      </w:tblGrid>
      <w:tr w:rsidR="00DE1E95" w:rsidRPr="00DE1E95" w14:paraId="0ECE8DB4" w14:textId="77777777" w:rsidTr="00C70CE4">
        <w:trPr>
          <w:trHeight w:val="315"/>
          <w:jc w:val="center"/>
        </w:trPr>
        <w:tc>
          <w:tcPr>
            <w:tcW w:w="1631" w:type="dxa"/>
            <w:tcBorders>
              <w:top w:val="single" w:sz="8" w:space="0" w:color="000000"/>
              <w:left w:val="nil"/>
              <w:bottom w:val="single" w:sz="8" w:space="0" w:color="000000"/>
              <w:right w:val="nil"/>
            </w:tcBorders>
            <w:vAlign w:val="center"/>
          </w:tcPr>
          <w:p w14:paraId="1978B9B4" w14:textId="77777777" w:rsidR="00DE1E95" w:rsidRPr="00DE1E95" w:rsidRDefault="00DE1E95" w:rsidP="002F131C">
            <w:pPr>
              <w:keepNext/>
              <w:spacing w:after="200"/>
              <w:ind w:hanging="2"/>
              <w:jc w:val="center"/>
              <w:rPr>
                <w:rFonts w:ascii="Montserrat Medium" w:hAnsi="Montserrat Medium"/>
                <w:b/>
                <w:i/>
                <w:color w:val="000000"/>
                <w:sz w:val="20"/>
                <w:szCs w:val="20"/>
              </w:rPr>
            </w:pPr>
            <w:r w:rsidRPr="00DE1E95">
              <w:rPr>
                <w:rFonts w:ascii="Montserrat Medium" w:hAnsi="Montserrat Medium"/>
                <w:b/>
                <w:i/>
                <w:color w:val="000000"/>
                <w:sz w:val="20"/>
                <w:szCs w:val="20"/>
              </w:rPr>
              <w:t>Año</w:t>
            </w:r>
          </w:p>
        </w:tc>
        <w:tc>
          <w:tcPr>
            <w:tcW w:w="1771" w:type="dxa"/>
            <w:tcBorders>
              <w:top w:val="single" w:sz="8" w:space="0" w:color="000000"/>
              <w:left w:val="nil"/>
              <w:bottom w:val="single" w:sz="8" w:space="0" w:color="000000"/>
              <w:right w:val="nil"/>
            </w:tcBorders>
            <w:vAlign w:val="center"/>
          </w:tcPr>
          <w:p w14:paraId="477900F6" w14:textId="77777777" w:rsidR="00DE1E95" w:rsidRPr="00DE1E95" w:rsidRDefault="00DE1E95" w:rsidP="002F131C">
            <w:pPr>
              <w:keepNext/>
              <w:spacing w:after="200"/>
              <w:ind w:hanging="2"/>
              <w:jc w:val="center"/>
              <w:rPr>
                <w:rFonts w:ascii="Montserrat Medium" w:hAnsi="Montserrat Medium"/>
                <w:b/>
                <w:i/>
                <w:color w:val="000000"/>
                <w:sz w:val="20"/>
                <w:szCs w:val="20"/>
              </w:rPr>
            </w:pPr>
            <w:r w:rsidRPr="00DE1E95">
              <w:rPr>
                <w:rFonts w:ascii="Montserrat Medium" w:hAnsi="Montserrat Medium"/>
                <w:b/>
                <w:i/>
                <w:color w:val="000000"/>
                <w:sz w:val="20"/>
                <w:szCs w:val="20"/>
              </w:rPr>
              <w:t>1er trimestre de 2024</w:t>
            </w:r>
          </w:p>
        </w:tc>
        <w:tc>
          <w:tcPr>
            <w:tcW w:w="1701" w:type="dxa"/>
            <w:tcBorders>
              <w:top w:val="single" w:sz="8" w:space="0" w:color="000000"/>
              <w:left w:val="nil"/>
              <w:bottom w:val="single" w:sz="8" w:space="0" w:color="000000"/>
              <w:right w:val="nil"/>
            </w:tcBorders>
            <w:vAlign w:val="center"/>
          </w:tcPr>
          <w:p w14:paraId="0826BDA7" w14:textId="77777777" w:rsidR="00DE1E95" w:rsidRPr="00DE1E95" w:rsidRDefault="00DE1E95" w:rsidP="002F131C">
            <w:pPr>
              <w:keepNext/>
              <w:spacing w:after="200"/>
              <w:ind w:hanging="2"/>
              <w:jc w:val="center"/>
              <w:rPr>
                <w:rFonts w:ascii="Montserrat Medium" w:hAnsi="Montserrat Medium"/>
                <w:b/>
                <w:i/>
                <w:color w:val="000000"/>
                <w:sz w:val="20"/>
                <w:szCs w:val="20"/>
              </w:rPr>
            </w:pPr>
            <w:r w:rsidRPr="00DE1E95">
              <w:rPr>
                <w:rFonts w:ascii="Montserrat Medium" w:hAnsi="Montserrat Medium"/>
                <w:b/>
                <w:i/>
                <w:color w:val="000000"/>
                <w:sz w:val="20"/>
                <w:szCs w:val="20"/>
              </w:rPr>
              <w:t>2do trimestre de 2024</w:t>
            </w:r>
          </w:p>
        </w:tc>
        <w:tc>
          <w:tcPr>
            <w:tcW w:w="1560" w:type="dxa"/>
            <w:tcBorders>
              <w:top w:val="single" w:sz="8" w:space="0" w:color="000000"/>
              <w:left w:val="nil"/>
              <w:bottom w:val="single" w:sz="8" w:space="0" w:color="000000"/>
              <w:right w:val="nil"/>
            </w:tcBorders>
            <w:vAlign w:val="center"/>
          </w:tcPr>
          <w:p w14:paraId="514672CE" w14:textId="77777777" w:rsidR="00DE1E95" w:rsidRPr="00DE1E95" w:rsidRDefault="00DE1E95" w:rsidP="002F131C">
            <w:pPr>
              <w:keepNext/>
              <w:spacing w:after="200"/>
              <w:ind w:hanging="2"/>
              <w:jc w:val="center"/>
              <w:rPr>
                <w:rFonts w:ascii="Montserrat Medium" w:hAnsi="Montserrat Medium"/>
                <w:b/>
                <w:i/>
                <w:color w:val="000000"/>
                <w:sz w:val="20"/>
                <w:szCs w:val="20"/>
              </w:rPr>
            </w:pPr>
            <w:r w:rsidRPr="00DE1E95">
              <w:rPr>
                <w:rFonts w:ascii="Montserrat Medium" w:hAnsi="Montserrat Medium"/>
                <w:b/>
                <w:i/>
                <w:color w:val="000000"/>
                <w:sz w:val="20"/>
                <w:szCs w:val="20"/>
              </w:rPr>
              <w:t>3er trimestre de 2024</w:t>
            </w:r>
          </w:p>
        </w:tc>
        <w:tc>
          <w:tcPr>
            <w:tcW w:w="1559" w:type="dxa"/>
            <w:tcBorders>
              <w:top w:val="single" w:sz="8" w:space="0" w:color="000000"/>
              <w:left w:val="nil"/>
              <w:bottom w:val="single" w:sz="8" w:space="0" w:color="000000"/>
              <w:right w:val="nil"/>
            </w:tcBorders>
          </w:tcPr>
          <w:p w14:paraId="16AF1916" w14:textId="77777777" w:rsidR="00DE1E95" w:rsidRPr="00DE1E95" w:rsidRDefault="00DE1E95" w:rsidP="002F131C">
            <w:pPr>
              <w:keepNext/>
              <w:spacing w:after="200"/>
              <w:ind w:hanging="2"/>
              <w:jc w:val="center"/>
              <w:rPr>
                <w:rFonts w:ascii="Montserrat Medium" w:hAnsi="Montserrat Medium"/>
                <w:b/>
                <w:i/>
                <w:color w:val="000000"/>
                <w:sz w:val="20"/>
                <w:szCs w:val="20"/>
              </w:rPr>
            </w:pPr>
            <w:r w:rsidRPr="00DE1E95">
              <w:rPr>
                <w:rFonts w:ascii="Montserrat Medium" w:hAnsi="Montserrat Medium"/>
                <w:b/>
                <w:i/>
                <w:color w:val="000000"/>
                <w:sz w:val="20"/>
                <w:szCs w:val="20"/>
              </w:rPr>
              <w:t>4to trimestre de 2024</w:t>
            </w:r>
          </w:p>
        </w:tc>
        <w:tc>
          <w:tcPr>
            <w:tcW w:w="1559" w:type="dxa"/>
            <w:tcBorders>
              <w:top w:val="single" w:sz="8" w:space="0" w:color="000000"/>
              <w:left w:val="nil"/>
              <w:bottom w:val="single" w:sz="8" w:space="0" w:color="000000"/>
              <w:right w:val="nil"/>
            </w:tcBorders>
            <w:vAlign w:val="center"/>
          </w:tcPr>
          <w:p w14:paraId="56622912" w14:textId="77777777" w:rsidR="00DE1E95" w:rsidRPr="00DE1E95" w:rsidRDefault="00DE1E95" w:rsidP="002F131C">
            <w:pPr>
              <w:keepNext/>
              <w:spacing w:after="200"/>
              <w:ind w:hanging="2"/>
              <w:jc w:val="center"/>
              <w:rPr>
                <w:rFonts w:ascii="Montserrat Medium" w:hAnsi="Montserrat Medium"/>
                <w:b/>
                <w:i/>
                <w:color w:val="000000"/>
                <w:sz w:val="20"/>
                <w:szCs w:val="20"/>
              </w:rPr>
            </w:pPr>
            <w:r w:rsidRPr="00DE1E95">
              <w:rPr>
                <w:rFonts w:ascii="Montserrat Medium" w:hAnsi="Montserrat Medium"/>
                <w:b/>
                <w:i/>
                <w:color w:val="000000"/>
                <w:sz w:val="20"/>
                <w:szCs w:val="20"/>
              </w:rPr>
              <w:t>1er trimestre de 2025</w:t>
            </w:r>
          </w:p>
        </w:tc>
      </w:tr>
      <w:tr w:rsidR="00DE1E95" w:rsidRPr="00DE1E95" w14:paraId="5481BE4C" w14:textId="77777777" w:rsidTr="00C70CE4">
        <w:trPr>
          <w:trHeight w:val="315"/>
          <w:jc w:val="center"/>
        </w:trPr>
        <w:tc>
          <w:tcPr>
            <w:tcW w:w="1631" w:type="dxa"/>
            <w:tcBorders>
              <w:top w:val="nil"/>
              <w:left w:val="nil"/>
              <w:bottom w:val="single" w:sz="8" w:space="0" w:color="000000"/>
              <w:right w:val="nil"/>
            </w:tcBorders>
            <w:vAlign w:val="center"/>
          </w:tcPr>
          <w:p w14:paraId="251EF707" w14:textId="77777777" w:rsidR="00DE1E95" w:rsidRPr="00DE1E95" w:rsidRDefault="00DE1E95" w:rsidP="002F131C">
            <w:pPr>
              <w:keepNext/>
              <w:spacing w:after="200"/>
              <w:ind w:hanging="2"/>
              <w:jc w:val="center"/>
              <w:rPr>
                <w:rFonts w:ascii="Montserrat Medium" w:hAnsi="Montserrat Medium"/>
                <w:i/>
                <w:color w:val="000000"/>
                <w:sz w:val="20"/>
                <w:szCs w:val="20"/>
              </w:rPr>
            </w:pPr>
            <w:r w:rsidRPr="00DE1E95">
              <w:rPr>
                <w:rFonts w:ascii="Montserrat Medium" w:hAnsi="Montserrat Medium"/>
                <w:i/>
                <w:color w:val="000000"/>
                <w:sz w:val="20"/>
                <w:szCs w:val="20"/>
              </w:rPr>
              <w:t>Desempleo</w:t>
            </w:r>
          </w:p>
        </w:tc>
        <w:tc>
          <w:tcPr>
            <w:tcW w:w="1771" w:type="dxa"/>
            <w:tcBorders>
              <w:top w:val="nil"/>
              <w:left w:val="nil"/>
              <w:bottom w:val="single" w:sz="8" w:space="0" w:color="000000"/>
              <w:right w:val="nil"/>
            </w:tcBorders>
            <w:vAlign w:val="center"/>
          </w:tcPr>
          <w:p w14:paraId="2FF789B5" w14:textId="77777777" w:rsidR="00DE1E95" w:rsidRPr="00DE1E95" w:rsidRDefault="00DE1E95" w:rsidP="002F131C">
            <w:pPr>
              <w:keepNext/>
              <w:spacing w:after="200"/>
              <w:ind w:hanging="2"/>
              <w:jc w:val="center"/>
              <w:rPr>
                <w:rFonts w:ascii="Montserrat Medium" w:hAnsi="Montserrat Medium"/>
                <w:i/>
                <w:color w:val="000000"/>
                <w:sz w:val="20"/>
                <w:szCs w:val="20"/>
              </w:rPr>
            </w:pPr>
            <w:r w:rsidRPr="00DE1E95">
              <w:rPr>
                <w:rFonts w:ascii="Montserrat Medium" w:hAnsi="Montserrat Medium"/>
                <w:i/>
                <w:color w:val="000000"/>
                <w:sz w:val="20"/>
                <w:szCs w:val="20"/>
              </w:rPr>
              <w:t>2.18%</w:t>
            </w:r>
          </w:p>
        </w:tc>
        <w:tc>
          <w:tcPr>
            <w:tcW w:w="1701" w:type="dxa"/>
            <w:tcBorders>
              <w:top w:val="nil"/>
              <w:left w:val="nil"/>
              <w:bottom w:val="single" w:sz="8" w:space="0" w:color="000000"/>
              <w:right w:val="nil"/>
            </w:tcBorders>
            <w:vAlign w:val="center"/>
          </w:tcPr>
          <w:p w14:paraId="466AA724" w14:textId="77777777" w:rsidR="00DE1E95" w:rsidRPr="00DE1E95" w:rsidRDefault="00DE1E95" w:rsidP="002F131C">
            <w:pPr>
              <w:keepNext/>
              <w:spacing w:after="200"/>
              <w:ind w:hanging="2"/>
              <w:jc w:val="center"/>
              <w:rPr>
                <w:rFonts w:ascii="Montserrat Medium" w:hAnsi="Montserrat Medium"/>
                <w:i/>
                <w:color w:val="000000"/>
                <w:sz w:val="20"/>
                <w:szCs w:val="20"/>
              </w:rPr>
            </w:pPr>
            <w:r w:rsidRPr="00DE1E95">
              <w:rPr>
                <w:rFonts w:ascii="Montserrat Medium" w:hAnsi="Montserrat Medium"/>
                <w:i/>
                <w:color w:val="000000"/>
                <w:sz w:val="20"/>
                <w:szCs w:val="20"/>
              </w:rPr>
              <w:t>2.63%</w:t>
            </w:r>
          </w:p>
        </w:tc>
        <w:tc>
          <w:tcPr>
            <w:tcW w:w="1560" w:type="dxa"/>
            <w:tcBorders>
              <w:top w:val="nil"/>
              <w:left w:val="nil"/>
              <w:bottom w:val="single" w:sz="8" w:space="0" w:color="000000"/>
              <w:right w:val="nil"/>
            </w:tcBorders>
            <w:vAlign w:val="center"/>
          </w:tcPr>
          <w:p w14:paraId="049AE760" w14:textId="77777777" w:rsidR="00DE1E95" w:rsidRPr="00DE1E95" w:rsidRDefault="00DE1E95" w:rsidP="002F131C">
            <w:pPr>
              <w:keepNext/>
              <w:spacing w:after="200"/>
              <w:ind w:hanging="2"/>
              <w:jc w:val="center"/>
              <w:rPr>
                <w:rFonts w:ascii="Montserrat Medium" w:hAnsi="Montserrat Medium"/>
                <w:i/>
                <w:color w:val="000000"/>
                <w:sz w:val="20"/>
                <w:szCs w:val="20"/>
              </w:rPr>
            </w:pPr>
            <w:r w:rsidRPr="00DE1E95">
              <w:rPr>
                <w:rFonts w:ascii="Montserrat Medium" w:hAnsi="Montserrat Medium"/>
                <w:i/>
                <w:color w:val="000000"/>
                <w:sz w:val="20"/>
                <w:szCs w:val="20"/>
              </w:rPr>
              <w:t>2.59%</w:t>
            </w:r>
          </w:p>
        </w:tc>
        <w:tc>
          <w:tcPr>
            <w:tcW w:w="1559" w:type="dxa"/>
            <w:tcBorders>
              <w:top w:val="nil"/>
              <w:left w:val="nil"/>
              <w:bottom w:val="single" w:sz="8" w:space="0" w:color="000000"/>
              <w:right w:val="nil"/>
            </w:tcBorders>
            <w:vAlign w:val="center"/>
          </w:tcPr>
          <w:p w14:paraId="45AAF271" w14:textId="77777777" w:rsidR="00DE1E95" w:rsidRPr="00DE1E95" w:rsidRDefault="00DE1E95" w:rsidP="002F131C">
            <w:pPr>
              <w:keepNext/>
              <w:spacing w:after="200"/>
              <w:ind w:hanging="2"/>
              <w:jc w:val="center"/>
              <w:rPr>
                <w:rFonts w:ascii="Montserrat Medium" w:hAnsi="Montserrat Medium"/>
                <w:i/>
                <w:color w:val="000000"/>
                <w:sz w:val="20"/>
                <w:szCs w:val="20"/>
              </w:rPr>
            </w:pPr>
            <w:r w:rsidRPr="00DE1E95">
              <w:rPr>
                <w:rFonts w:ascii="Montserrat Medium" w:hAnsi="Montserrat Medium"/>
                <w:i/>
                <w:color w:val="000000"/>
                <w:sz w:val="20"/>
                <w:szCs w:val="20"/>
              </w:rPr>
              <w:t>2.66 %</w:t>
            </w:r>
          </w:p>
        </w:tc>
        <w:tc>
          <w:tcPr>
            <w:tcW w:w="1559" w:type="dxa"/>
            <w:tcBorders>
              <w:top w:val="nil"/>
              <w:left w:val="nil"/>
              <w:bottom w:val="single" w:sz="8" w:space="0" w:color="000000"/>
              <w:right w:val="nil"/>
            </w:tcBorders>
            <w:vAlign w:val="center"/>
          </w:tcPr>
          <w:p w14:paraId="4A23A51A" w14:textId="77777777" w:rsidR="00DE1E95" w:rsidRPr="00DE1E95" w:rsidRDefault="00DE1E95" w:rsidP="002F131C">
            <w:pPr>
              <w:keepNext/>
              <w:spacing w:after="200"/>
              <w:ind w:hanging="2"/>
              <w:jc w:val="center"/>
              <w:rPr>
                <w:rFonts w:ascii="Montserrat Medium" w:hAnsi="Montserrat Medium"/>
                <w:i/>
                <w:color w:val="000000"/>
                <w:sz w:val="20"/>
                <w:szCs w:val="20"/>
              </w:rPr>
            </w:pPr>
            <w:r w:rsidRPr="00DE1E95">
              <w:rPr>
                <w:rFonts w:ascii="Montserrat Medium" w:hAnsi="Montserrat Medium"/>
                <w:i/>
                <w:color w:val="000000"/>
                <w:sz w:val="20"/>
                <w:szCs w:val="20"/>
              </w:rPr>
              <w:t>2.38%</w:t>
            </w:r>
          </w:p>
        </w:tc>
      </w:tr>
    </w:tbl>
    <w:p w14:paraId="106E3A03" w14:textId="77777777" w:rsidR="00DE1E95" w:rsidRPr="00DE1E95" w:rsidRDefault="00DE1E95" w:rsidP="002F131C">
      <w:pPr>
        <w:keepNext/>
        <w:pBdr>
          <w:top w:val="nil"/>
          <w:left w:val="nil"/>
          <w:bottom w:val="nil"/>
          <w:right w:val="nil"/>
          <w:between w:val="nil"/>
        </w:pBdr>
        <w:spacing w:after="200"/>
        <w:ind w:hanging="2"/>
        <w:rPr>
          <w:rFonts w:ascii="Montserrat Medium" w:hAnsi="Montserrat Medium"/>
          <w:i/>
          <w:color w:val="000000"/>
          <w:sz w:val="16"/>
          <w:szCs w:val="16"/>
        </w:rPr>
      </w:pPr>
      <w:r w:rsidRPr="00DE1E95">
        <w:rPr>
          <w:rFonts w:ascii="Montserrat Medium" w:hAnsi="Montserrat Medium"/>
          <w:i/>
          <w:color w:val="000000"/>
          <w:sz w:val="16"/>
          <w:szCs w:val="16"/>
        </w:rPr>
        <w:t>Fuente: Elaboración de la subsecretaría de Análisis Económico y Finanzas Públicas de la Secretaría de Finanzas y Planeación con información del INEGI, 2025.</w:t>
      </w:r>
    </w:p>
    <w:p w14:paraId="57011C68" w14:textId="2F50361C" w:rsidR="008257FE" w:rsidRPr="00D56579" w:rsidRDefault="003F0DC7" w:rsidP="002F131C">
      <w:pPr>
        <w:keepNext/>
        <w:keepLines/>
        <w:ind w:left="1416" w:hanging="1416"/>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3.</w:t>
      </w:r>
      <w:r w:rsidR="008257FE" w:rsidRPr="00D56579">
        <w:rPr>
          <w:rFonts w:ascii="Montserrat Medium" w:eastAsia="Times New Roman" w:hAnsi="Montserrat Medium" w:cs="Arial"/>
          <w:b/>
          <w:i/>
          <w:iCs/>
          <w:color w:val="595959"/>
          <w:sz w:val="22"/>
        </w:rPr>
        <w:t xml:space="preserve"> Organización y Objeto Social</w:t>
      </w:r>
    </w:p>
    <w:p w14:paraId="40AFB219" w14:textId="77777777" w:rsidR="00811C5E" w:rsidRPr="00D56579" w:rsidRDefault="00811C5E" w:rsidP="002F131C">
      <w:pPr>
        <w:keepNext/>
        <w:keepLines/>
        <w:ind w:left="1296" w:hanging="1296"/>
        <w:jc w:val="both"/>
        <w:outlineLvl w:val="6"/>
        <w:rPr>
          <w:rFonts w:ascii="Montserrat Medium" w:eastAsia="Times New Roman" w:hAnsi="Montserrat Medium" w:cs="Arial"/>
          <w:b/>
          <w:i/>
          <w:iCs/>
          <w:color w:val="595959"/>
          <w:sz w:val="22"/>
        </w:rPr>
      </w:pPr>
    </w:p>
    <w:p w14:paraId="36C2434A" w14:textId="29927CF0" w:rsidR="008257FE" w:rsidRPr="00D56579" w:rsidRDefault="003F0DC7" w:rsidP="002F131C">
      <w:pPr>
        <w:keepNext/>
        <w:keepLines/>
        <w:ind w:left="1296" w:hanging="1296"/>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a)</w:t>
      </w:r>
      <w:r w:rsidR="008257FE" w:rsidRPr="00D56579">
        <w:rPr>
          <w:rFonts w:ascii="Montserrat Medium" w:eastAsia="Times New Roman" w:hAnsi="Montserrat Medium" w:cs="Arial"/>
          <w:b/>
          <w:i/>
          <w:iCs/>
          <w:color w:val="595959"/>
          <w:sz w:val="22"/>
        </w:rPr>
        <w:t xml:space="preserve"> Objeto Social</w:t>
      </w:r>
      <w:r w:rsidR="00C00037">
        <w:rPr>
          <w:rFonts w:ascii="Montserrat Medium" w:eastAsia="Times New Roman" w:hAnsi="Montserrat Medium" w:cs="Arial"/>
          <w:b/>
          <w:i/>
          <w:iCs/>
          <w:color w:val="595959"/>
          <w:sz w:val="22"/>
        </w:rPr>
        <w:t xml:space="preserve"> </w:t>
      </w:r>
    </w:p>
    <w:p w14:paraId="0E0B6342" w14:textId="77777777" w:rsidR="006008EB" w:rsidRPr="00D56579" w:rsidRDefault="006008EB" w:rsidP="002F131C">
      <w:pPr>
        <w:jc w:val="both"/>
        <w:rPr>
          <w:rFonts w:ascii="Montserrat Medium" w:eastAsia="Times New Roman" w:hAnsi="Montserrat Medium" w:cs="Tahoma"/>
          <w:color w:val="595959"/>
          <w:sz w:val="22"/>
          <w:lang w:eastAsia="en-US"/>
        </w:rPr>
      </w:pPr>
    </w:p>
    <w:p w14:paraId="686F8AC1" w14:textId="08B28378" w:rsidR="008257FE" w:rsidRPr="00D56579" w:rsidRDefault="008257FE" w:rsidP="002F131C">
      <w:pPr>
        <w:jc w:val="both"/>
        <w:rPr>
          <w:rFonts w:ascii="Montserrat Medium" w:eastAsia="Times New Roman" w:hAnsi="Montserrat Medium" w:cs="Tahoma"/>
          <w:color w:val="595959"/>
          <w:sz w:val="22"/>
          <w:lang w:eastAsia="en-US"/>
        </w:rPr>
      </w:pPr>
      <w:r w:rsidRPr="00D56579">
        <w:rPr>
          <w:rFonts w:ascii="Montserrat Medium" w:eastAsia="Times New Roman" w:hAnsi="Montserrat Medium" w:cs="Tahoma"/>
          <w:color w:val="595959"/>
          <w:sz w:val="22"/>
          <w:lang w:eastAsia="en-US"/>
        </w:rPr>
        <w:t>El ejercicio del Poder Ejecutivo corresponde</w:t>
      </w:r>
      <w:r w:rsidR="00C00037">
        <w:rPr>
          <w:rFonts w:ascii="Montserrat Medium" w:eastAsia="Times New Roman" w:hAnsi="Montserrat Medium" w:cs="Tahoma"/>
          <w:color w:val="595959"/>
          <w:sz w:val="22"/>
          <w:lang w:eastAsia="en-US"/>
        </w:rPr>
        <w:t xml:space="preserve"> a</w:t>
      </w:r>
      <w:r w:rsidRPr="00D56579">
        <w:rPr>
          <w:rFonts w:ascii="Montserrat Medium" w:eastAsia="Times New Roman" w:hAnsi="Montserrat Medium" w:cs="Tahoma"/>
          <w:color w:val="595959"/>
          <w:sz w:val="22"/>
          <w:lang w:eastAsia="en-US"/>
        </w:rPr>
        <w:t xml:space="preserve"> </w:t>
      </w:r>
      <w:proofErr w:type="spellStart"/>
      <w:r w:rsidR="00C00037">
        <w:rPr>
          <w:rFonts w:ascii="Montserrat Medium" w:eastAsia="Times New Roman" w:hAnsi="Montserrat Medium" w:cs="Tahoma"/>
          <w:color w:val="595959"/>
          <w:sz w:val="22"/>
          <w:lang w:eastAsia="en-US"/>
        </w:rPr>
        <w:t>el</w:t>
      </w:r>
      <w:proofErr w:type="spellEnd"/>
      <w:r w:rsidR="00C00037">
        <w:rPr>
          <w:rFonts w:ascii="Montserrat Medium" w:eastAsia="Times New Roman" w:hAnsi="Montserrat Medium" w:cs="Tahoma"/>
          <w:color w:val="595959"/>
          <w:sz w:val="22"/>
          <w:lang w:eastAsia="en-US"/>
        </w:rPr>
        <w:t xml:space="preserve"> (</w:t>
      </w:r>
      <w:r w:rsidRPr="00D56579">
        <w:rPr>
          <w:rFonts w:ascii="Montserrat Medium" w:eastAsia="Times New Roman" w:hAnsi="Montserrat Medium" w:cs="Tahoma"/>
          <w:color w:val="595959"/>
          <w:sz w:val="22"/>
          <w:lang w:eastAsia="en-US"/>
        </w:rPr>
        <w:t>l</w:t>
      </w:r>
      <w:r w:rsidR="00C00037">
        <w:rPr>
          <w:rFonts w:ascii="Montserrat Medium" w:eastAsia="Times New Roman" w:hAnsi="Montserrat Medium" w:cs="Tahoma"/>
          <w:color w:val="595959"/>
          <w:sz w:val="22"/>
          <w:lang w:eastAsia="en-US"/>
        </w:rPr>
        <w:t>a)</w:t>
      </w:r>
      <w:r w:rsidRPr="00D56579">
        <w:rPr>
          <w:rFonts w:ascii="Montserrat Medium" w:eastAsia="Times New Roman" w:hAnsi="Montserrat Medium" w:cs="Tahoma"/>
          <w:color w:val="595959"/>
          <w:sz w:val="22"/>
          <w:lang w:eastAsia="en-US"/>
        </w:rPr>
        <w:t xml:space="preserve"> Gobernador</w:t>
      </w:r>
      <w:r w:rsidR="00C00037">
        <w:rPr>
          <w:rFonts w:ascii="Montserrat Medium" w:eastAsia="Times New Roman" w:hAnsi="Montserrat Medium" w:cs="Tahoma"/>
          <w:color w:val="595959"/>
          <w:sz w:val="22"/>
          <w:lang w:eastAsia="en-US"/>
        </w:rPr>
        <w:t xml:space="preserve"> (a)</w:t>
      </w:r>
      <w:r w:rsidRPr="00D56579">
        <w:rPr>
          <w:rFonts w:ascii="Montserrat Medium" w:eastAsia="Times New Roman" w:hAnsi="Montserrat Medium" w:cs="Tahoma"/>
          <w:color w:val="595959"/>
          <w:sz w:val="22"/>
          <w:lang w:eastAsia="en-US"/>
        </w:rPr>
        <w:t xml:space="preserve"> del Estado quien tendrá las facultades y obligaciones que le señalen: la Constitución Política de los Estados Unidos Mexicanos, la Constitución Política del Estado Libre y Soberano de Quintana Roo, la Ley Orgánica de la Administración Pública del Estado de Quintana Roo y las demás leyes, reglamentos y disposiciones jurídicas vigentes en el Estado.</w:t>
      </w:r>
    </w:p>
    <w:p w14:paraId="4F9CBCE1" w14:textId="77777777" w:rsidR="009A191D" w:rsidRPr="00D56579" w:rsidRDefault="009A191D" w:rsidP="002F131C">
      <w:pPr>
        <w:jc w:val="both"/>
        <w:rPr>
          <w:rFonts w:ascii="Montserrat Medium" w:eastAsia="Times New Roman" w:hAnsi="Montserrat Medium" w:cs="Arial"/>
          <w:b/>
          <w:i/>
          <w:iCs/>
          <w:color w:val="595959"/>
          <w:sz w:val="22"/>
        </w:rPr>
      </w:pPr>
    </w:p>
    <w:p w14:paraId="7F611BA6" w14:textId="2AAD98CD" w:rsidR="008257FE" w:rsidRPr="00D56579" w:rsidRDefault="003F0DC7" w:rsidP="002F131C">
      <w:pPr>
        <w:jc w:val="both"/>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b)</w:t>
      </w:r>
      <w:r w:rsidR="008257FE" w:rsidRPr="00D56579">
        <w:rPr>
          <w:rFonts w:ascii="Montserrat Medium" w:eastAsia="Times New Roman" w:hAnsi="Montserrat Medium" w:cs="Arial"/>
          <w:b/>
          <w:i/>
          <w:iCs/>
          <w:color w:val="595959"/>
          <w:sz w:val="22"/>
        </w:rPr>
        <w:t xml:space="preserve"> Principal actividad</w:t>
      </w:r>
    </w:p>
    <w:p w14:paraId="4E076DC8" w14:textId="77777777" w:rsidR="006008EB" w:rsidRPr="00D56579" w:rsidRDefault="006008EB" w:rsidP="002F131C">
      <w:pPr>
        <w:jc w:val="both"/>
        <w:rPr>
          <w:rFonts w:ascii="Montserrat Medium" w:eastAsia="Times New Roman" w:hAnsi="Montserrat Medium" w:cs="Tahoma"/>
          <w:color w:val="595959"/>
          <w:sz w:val="22"/>
          <w:lang w:eastAsia="en-US"/>
        </w:rPr>
      </w:pPr>
    </w:p>
    <w:p w14:paraId="6ECEB14D" w14:textId="77777777" w:rsidR="008257FE" w:rsidRPr="00D56579" w:rsidRDefault="008257FE" w:rsidP="002F131C">
      <w:pPr>
        <w:jc w:val="both"/>
        <w:rPr>
          <w:rFonts w:ascii="Montserrat Medium" w:eastAsia="Times New Roman" w:hAnsi="Montserrat Medium" w:cs="Tahoma"/>
          <w:color w:val="595959"/>
          <w:sz w:val="22"/>
          <w:lang w:eastAsia="en-US"/>
        </w:rPr>
      </w:pPr>
      <w:r w:rsidRPr="00D56579">
        <w:rPr>
          <w:rFonts w:ascii="Montserrat Medium" w:eastAsia="Times New Roman" w:hAnsi="Montserrat Medium" w:cs="Tahoma"/>
          <w:color w:val="595959"/>
          <w:sz w:val="22"/>
          <w:lang w:eastAsia="en-US"/>
        </w:rPr>
        <w:t>Las que se derivan del ejercicio de las facultades y obligaciones del Poder Ejecutivo del Estado de Quintana Roo.</w:t>
      </w:r>
    </w:p>
    <w:p w14:paraId="0A74C678" w14:textId="77777777" w:rsidR="008257FE" w:rsidRPr="00D56579" w:rsidRDefault="008257FE" w:rsidP="002F131C">
      <w:pPr>
        <w:jc w:val="both"/>
        <w:rPr>
          <w:rFonts w:ascii="Montserrat Medium" w:eastAsia="Times New Roman" w:hAnsi="Montserrat Medium" w:cs="Arial"/>
          <w:b/>
          <w:i/>
          <w:iCs/>
          <w:color w:val="595959"/>
          <w:sz w:val="22"/>
        </w:rPr>
      </w:pPr>
    </w:p>
    <w:p w14:paraId="3CEEA7DC" w14:textId="77777777" w:rsidR="008257FE" w:rsidRPr="00D56579" w:rsidRDefault="003F0DC7" w:rsidP="002F131C">
      <w:pPr>
        <w:jc w:val="both"/>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c)</w:t>
      </w:r>
      <w:r w:rsidR="008257FE" w:rsidRPr="00D56579">
        <w:rPr>
          <w:rFonts w:ascii="Montserrat Medium" w:eastAsia="Times New Roman" w:hAnsi="Montserrat Medium" w:cs="Arial"/>
          <w:b/>
          <w:i/>
          <w:iCs/>
          <w:color w:val="595959"/>
          <w:sz w:val="22"/>
        </w:rPr>
        <w:t xml:space="preserve"> Ejercicio Fiscal</w:t>
      </w:r>
    </w:p>
    <w:p w14:paraId="7F03C0C6" w14:textId="77777777" w:rsidR="006008EB" w:rsidRPr="00D56579" w:rsidRDefault="006008EB" w:rsidP="002F131C">
      <w:pPr>
        <w:jc w:val="both"/>
        <w:rPr>
          <w:rFonts w:ascii="Montserrat Medium" w:eastAsia="Times New Roman" w:hAnsi="Montserrat Medium" w:cs="Tahoma"/>
          <w:color w:val="595959"/>
          <w:sz w:val="22"/>
          <w:lang w:eastAsia="en-US"/>
        </w:rPr>
      </w:pPr>
    </w:p>
    <w:p w14:paraId="692DBA43" w14:textId="000FB7BF" w:rsidR="00DB61F1" w:rsidRPr="00D56579" w:rsidRDefault="008257FE" w:rsidP="002F131C">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Tahoma"/>
          <w:color w:val="595959"/>
          <w:sz w:val="22"/>
          <w:lang w:eastAsia="en-US"/>
        </w:rPr>
        <w:t>La información presentada en los estados financieros corresponde al período comprendido del 01 de enero a</w:t>
      </w:r>
      <w:r w:rsidR="00A4586C" w:rsidRPr="00D56579">
        <w:rPr>
          <w:rFonts w:ascii="Montserrat Medium" w:eastAsia="Times New Roman" w:hAnsi="Montserrat Medium" w:cs="Tahoma"/>
          <w:color w:val="595959"/>
          <w:sz w:val="22"/>
          <w:lang w:eastAsia="en-US"/>
        </w:rPr>
        <w:t>l 3</w:t>
      </w:r>
      <w:r w:rsidR="007D010B">
        <w:rPr>
          <w:rFonts w:ascii="Montserrat Medium" w:eastAsia="Times New Roman" w:hAnsi="Montserrat Medium" w:cs="Tahoma"/>
          <w:color w:val="595959"/>
          <w:sz w:val="22"/>
          <w:lang w:eastAsia="en-US"/>
        </w:rPr>
        <w:t>0</w:t>
      </w:r>
      <w:r w:rsidR="00A4586C" w:rsidRPr="00D56579">
        <w:rPr>
          <w:rFonts w:ascii="Montserrat Medium" w:eastAsia="Times New Roman" w:hAnsi="Montserrat Medium" w:cs="Tahoma"/>
          <w:color w:val="595959"/>
          <w:sz w:val="22"/>
          <w:lang w:eastAsia="en-US"/>
        </w:rPr>
        <w:t xml:space="preserve"> de </w:t>
      </w:r>
      <w:r w:rsidR="007D010B">
        <w:rPr>
          <w:rFonts w:ascii="Montserrat Medium" w:eastAsia="Times New Roman" w:hAnsi="Montserrat Medium" w:cs="Tahoma"/>
          <w:color w:val="595959"/>
          <w:sz w:val="22"/>
          <w:lang w:eastAsia="en-US"/>
        </w:rPr>
        <w:t>junio</w:t>
      </w:r>
      <w:r w:rsidR="00802500" w:rsidRPr="00D56579">
        <w:rPr>
          <w:rFonts w:ascii="Montserrat Medium" w:eastAsia="Times New Roman" w:hAnsi="Montserrat Medium" w:cs="Tahoma"/>
          <w:color w:val="595959"/>
          <w:sz w:val="22"/>
          <w:lang w:eastAsia="en-US"/>
        </w:rPr>
        <w:t xml:space="preserve"> de 202</w:t>
      </w:r>
      <w:r w:rsidR="00AF5900">
        <w:rPr>
          <w:rFonts w:ascii="Montserrat Medium" w:eastAsia="Times New Roman" w:hAnsi="Montserrat Medium" w:cs="Tahoma"/>
          <w:color w:val="595959"/>
          <w:sz w:val="22"/>
          <w:lang w:eastAsia="en-US"/>
        </w:rPr>
        <w:t>5</w:t>
      </w:r>
      <w:r w:rsidR="00DB61F1" w:rsidRPr="00D56579">
        <w:rPr>
          <w:rFonts w:ascii="Montserrat Medium" w:eastAsia="Times New Roman" w:hAnsi="Montserrat Medium" w:cs="Tahoma"/>
          <w:color w:val="595959"/>
          <w:sz w:val="22"/>
          <w:lang w:eastAsia="en-US"/>
        </w:rPr>
        <w:t xml:space="preserve">, </w:t>
      </w:r>
      <w:r w:rsidR="00DB61F1" w:rsidRPr="00D56579">
        <w:rPr>
          <w:rFonts w:ascii="Montserrat Medium" w:eastAsia="Times New Roman" w:hAnsi="Montserrat Medium" w:cs="Arial"/>
          <w:color w:val="595959"/>
          <w:sz w:val="22"/>
          <w:lang w:eastAsia="en-US"/>
        </w:rPr>
        <w:t xml:space="preserve">se presenta </w:t>
      </w:r>
      <w:r w:rsidR="00EE3797" w:rsidRPr="00D56579">
        <w:rPr>
          <w:rFonts w:ascii="Montserrat Medium" w:eastAsia="Times New Roman" w:hAnsi="Montserrat Medium" w:cs="Arial"/>
          <w:color w:val="595959"/>
          <w:sz w:val="22"/>
          <w:lang w:eastAsia="en-US"/>
        </w:rPr>
        <w:t xml:space="preserve">en </w:t>
      </w:r>
      <w:r w:rsidR="00DB61F1" w:rsidRPr="00D56579">
        <w:rPr>
          <w:rFonts w:ascii="Montserrat Medium" w:eastAsia="Times New Roman" w:hAnsi="Montserrat Medium" w:cs="Arial"/>
          <w:color w:val="595959"/>
          <w:sz w:val="22"/>
          <w:lang w:eastAsia="en-US"/>
        </w:rPr>
        <w:t xml:space="preserve">pesos de la moneda nacional, excepto: a) cuando se indique </w:t>
      </w:r>
      <w:proofErr w:type="spellStart"/>
      <w:r w:rsidR="00DB61F1" w:rsidRPr="00D56579">
        <w:rPr>
          <w:rFonts w:ascii="Montserrat Medium" w:eastAsia="Times New Roman" w:hAnsi="Montserrat Medium" w:cs="Arial"/>
          <w:color w:val="595959"/>
          <w:sz w:val="22"/>
          <w:lang w:eastAsia="en-US"/>
        </w:rPr>
        <w:t>MllDP</w:t>
      </w:r>
      <w:proofErr w:type="spellEnd"/>
      <w:r w:rsidR="00DB61F1" w:rsidRPr="00D56579">
        <w:rPr>
          <w:rFonts w:ascii="Montserrat Medium" w:eastAsia="Times New Roman" w:hAnsi="Montserrat Medium" w:cs="Arial"/>
          <w:color w:val="595959"/>
          <w:sz w:val="22"/>
          <w:lang w:eastAsia="en-US"/>
        </w:rPr>
        <w:t xml:space="preserve">, se refiere a que las cifras se presentan en millones de pesos y b) se mencione que se presentan en </w:t>
      </w:r>
      <w:r w:rsidR="007D25A3" w:rsidRPr="00D56579">
        <w:rPr>
          <w:rFonts w:ascii="Montserrat Medium" w:eastAsia="Times New Roman" w:hAnsi="Montserrat Medium" w:cs="Arial"/>
          <w:color w:val="595959"/>
          <w:sz w:val="22"/>
          <w:lang w:eastAsia="en-US"/>
        </w:rPr>
        <w:t xml:space="preserve"> miles de </w:t>
      </w:r>
      <w:r w:rsidR="00DB61F1" w:rsidRPr="00D56579">
        <w:rPr>
          <w:rFonts w:ascii="Montserrat Medium" w:eastAsia="Times New Roman" w:hAnsi="Montserrat Medium" w:cs="Arial"/>
          <w:color w:val="595959"/>
          <w:sz w:val="22"/>
          <w:lang w:eastAsia="en-US"/>
        </w:rPr>
        <w:t>pesos.</w:t>
      </w:r>
    </w:p>
    <w:p w14:paraId="1A4F7A27" w14:textId="77777777" w:rsidR="00DB61F1" w:rsidRPr="00D56579" w:rsidRDefault="00DB61F1" w:rsidP="002F131C">
      <w:pPr>
        <w:jc w:val="both"/>
        <w:rPr>
          <w:rFonts w:ascii="Montserrat Medium" w:eastAsia="Times New Roman" w:hAnsi="Montserrat Medium" w:cs="Tahoma"/>
          <w:color w:val="595959"/>
          <w:sz w:val="22"/>
          <w:lang w:eastAsia="en-US"/>
        </w:rPr>
      </w:pPr>
    </w:p>
    <w:p w14:paraId="760DED87" w14:textId="4D802BE8" w:rsidR="008257FE" w:rsidRPr="00D56579" w:rsidRDefault="00DC61EE" w:rsidP="002F131C">
      <w:pPr>
        <w:jc w:val="both"/>
        <w:rPr>
          <w:rFonts w:ascii="Montserrat Medium" w:eastAsia="Times New Roman" w:hAnsi="Montserrat Medium" w:cs="Tahoma"/>
          <w:color w:val="595959"/>
          <w:sz w:val="22"/>
          <w:lang w:eastAsia="en-US"/>
        </w:rPr>
      </w:pPr>
      <w:r w:rsidRPr="00D56579">
        <w:rPr>
          <w:rFonts w:ascii="Montserrat Medium" w:eastAsia="Times New Roman" w:hAnsi="Montserrat Medium" w:cs="Tahoma"/>
          <w:color w:val="595959"/>
          <w:sz w:val="22"/>
          <w:lang w:eastAsia="en-US"/>
        </w:rPr>
        <w:t>El 2</w:t>
      </w:r>
      <w:r w:rsidR="00AF5900">
        <w:rPr>
          <w:rFonts w:ascii="Montserrat Medium" w:eastAsia="Times New Roman" w:hAnsi="Montserrat Medium" w:cs="Tahoma"/>
          <w:color w:val="595959"/>
          <w:sz w:val="22"/>
          <w:lang w:eastAsia="en-US"/>
        </w:rPr>
        <w:t>3</w:t>
      </w:r>
      <w:r w:rsidR="008257FE" w:rsidRPr="00D56579">
        <w:rPr>
          <w:rFonts w:ascii="Montserrat Medium" w:eastAsia="Times New Roman" w:hAnsi="Montserrat Medium" w:cs="Tahoma"/>
          <w:color w:val="595959"/>
          <w:sz w:val="22"/>
          <w:lang w:eastAsia="en-US"/>
        </w:rPr>
        <w:t xml:space="preserve"> de diciembre de 202</w:t>
      </w:r>
      <w:r w:rsidR="00AF5900">
        <w:rPr>
          <w:rFonts w:ascii="Montserrat Medium" w:eastAsia="Times New Roman" w:hAnsi="Montserrat Medium" w:cs="Tahoma"/>
          <w:color w:val="595959"/>
          <w:sz w:val="22"/>
          <w:lang w:eastAsia="en-US"/>
        </w:rPr>
        <w:t>4</w:t>
      </w:r>
      <w:r w:rsidR="008257FE" w:rsidRPr="00D56579">
        <w:rPr>
          <w:rFonts w:ascii="Montserrat Medium" w:eastAsia="Times New Roman" w:hAnsi="Montserrat Medium" w:cs="Tahoma"/>
          <w:color w:val="595959"/>
          <w:sz w:val="22"/>
          <w:lang w:eastAsia="en-US"/>
        </w:rPr>
        <w:t xml:space="preserve">, se publicó en el periódico oficial del Estado de Quintana Roo la Ley de Ingresos del Estado de Quintana Roo así como </w:t>
      </w:r>
      <w:r w:rsidR="00AF5900">
        <w:rPr>
          <w:rFonts w:ascii="Montserrat Medium" w:eastAsia="Times New Roman" w:hAnsi="Montserrat Medium" w:cs="Tahoma"/>
          <w:color w:val="595959"/>
          <w:sz w:val="22"/>
          <w:lang w:eastAsia="en-US"/>
        </w:rPr>
        <w:t>23</w:t>
      </w:r>
      <w:r w:rsidRPr="00D56579">
        <w:rPr>
          <w:rFonts w:ascii="Montserrat Medium" w:eastAsia="Times New Roman" w:hAnsi="Montserrat Medium" w:cs="Tahoma"/>
          <w:color w:val="595959"/>
          <w:sz w:val="22"/>
          <w:lang w:eastAsia="en-US"/>
        </w:rPr>
        <w:t xml:space="preserve"> de diciembre de 202</w:t>
      </w:r>
      <w:r w:rsidR="0008498D">
        <w:rPr>
          <w:rFonts w:ascii="Montserrat Medium" w:eastAsia="Times New Roman" w:hAnsi="Montserrat Medium" w:cs="Tahoma"/>
          <w:color w:val="595959"/>
          <w:sz w:val="22"/>
          <w:lang w:eastAsia="en-US"/>
        </w:rPr>
        <w:t>4</w:t>
      </w:r>
      <w:r w:rsidRPr="00D56579">
        <w:rPr>
          <w:rFonts w:ascii="Montserrat Medium" w:eastAsia="Times New Roman" w:hAnsi="Montserrat Medium" w:cs="Tahoma"/>
          <w:color w:val="595959"/>
          <w:sz w:val="22"/>
          <w:lang w:eastAsia="en-US"/>
        </w:rPr>
        <w:t xml:space="preserve"> fue publicado en el periódico oficial del Gobierno del Estado de Quintana Roo </w:t>
      </w:r>
      <w:r w:rsidR="008257FE" w:rsidRPr="00D56579">
        <w:rPr>
          <w:rFonts w:ascii="Montserrat Medium" w:eastAsia="Times New Roman" w:hAnsi="Montserrat Medium" w:cs="Tahoma"/>
          <w:color w:val="595959"/>
          <w:sz w:val="22"/>
          <w:lang w:eastAsia="en-US"/>
        </w:rPr>
        <w:t>el Presupuesto de Egresos del Estado de Quintana Roo para el ejercicio fiscal 202</w:t>
      </w:r>
      <w:r w:rsidR="0008498D">
        <w:rPr>
          <w:rFonts w:ascii="Montserrat Medium" w:eastAsia="Times New Roman" w:hAnsi="Montserrat Medium" w:cs="Tahoma"/>
          <w:color w:val="595959"/>
          <w:sz w:val="22"/>
          <w:lang w:eastAsia="en-US"/>
        </w:rPr>
        <w:t>5</w:t>
      </w:r>
      <w:r w:rsidRPr="00D56579">
        <w:rPr>
          <w:rFonts w:ascii="Montserrat Medium" w:eastAsia="Times New Roman" w:hAnsi="Montserrat Medium" w:cs="Tahoma"/>
          <w:color w:val="595959"/>
          <w:sz w:val="22"/>
          <w:lang w:eastAsia="en-US"/>
        </w:rPr>
        <w:t xml:space="preserve"> y</w:t>
      </w:r>
      <w:r w:rsidR="008257FE" w:rsidRPr="00D56579">
        <w:rPr>
          <w:rFonts w:ascii="Montserrat Medium" w:eastAsia="Times New Roman" w:hAnsi="Montserrat Medium" w:cs="Tahoma"/>
          <w:color w:val="595959"/>
          <w:sz w:val="22"/>
          <w:lang w:eastAsia="en-US"/>
        </w:rPr>
        <w:t xml:space="preserve"> tiene por objeto regular la asignación, ejercicio, control, verificación, seguimiento y evaluación del gasto público del Gobierno del Estado de Quintana Roo para el ejercicio fiscal 202</w:t>
      </w:r>
      <w:r w:rsidR="0008498D">
        <w:rPr>
          <w:rFonts w:ascii="Montserrat Medium" w:eastAsia="Times New Roman" w:hAnsi="Montserrat Medium" w:cs="Tahoma"/>
          <w:color w:val="595959"/>
          <w:sz w:val="22"/>
          <w:lang w:eastAsia="en-US"/>
        </w:rPr>
        <w:t>5</w:t>
      </w:r>
      <w:r w:rsidR="008257FE" w:rsidRPr="00D56579">
        <w:rPr>
          <w:rFonts w:ascii="Montserrat Medium" w:eastAsia="Times New Roman" w:hAnsi="Montserrat Medium" w:cs="Tahoma"/>
          <w:color w:val="595959"/>
          <w:sz w:val="22"/>
          <w:lang w:eastAsia="en-US"/>
        </w:rPr>
        <w:t>, sin perjuicio de lo establecido por otros ordenamientos legales.</w:t>
      </w:r>
    </w:p>
    <w:p w14:paraId="0F5E3933" w14:textId="77777777" w:rsidR="008257FE" w:rsidRPr="00D56579" w:rsidRDefault="008257FE" w:rsidP="002F131C">
      <w:pPr>
        <w:jc w:val="both"/>
        <w:rPr>
          <w:rFonts w:ascii="Montserrat Medium" w:eastAsia="Times New Roman" w:hAnsi="Montserrat Medium" w:cs="Tahoma"/>
          <w:color w:val="595959"/>
          <w:sz w:val="22"/>
          <w:lang w:eastAsia="en-US"/>
        </w:rPr>
      </w:pPr>
    </w:p>
    <w:p w14:paraId="2CC51566" w14:textId="77777777" w:rsidR="008257FE" w:rsidRPr="00D56579" w:rsidRDefault="003F0DC7" w:rsidP="002F131C">
      <w:pPr>
        <w:keepNext/>
        <w:keepLines/>
        <w:ind w:left="1296" w:hanging="1296"/>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lastRenderedPageBreak/>
        <w:t>d)</w:t>
      </w:r>
      <w:r w:rsidR="008257FE" w:rsidRPr="00D56579">
        <w:rPr>
          <w:rFonts w:ascii="Montserrat Medium" w:eastAsia="Times New Roman" w:hAnsi="Montserrat Medium" w:cs="Arial"/>
          <w:b/>
          <w:i/>
          <w:iCs/>
          <w:color w:val="595959"/>
          <w:sz w:val="22"/>
        </w:rPr>
        <w:t xml:space="preserve"> Régimen jurídico</w:t>
      </w:r>
    </w:p>
    <w:p w14:paraId="180E7DFB" w14:textId="77777777" w:rsidR="006008EB" w:rsidRPr="00D56579" w:rsidRDefault="006008EB" w:rsidP="002F131C">
      <w:pPr>
        <w:jc w:val="both"/>
        <w:rPr>
          <w:rFonts w:ascii="Montserrat Medium" w:eastAsia="Times New Roman" w:hAnsi="Montserrat Medium" w:cs="Tahoma"/>
          <w:color w:val="595959"/>
          <w:sz w:val="22"/>
          <w:lang w:eastAsia="en-US"/>
        </w:rPr>
      </w:pPr>
    </w:p>
    <w:p w14:paraId="6EB2D369" w14:textId="2F32FA00" w:rsidR="008257FE" w:rsidRPr="00D56579" w:rsidRDefault="008257FE" w:rsidP="002F131C">
      <w:pPr>
        <w:jc w:val="both"/>
        <w:rPr>
          <w:rFonts w:ascii="Montserrat Medium" w:eastAsia="Times New Roman" w:hAnsi="Montserrat Medium" w:cs="Tahoma"/>
          <w:color w:val="595959"/>
          <w:sz w:val="22"/>
          <w:lang w:eastAsia="en-US"/>
        </w:rPr>
      </w:pPr>
      <w:r w:rsidRPr="00D56579">
        <w:rPr>
          <w:rFonts w:ascii="Montserrat Medium" w:eastAsia="Times New Roman" w:hAnsi="Montserrat Medium" w:cs="Tahoma"/>
          <w:color w:val="595959"/>
          <w:sz w:val="22"/>
          <w:lang w:eastAsia="en-US"/>
        </w:rPr>
        <w:t>EI Gobierno del Estado Libre y Soberano de Quintana Roo, se rige por la Constitución Política de los Estados Unidos Mexicanos, y por las disposiciones jurídicas del Estado, entre las que destacan: la Constitución Política</w:t>
      </w:r>
      <w:r w:rsidR="008936CB" w:rsidRPr="00D56579">
        <w:rPr>
          <w:rFonts w:ascii="Montserrat Medium" w:eastAsia="Times New Roman" w:hAnsi="Montserrat Medium" w:cs="Tahoma"/>
          <w:color w:val="595959"/>
          <w:sz w:val="22"/>
          <w:lang w:eastAsia="en-US"/>
        </w:rPr>
        <w:t xml:space="preserve"> del Estado Libre y Soberano de Quintana Roo</w:t>
      </w:r>
      <w:r w:rsidRPr="00D56579">
        <w:rPr>
          <w:rFonts w:ascii="Montserrat Medium" w:eastAsia="Times New Roman" w:hAnsi="Montserrat Medium" w:cs="Tahoma"/>
          <w:color w:val="595959"/>
          <w:sz w:val="22"/>
          <w:lang w:eastAsia="en-US"/>
        </w:rPr>
        <w:t>, la Ley Orgánica de la Administración Pública, la Ley de Ingresos, el Decreto del Presupuesto de Egresos, la Ley de Coordinación Fiscal, la Ley de Hacienda, la Ley de Obras Públicas y Servicios Relacionados con las Mismas, la Ley de Adquisiciones, Arrendamientos y Prestación de Servicios Relacionados con Bienes Muebles, la Ley de Deuda Pública, la Ley de los Trabajadores al Servicio de los Poderes Legislativo, Ejecutivo y Judicial, de los Ayuntamientos y Organismos Descentralizados y la Ley del Órgano de Fiscalización Superior.</w:t>
      </w:r>
    </w:p>
    <w:p w14:paraId="146D8CD8" w14:textId="7B915788" w:rsidR="006C7503" w:rsidRPr="00D56579" w:rsidRDefault="006C7503" w:rsidP="002F131C">
      <w:pPr>
        <w:rPr>
          <w:rFonts w:ascii="Montserrat Medium" w:eastAsia="Times New Roman" w:hAnsi="Montserrat Medium" w:cs="Arial"/>
          <w:b/>
          <w:i/>
          <w:iCs/>
          <w:color w:val="595959"/>
          <w:sz w:val="22"/>
        </w:rPr>
      </w:pPr>
    </w:p>
    <w:p w14:paraId="49C10074" w14:textId="390568D6" w:rsidR="008257FE" w:rsidRPr="00D56579" w:rsidRDefault="003F0DC7" w:rsidP="002F131C">
      <w:pPr>
        <w:keepNext/>
        <w:keepLines/>
        <w:ind w:left="1296" w:hanging="1296"/>
        <w:jc w:val="both"/>
        <w:outlineLvl w:val="6"/>
        <w:rPr>
          <w:rFonts w:ascii="Montserrat Medium" w:eastAsia="Times New Roman" w:hAnsi="Montserrat Medium" w:cs="Arial"/>
          <w:b/>
          <w:i/>
          <w:iCs/>
          <w:color w:val="FF0000"/>
          <w:sz w:val="22"/>
        </w:rPr>
      </w:pPr>
      <w:r w:rsidRPr="007D010B">
        <w:rPr>
          <w:rFonts w:ascii="Montserrat Medium" w:eastAsia="Times New Roman" w:hAnsi="Montserrat Medium" w:cs="Arial"/>
          <w:b/>
          <w:i/>
          <w:iCs/>
          <w:color w:val="595959"/>
          <w:sz w:val="22"/>
        </w:rPr>
        <w:t>e)</w:t>
      </w:r>
      <w:r w:rsidR="008257FE" w:rsidRPr="007D010B">
        <w:rPr>
          <w:rFonts w:ascii="Montserrat Medium" w:eastAsia="Times New Roman" w:hAnsi="Montserrat Medium" w:cs="Arial"/>
          <w:b/>
          <w:i/>
          <w:iCs/>
          <w:color w:val="595959"/>
          <w:sz w:val="22"/>
        </w:rPr>
        <w:t xml:space="preserve"> Consideraciones fiscales</w:t>
      </w:r>
      <w:r w:rsidR="00832D6E" w:rsidRPr="00D56579">
        <w:rPr>
          <w:rFonts w:ascii="Montserrat Medium" w:eastAsia="Times New Roman" w:hAnsi="Montserrat Medium" w:cs="Arial"/>
          <w:b/>
          <w:i/>
          <w:iCs/>
          <w:color w:val="595959"/>
          <w:sz w:val="22"/>
        </w:rPr>
        <w:t xml:space="preserve"> </w:t>
      </w:r>
    </w:p>
    <w:p w14:paraId="3B8312C1" w14:textId="77777777" w:rsidR="006008EB" w:rsidRPr="00D56579" w:rsidRDefault="006008EB" w:rsidP="002F131C">
      <w:pPr>
        <w:jc w:val="both"/>
        <w:rPr>
          <w:rFonts w:ascii="Montserrat Medium" w:eastAsia="Times New Roman" w:hAnsi="Montserrat Medium" w:cs="Arial"/>
          <w:b/>
          <w:color w:val="595959"/>
          <w:sz w:val="22"/>
          <w:lang w:eastAsia="en-US"/>
        </w:rPr>
      </w:pPr>
    </w:p>
    <w:p w14:paraId="557934E0" w14:textId="34BEA73F" w:rsidR="008257FE" w:rsidRPr="00D56579" w:rsidRDefault="008257FE" w:rsidP="002F131C">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Contribuciones que el Gobierno del Estado de Quintana Roo es</w:t>
      </w:r>
      <w:r w:rsidR="00050920">
        <w:rPr>
          <w:rFonts w:ascii="Montserrat Medium" w:eastAsia="Times New Roman" w:hAnsi="Montserrat Medium" w:cs="Arial"/>
          <w:b/>
          <w:color w:val="595959"/>
          <w:sz w:val="22"/>
          <w:lang w:eastAsia="en-US"/>
        </w:rPr>
        <w:t>tá obligado a retener y enterar.</w:t>
      </w:r>
    </w:p>
    <w:p w14:paraId="25EE5369" w14:textId="77777777" w:rsidR="008257FE" w:rsidRPr="00D56579" w:rsidRDefault="008257FE" w:rsidP="002F131C">
      <w:pPr>
        <w:jc w:val="both"/>
        <w:rPr>
          <w:rFonts w:ascii="Montserrat Medium" w:eastAsia="Times New Roman" w:hAnsi="Montserrat Medium" w:cs="Arial"/>
          <w:b/>
          <w:color w:val="595959"/>
          <w:sz w:val="22"/>
          <w:lang w:eastAsia="en-US"/>
        </w:rPr>
      </w:pPr>
    </w:p>
    <w:p w14:paraId="4302BB69" w14:textId="77777777" w:rsidR="008257FE" w:rsidRPr="00D56579" w:rsidRDefault="008257FE" w:rsidP="002F131C">
      <w:pPr>
        <w:autoSpaceDE w:val="0"/>
        <w:autoSpaceDN w:val="0"/>
        <w:adjustRightInd w:val="0"/>
        <w:jc w:val="both"/>
        <w:rPr>
          <w:rFonts w:ascii="Montserrat Medium" w:eastAsia="Times New Roman" w:hAnsi="Montserrat Medium" w:cs="Tahoma"/>
          <w:color w:val="595959"/>
          <w:sz w:val="22"/>
          <w:lang w:eastAsia="en-US"/>
        </w:rPr>
      </w:pPr>
      <w:r w:rsidRPr="00D56579">
        <w:rPr>
          <w:rFonts w:ascii="Montserrat Medium" w:eastAsia="Times New Roman" w:hAnsi="Montserrat Medium" w:cs="Tahoma"/>
          <w:color w:val="595959"/>
          <w:sz w:val="22"/>
          <w:lang w:eastAsia="en-US"/>
        </w:rPr>
        <w:t>De conformidad con el cuarto párrafo del artículo 86 de la Ley del Impuesto Sobre la Renta, el Estado únicamente tiene la obligación de retener y enterar el impuesto y exigir la documentación que reúna los requisitos fiscales cuando hagan pagos a terceros y estén obligados a ellos en los términos de la Ley.</w:t>
      </w:r>
    </w:p>
    <w:p w14:paraId="33C605DE" w14:textId="77777777" w:rsidR="00BE5091" w:rsidRPr="00D56579" w:rsidRDefault="00BE5091" w:rsidP="002F131C">
      <w:pPr>
        <w:autoSpaceDE w:val="0"/>
        <w:autoSpaceDN w:val="0"/>
        <w:adjustRightInd w:val="0"/>
        <w:jc w:val="both"/>
        <w:rPr>
          <w:rFonts w:ascii="Montserrat Medium" w:eastAsia="Times New Roman" w:hAnsi="Montserrat Medium" w:cs="Tahoma"/>
          <w:color w:val="595959"/>
          <w:sz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94"/>
      </w:tblGrid>
      <w:tr w:rsidR="009343D5" w:rsidRPr="00D56579" w14:paraId="21E851AF" w14:textId="77777777" w:rsidTr="00153CD3">
        <w:trPr>
          <w:tblHeader/>
          <w:jc w:val="center"/>
        </w:trPr>
        <w:tc>
          <w:tcPr>
            <w:tcW w:w="4928" w:type="dxa"/>
            <w:tcBorders>
              <w:bottom w:val="single" w:sz="4" w:space="0" w:color="auto"/>
            </w:tcBorders>
            <w:shd w:val="clear" w:color="auto" w:fill="BFBFBF"/>
            <w:vAlign w:val="center"/>
          </w:tcPr>
          <w:p w14:paraId="58BE4B07" w14:textId="77777777" w:rsidR="009343D5" w:rsidRPr="00D56579" w:rsidRDefault="009343D5" w:rsidP="002F131C">
            <w:pPr>
              <w:autoSpaceDE w:val="0"/>
              <w:autoSpaceDN w:val="0"/>
              <w:adjustRightInd w:val="0"/>
              <w:jc w:val="center"/>
              <w:rPr>
                <w:rFonts w:ascii="Montserrat Medium" w:eastAsia="Times New Roman" w:hAnsi="Montserrat Medium" w:cs="Tahoma"/>
                <w:b/>
                <w:color w:val="595959"/>
                <w:sz w:val="18"/>
                <w:szCs w:val="18"/>
                <w:lang w:eastAsia="en-US"/>
              </w:rPr>
            </w:pPr>
            <w:r w:rsidRPr="00D56579">
              <w:rPr>
                <w:rFonts w:ascii="Montserrat Medium" w:eastAsia="Arial" w:hAnsi="Montserrat Medium"/>
                <w:b/>
                <w:sz w:val="18"/>
                <w:szCs w:val="18"/>
              </w:rPr>
              <w:t>Descripción de la Obligación</w:t>
            </w:r>
          </w:p>
        </w:tc>
        <w:tc>
          <w:tcPr>
            <w:tcW w:w="4394" w:type="dxa"/>
            <w:tcBorders>
              <w:bottom w:val="single" w:sz="4" w:space="0" w:color="auto"/>
            </w:tcBorders>
            <w:shd w:val="clear" w:color="auto" w:fill="BFBFBF"/>
          </w:tcPr>
          <w:p w14:paraId="17513844" w14:textId="77777777" w:rsidR="009343D5" w:rsidRPr="00D56579" w:rsidRDefault="009343D5" w:rsidP="002F131C">
            <w:pPr>
              <w:autoSpaceDE w:val="0"/>
              <w:autoSpaceDN w:val="0"/>
              <w:adjustRightInd w:val="0"/>
              <w:jc w:val="center"/>
              <w:rPr>
                <w:rFonts w:ascii="Montserrat Medium" w:eastAsia="Times New Roman" w:hAnsi="Montserrat Medium" w:cs="Tahoma"/>
                <w:b/>
                <w:color w:val="595959"/>
                <w:sz w:val="18"/>
                <w:szCs w:val="18"/>
                <w:lang w:eastAsia="en-US"/>
              </w:rPr>
            </w:pPr>
            <w:r w:rsidRPr="00D56579">
              <w:rPr>
                <w:rFonts w:ascii="Montserrat Medium" w:eastAsia="Arial" w:hAnsi="Montserrat Medium"/>
                <w:b/>
                <w:sz w:val="18"/>
                <w:szCs w:val="18"/>
              </w:rPr>
              <w:t>Descripción Vencimiento</w:t>
            </w:r>
          </w:p>
        </w:tc>
      </w:tr>
      <w:tr w:rsidR="009343D5" w:rsidRPr="00D56579" w14:paraId="633242B1" w14:textId="77777777" w:rsidTr="00153CD3">
        <w:trPr>
          <w:trHeight w:hRule="exact" w:val="439"/>
          <w:jc w:val="center"/>
        </w:trPr>
        <w:tc>
          <w:tcPr>
            <w:tcW w:w="4928" w:type="dxa"/>
            <w:tcBorders>
              <w:top w:val="single" w:sz="4" w:space="0" w:color="auto"/>
              <w:left w:val="single" w:sz="4" w:space="0" w:color="auto"/>
              <w:bottom w:val="nil"/>
              <w:right w:val="single" w:sz="4" w:space="0" w:color="auto"/>
            </w:tcBorders>
            <w:shd w:val="clear" w:color="auto" w:fill="auto"/>
            <w:vAlign w:val="bottom"/>
          </w:tcPr>
          <w:p w14:paraId="68927D44" w14:textId="77777777" w:rsidR="009343D5" w:rsidRPr="00D56579" w:rsidRDefault="009343D5" w:rsidP="002F131C">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Declaración informativa anual de retenciones de ISR por arrendamiento de inmuebles.</w:t>
            </w:r>
          </w:p>
        </w:tc>
        <w:tc>
          <w:tcPr>
            <w:tcW w:w="4394" w:type="dxa"/>
            <w:tcBorders>
              <w:top w:val="single" w:sz="4" w:space="0" w:color="auto"/>
              <w:left w:val="single" w:sz="4" w:space="0" w:color="auto"/>
              <w:bottom w:val="nil"/>
              <w:right w:val="single" w:sz="4" w:space="0" w:color="auto"/>
            </w:tcBorders>
            <w:shd w:val="clear" w:color="auto" w:fill="auto"/>
            <w:vAlign w:val="center"/>
          </w:tcPr>
          <w:p w14:paraId="56DC799C" w14:textId="77777777" w:rsidR="009343D5" w:rsidRPr="00D56579" w:rsidRDefault="009343D5" w:rsidP="002F131C">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A más tardar el 15 de febrero del año siguiente.</w:t>
            </w:r>
          </w:p>
        </w:tc>
      </w:tr>
      <w:tr w:rsidR="009343D5" w:rsidRPr="00D56579" w14:paraId="148FB512" w14:textId="77777777" w:rsidTr="00153CD3">
        <w:trPr>
          <w:trHeight w:val="564"/>
          <w:jc w:val="center"/>
        </w:trPr>
        <w:tc>
          <w:tcPr>
            <w:tcW w:w="4928" w:type="dxa"/>
            <w:tcBorders>
              <w:top w:val="nil"/>
              <w:left w:val="single" w:sz="4" w:space="0" w:color="auto"/>
              <w:bottom w:val="nil"/>
              <w:right w:val="single" w:sz="4" w:space="0" w:color="auto"/>
            </w:tcBorders>
            <w:shd w:val="clear" w:color="auto" w:fill="auto"/>
            <w:vAlign w:val="bottom"/>
          </w:tcPr>
          <w:p w14:paraId="1A356528" w14:textId="1458B5A0" w:rsidR="009343D5" w:rsidRPr="00D56579" w:rsidRDefault="009343D5" w:rsidP="002F131C">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Entero de retención de ISR por servicios profesionales.</w:t>
            </w:r>
          </w:p>
        </w:tc>
        <w:tc>
          <w:tcPr>
            <w:tcW w:w="4394" w:type="dxa"/>
            <w:tcBorders>
              <w:top w:val="nil"/>
              <w:left w:val="single" w:sz="4" w:space="0" w:color="auto"/>
              <w:bottom w:val="nil"/>
              <w:right w:val="single" w:sz="4" w:space="0" w:color="auto"/>
            </w:tcBorders>
            <w:shd w:val="clear" w:color="auto" w:fill="auto"/>
            <w:vAlign w:val="center"/>
          </w:tcPr>
          <w:p w14:paraId="0D7675BE" w14:textId="77777777" w:rsidR="009343D5" w:rsidRPr="00D56579" w:rsidRDefault="009343D5" w:rsidP="002F131C">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A más tardar el día 17 del mes inmediato posterior al periodo que corresponda.</w:t>
            </w:r>
          </w:p>
        </w:tc>
      </w:tr>
      <w:tr w:rsidR="009343D5" w:rsidRPr="00D56579" w14:paraId="4A234394" w14:textId="77777777" w:rsidTr="00153CD3">
        <w:trPr>
          <w:trHeight w:val="429"/>
          <w:jc w:val="center"/>
        </w:trPr>
        <w:tc>
          <w:tcPr>
            <w:tcW w:w="4928" w:type="dxa"/>
            <w:tcBorders>
              <w:top w:val="nil"/>
              <w:left w:val="single" w:sz="4" w:space="0" w:color="auto"/>
              <w:bottom w:val="nil"/>
              <w:right w:val="single" w:sz="4" w:space="0" w:color="auto"/>
            </w:tcBorders>
            <w:shd w:val="clear" w:color="auto" w:fill="auto"/>
            <w:vAlign w:val="bottom"/>
          </w:tcPr>
          <w:p w14:paraId="68222C1C" w14:textId="77777777" w:rsidR="009343D5" w:rsidRPr="00D56579" w:rsidRDefault="009343D5" w:rsidP="002F131C">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Entero de retenciones mensuales de ISR por sueldos y salarios.</w:t>
            </w:r>
          </w:p>
        </w:tc>
        <w:tc>
          <w:tcPr>
            <w:tcW w:w="4394" w:type="dxa"/>
            <w:tcBorders>
              <w:top w:val="nil"/>
              <w:left w:val="single" w:sz="4" w:space="0" w:color="auto"/>
              <w:bottom w:val="nil"/>
              <w:right w:val="single" w:sz="4" w:space="0" w:color="auto"/>
            </w:tcBorders>
            <w:shd w:val="clear" w:color="auto" w:fill="auto"/>
            <w:vAlign w:val="center"/>
          </w:tcPr>
          <w:p w14:paraId="02030D56" w14:textId="77777777" w:rsidR="009343D5" w:rsidRPr="00D56579" w:rsidRDefault="009343D5" w:rsidP="002F131C">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A más tardar el día 17 del mes inmediato posterior al periodo que corresponda.</w:t>
            </w:r>
          </w:p>
        </w:tc>
      </w:tr>
      <w:tr w:rsidR="009343D5" w:rsidRPr="00D56579" w14:paraId="20F541A5" w14:textId="77777777" w:rsidTr="00153CD3">
        <w:trPr>
          <w:trHeight w:val="832"/>
          <w:jc w:val="center"/>
        </w:trPr>
        <w:tc>
          <w:tcPr>
            <w:tcW w:w="4928" w:type="dxa"/>
            <w:tcBorders>
              <w:top w:val="nil"/>
              <w:left w:val="single" w:sz="4" w:space="0" w:color="auto"/>
              <w:bottom w:val="nil"/>
              <w:right w:val="single" w:sz="4" w:space="0" w:color="auto"/>
            </w:tcBorders>
            <w:shd w:val="clear" w:color="auto" w:fill="auto"/>
            <w:vAlign w:val="bottom"/>
          </w:tcPr>
          <w:p w14:paraId="45E46C78" w14:textId="77777777" w:rsidR="009343D5" w:rsidRPr="00D56579" w:rsidRDefault="009343D5" w:rsidP="002F131C">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Declaración informativa anual de pagos y retenciones de servicios profesionales. Personas Morales. Impuesto Sobre la Renta.</w:t>
            </w:r>
          </w:p>
        </w:tc>
        <w:tc>
          <w:tcPr>
            <w:tcW w:w="4394" w:type="dxa"/>
            <w:tcBorders>
              <w:top w:val="nil"/>
              <w:left w:val="single" w:sz="4" w:space="0" w:color="auto"/>
              <w:bottom w:val="nil"/>
              <w:right w:val="single" w:sz="4" w:space="0" w:color="auto"/>
            </w:tcBorders>
            <w:shd w:val="clear" w:color="auto" w:fill="auto"/>
            <w:vAlign w:val="center"/>
          </w:tcPr>
          <w:p w14:paraId="6722110E" w14:textId="77777777" w:rsidR="009343D5" w:rsidRPr="00D56579" w:rsidRDefault="009343D5" w:rsidP="002F131C">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A más tardar el 15 de febrero del año siguiente.</w:t>
            </w:r>
          </w:p>
        </w:tc>
      </w:tr>
      <w:tr w:rsidR="009343D5" w:rsidRPr="00D56579" w14:paraId="3463FE8D" w14:textId="77777777" w:rsidTr="00153CD3">
        <w:trPr>
          <w:trHeight w:hRule="exact" w:val="713"/>
          <w:jc w:val="center"/>
        </w:trPr>
        <w:tc>
          <w:tcPr>
            <w:tcW w:w="4928" w:type="dxa"/>
            <w:tcBorders>
              <w:top w:val="nil"/>
              <w:left w:val="single" w:sz="4" w:space="0" w:color="auto"/>
              <w:bottom w:val="nil"/>
              <w:right w:val="single" w:sz="4" w:space="0" w:color="auto"/>
            </w:tcBorders>
            <w:shd w:val="clear" w:color="auto" w:fill="auto"/>
            <w:vAlign w:val="center"/>
          </w:tcPr>
          <w:p w14:paraId="7BE41E92" w14:textId="77777777" w:rsidR="009343D5" w:rsidRPr="00D56579" w:rsidRDefault="009343D5" w:rsidP="002F131C">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Entero mensual de retenciones de ISR de ingresos por arrendamiento.</w:t>
            </w:r>
          </w:p>
        </w:tc>
        <w:tc>
          <w:tcPr>
            <w:tcW w:w="4394" w:type="dxa"/>
            <w:tcBorders>
              <w:top w:val="nil"/>
              <w:left w:val="single" w:sz="4" w:space="0" w:color="auto"/>
              <w:bottom w:val="nil"/>
              <w:right w:val="single" w:sz="4" w:space="0" w:color="auto"/>
            </w:tcBorders>
            <w:shd w:val="clear" w:color="auto" w:fill="auto"/>
            <w:vAlign w:val="center"/>
          </w:tcPr>
          <w:p w14:paraId="7975B9C0" w14:textId="77777777" w:rsidR="009343D5" w:rsidRPr="00D56579" w:rsidRDefault="009343D5" w:rsidP="002F131C">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Conjuntamente con la retención por salarios o asimilados a salarios (17 de cada mes en su defecto).</w:t>
            </w:r>
          </w:p>
        </w:tc>
      </w:tr>
      <w:tr w:rsidR="009343D5" w:rsidRPr="00D56579" w14:paraId="4BE13624" w14:textId="77777777" w:rsidTr="00153CD3">
        <w:trPr>
          <w:trHeight w:hRule="exact" w:val="425"/>
          <w:jc w:val="center"/>
        </w:trPr>
        <w:tc>
          <w:tcPr>
            <w:tcW w:w="4928" w:type="dxa"/>
            <w:tcBorders>
              <w:top w:val="nil"/>
              <w:left w:val="single" w:sz="4" w:space="0" w:color="auto"/>
              <w:bottom w:val="nil"/>
              <w:right w:val="single" w:sz="4" w:space="0" w:color="auto"/>
            </w:tcBorders>
            <w:shd w:val="clear" w:color="auto" w:fill="auto"/>
            <w:vAlign w:val="bottom"/>
          </w:tcPr>
          <w:p w14:paraId="7B292E2D" w14:textId="77777777" w:rsidR="009343D5" w:rsidRPr="00D56579" w:rsidRDefault="009343D5" w:rsidP="002F131C">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Entero de retenciones mensuales de ISR por ingresos asimilados a salarios.</w:t>
            </w:r>
          </w:p>
        </w:tc>
        <w:tc>
          <w:tcPr>
            <w:tcW w:w="4394" w:type="dxa"/>
            <w:tcBorders>
              <w:top w:val="nil"/>
              <w:left w:val="single" w:sz="4" w:space="0" w:color="auto"/>
              <w:bottom w:val="nil"/>
              <w:right w:val="single" w:sz="4" w:space="0" w:color="auto"/>
            </w:tcBorders>
            <w:shd w:val="clear" w:color="auto" w:fill="auto"/>
            <w:vAlign w:val="center"/>
          </w:tcPr>
          <w:p w14:paraId="75DD7512" w14:textId="77777777" w:rsidR="009343D5" w:rsidRPr="00D56579" w:rsidRDefault="009343D5" w:rsidP="002F131C">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A más tardar el día 17 del mes inmediato posterior al periodo que corresponda.</w:t>
            </w:r>
          </w:p>
        </w:tc>
      </w:tr>
      <w:tr w:rsidR="009343D5" w:rsidRPr="00D56579" w14:paraId="276A1EB1" w14:textId="77777777" w:rsidTr="00153CD3">
        <w:trPr>
          <w:trHeight w:hRule="exact" w:val="704"/>
          <w:jc w:val="center"/>
        </w:trPr>
        <w:tc>
          <w:tcPr>
            <w:tcW w:w="4928" w:type="dxa"/>
            <w:tcBorders>
              <w:top w:val="nil"/>
              <w:left w:val="single" w:sz="4" w:space="0" w:color="auto"/>
              <w:bottom w:val="single" w:sz="4" w:space="0" w:color="auto"/>
              <w:right w:val="single" w:sz="4" w:space="0" w:color="auto"/>
            </w:tcBorders>
            <w:shd w:val="clear" w:color="auto" w:fill="auto"/>
            <w:vAlign w:val="bottom"/>
          </w:tcPr>
          <w:p w14:paraId="19E6CDA2" w14:textId="77777777" w:rsidR="009343D5" w:rsidRPr="00D56579" w:rsidRDefault="009343D5" w:rsidP="002F131C">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Declaración Informativa de las Entidades Federativas por la recaudación de IEPS por venta final de gasolinas y diésel.</w:t>
            </w:r>
          </w:p>
        </w:tc>
        <w:tc>
          <w:tcPr>
            <w:tcW w:w="4394" w:type="dxa"/>
            <w:tcBorders>
              <w:top w:val="nil"/>
              <w:left w:val="single" w:sz="4" w:space="0" w:color="auto"/>
              <w:bottom w:val="single" w:sz="4" w:space="0" w:color="auto"/>
              <w:right w:val="single" w:sz="4" w:space="0" w:color="auto"/>
            </w:tcBorders>
            <w:shd w:val="clear" w:color="auto" w:fill="auto"/>
            <w:vAlign w:val="center"/>
          </w:tcPr>
          <w:p w14:paraId="466B8F6D" w14:textId="77777777" w:rsidR="009343D5" w:rsidRPr="00D56579" w:rsidRDefault="009343D5" w:rsidP="002F131C">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Dentro de los primeros 10 días del octavo mes.</w:t>
            </w:r>
          </w:p>
        </w:tc>
      </w:tr>
    </w:tbl>
    <w:p w14:paraId="1122D98E" w14:textId="77777777" w:rsidR="00050920" w:rsidRDefault="00050920" w:rsidP="002F131C">
      <w:pPr>
        <w:jc w:val="both"/>
        <w:rPr>
          <w:rFonts w:ascii="Montserrat Medium" w:eastAsia="Times New Roman" w:hAnsi="Montserrat Medium" w:cs="Arial"/>
          <w:b/>
          <w:color w:val="595959"/>
          <w:sz w:val="22"/>
          <w:lang w:eastAsia="en-US"/>
        </w:rPr>
      </w:pPr>
    </w:p>
    <w:p w14:paraId="038FBDA7" w14:textId="77777777" w:rsidR="008257FE" w:rsidRDefault="008257FE" w:rsidP="002F131C">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Beneficios fiscales</w:t>
      </w:r>
    </w:p>
    <w:p w14:paraId="1154D261" w14:textId="77777777" w:rsidR="0008498D" w:rsidRPr="00D56579" w:rsidRDefault="0008498D" w:rsidP="002F131C">
      <w:pPr>
        <w:jc w:val="both"/>
        <w:rPr>
          <w:rFonts w:ascii="Montserrat Medium" w:eastAsia="Times New Roman" w:hAnsi="Montserrat Medium" w:cs="Arial"/>
          <w:b/>
          <w:color w:val="595959"/>
          <w:sz w:val="22"/>
          <w:lang w:eastAsia="en-US"/>
        </w:rPr>
      </w:pPr>
    </w:p>
    <w:p w14:paraId="2BD3C8B8" w14:textId="77777777" w:rsidR="007D010B" w:rsidRDefault="0008498D" w:rsidP="002F131C">
      <w:pPr>
        <w:jc w:val="both"/>
        <w:rPr>
          <w:rFonts w:ascii="Montserrat Medium" w:eastAsia="Times New Roman" w:hAnsi="Montserrat Medium" w:cs="Tahoma"/>
          <w:color w:val="595959"/>
          <w:sz w:val="22"/>
          <w:lang w:eastAsia="en-US"/>
        </w:rPr>
      </w:pPr>
      <w:r w:rsidRPr="0008498D">
        <w:rPr>
          <w:rFonts w:ascii="Montserrat Medium" w:eastAsia="Times New Roman" w:hAnsi="Montserrat Medium" w:cs="Tahoma"/>
          <w:color w:val="595959"/>
          <w:sz w:val="22"/>
          <w:lang w:eastAsia="en-US"/>
        </w:rPr>
        <w:t xml:space="preserve">En relación a los Beneficios Fiscales basados en los términos del artículo 3-B de la Ley de Coordinación Fiscal, la Subsecretaría de Ingresos de la SEFIPLAN registró ingresos de enero a </w:t>
      </w:r>
      <w:sdt>
        <w:sdtPr>
          <w:rPr>
            <w:rFonts w:ascii="Montserrat Medium" w:eastAsia="Times New Roman" w:hAnsi="Montserrat Medium" w:cs="Tahoma"/>
            <w:color w:val="595959"/>
            <w:sz w:val="22"/>
            <w:lang w:eastAsia="en-US"/>
          </w:rPr>
          <w:alias w:val="Mes"/>
          <w:tag w:val="Mes"/>
          <w:id w:val="526607960"/>
          <w:placeholder>
            <w:docPart w:val="3454DBDAA08E4AA997D2EE376F3F81AD"/>
          </w:placeholder>
          <w:comboBox>
            <w:listItem w:value="Elija un elemento."/>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comboBox>
        </w:sdtPr>
        <w:sdtEndPr/>
        <w:sdtContent>
          <w:r w:rsidR="007D010B">
            <w:rPr>
              <w:rFonts w:ascii="Montserrat Medium" w:eastAsia="Times New Roman" w:hAnsi="Montserrat Medium" w:cs="Tahoma"/>
              <w:color w:val="595959"/>
              <w:sz w:val="22"/>
              <w:lang w:eastAsia="en-US"/>
            </w:rPr>
            <w:t>junio</w:t>
          </w:r>
        </w:sdtContent>
      </w:sdt>
      <w:r w:rsidRPr="0008498D">
        <w:rPr>
          <w:rFonts w:ascii="Montserrat Medium" w:eastAsia="Times New Roman" w:hAnsi="Montserrat Medium" w:cs="Tahoma"/>
          <w:color w:val="595959"/>
          <w:sz w:val="22"/>
          <w:lang w:eastAsia="en-US"/>
        </w:rPr>
        <w:t xml:space="preserve"> de 2025, por la cantidad de $</w:t>
      </w:r>
      <w:r w:rsidR="007D010B">
        <w:rPr>
          <w:rFonts w:ascii="Montserrat Medium" w:eastAsia="Times New Roman" w:hAnsi="Montserrat Medium" w:cs="Tahoma"/>
          <w:color w:val="595959"/>
          <w:sz w:val="22"/>
          <w:lang w:eastAsia="en-US"/>
        </w:rPr>
        <w:t>1,039,674,792.00</w:t>
      </w:r>
      <w:r w:rsidRPr="0008498D">
        <w:rPr>
          <w:rFonts w:ascii="Montserrat Medium" w:eastAsia="Times New Roman" w:hAnsi="Montserrat Medium" w:cs="Tahoma"/>
          <w:color w:val="595959"/>
          <w:sz w:val="22"/>
          <w:lang w:eastAsia="en-US"/>
        </w:rPr>
        <w:t xml:space="preserve"> originados del 100% de la </w:t>
      </w:r>
      <w:r w:rsidRPr="0008498D">
        <w:rPr>
          <w:rFonts w:ascii="Montserrat Medium" w:eastAsia="Times New Roman" w:hAnsi="Montserrat Medium" w:cs="Tahoma"/>
          <w:color w:val="595959"/>
          <w:sz w:val="22"/>
          <w:lang w:eastAsia="en-US"/>
        </w:rPr>
        <w:lastRenderedPageBreak/>
        <w:t>recaudación del Impuesto Sobre la Renta que efectivamente se enteró a la Federación, correspondiente al salario del personal que prestó o desempeño un servicio personal subordinado en las dependencias de la Entidad Federativa y de sus municipios (Fondo ISR), tal y como se detalla:</w:t>
      </w:r>
    </w:p>
    <w:p w14:paraId="2E734AEF" w14:textId="77777777" w:rsidR="006008EB" w:rsidRPr="00D56579" w:rsidRDefault="006008EB" w:rsidP="002F131C">
      <w:pPr>
        <w:jc w:val="both"/>
        <w:rPr>
          <w:rFonts w:ascii="Montserrat Medium" w:eastAsia="Times New Roman" w:hAnsi="Montserrat Medium" w:cs="Tahoma"/>
          <w:color w:val="595959"/>
          <w:sz w:val="22"/>
          <w:lang w:eastAsia="en-US"/>
        </w:rPr>
      </w:pPr>
    </w:p>
    <w:tbl>
      <w:tblPr>
        <w:tblW w:w="5596" w:type="dxa"/>
        <w:jc w:val="center"/>
        <w:tblInd w:w="-1469" w:type="dxa"/>
        <w:tblCellMar>
          <w:left w:w="70" w:type="dxa"/>
          <w:right w:w="70" w:type="dxa"/>
        </w:tblCellMar>
        <w:tblLook w:val="04A0" w:firstRow="1" w:lastRow="0" w:firstColumn="1" w:lastColumn="0" w:noHBand="0" w:noVBand="1"/>
      </w:tblPr>
      <w:tblGrid>
        <w:gridCol w:w="2619"/>
        <w:gridCol w:w="2977"/>
      </w:tblGrid>
      <w:tr w:rsidR="0008498D" w:rsidRPr="00153CD3" w14:paraId="07893910" w14:textId="77777777" w:rsidTr="00153CD3">
        <w:trPr>
          <w:trHeight w:val="460"/>
          <w:jc w:val="center"/>
        </w:trPr>
        <w:tc>
          <w:tcPr>
            <w:tcW w:w="5596" w:type="dxa"/>
            <w:gridSpan w:val="2"/>
            <w:tcBorders>
              <w:top w:val="single" w:sz="8" w:space="0" w:color="auto"/>
              <w:left w:val="single" w:sz="8" w:space="0" w:color="auto"/>
              <w:bottom w:val="single" w:sz="8" w:space="0" w:color="auto"/>
              <w:right w:val="single" w:sz="8" w:space="0" w:color="000000"/>
            </w:tcBorders>
            <w:shd w:val="clear" w:color="000000" w:fill="A6A6A6"/>
            <w:vAlign w:val="center"/>
            <w:hideMark/>
          </w:tcPr>
          <w:p w14:paraId="0D9AD27A" w14:textId="77777777" w:rsidR="0008498D" w:rsidRPr="00153CD3" w:rsidRDefault="0008498D" w:rsidP="002F131C">
            <w:pPr>
              <w:jc w:val="center"/>
              <w:rPr>
                <w:rFonts w:ascii="Montserrat Medium" w:eastAsia="Times New Roman" w:hAnsi="Montserrat Medium" w:cs="Arial"/>
                <w:b/>
                <w:bCs/>
                <w:color w:val="000000"/>
                <w:sz w:val="16"/>
                <w:szCs w:val="16"/>
                <w:lang w:eastAsia="es-MX"/>
              </w:rPr>
            </w:pPr>
            <w:r w:rsidRPr="00153CD3">
              <w:rPr>
                <w:rFonts w:ascii="Montserrat Medium" w:eastAsia="Times New Roman" w:hAnsi="Montserrat Medium" w:cs="Arial"/>
                <w:b/>
                <w:bCs/>
                <w:color w:val="000000"/>
                <w:sz w:val="16"/>
                <w:szCs w:val="16"/>
                <w:lang w:eastAsia="es-MX"/>
              </w:rPr>
              <w:t>INFORMACIÓN REPORTADA POR LA SUBSECRETARÍA DE INGRESOS DE LA SEFIPLAN</w:t>
            </w:r>
          </w:p>
        </w:tc>
      </w:tr>
      <w:tr w:rsidR="0008498D" w:rsidRPr="00153CD3" w14:paraId="20D9B61E" w14:textId="77777777" w:rsidTr="00153CD3">
        <w:trPr>
          <w:trHeight w:hRule="exact" w:val="663"/>
          <w:jc w:val="center"/>
        </w:trPr>
        <w:tc>
          <w:tcPr>
            <w:tcW w:w="2619" w:type="dxa"/>
            <w:tcBorders>
              <w:top w:val="nil"/>
              <w:left w:val="single" w:sz="8" w:space="0" w:color="auto"/>
              <w:bottom w:val="single" w:sz="8" w:space="0" w:color="auto"/>
              <w:right w:val="single" w:sz="8" w:space="0" w:color="auto"/>
            </w:tcBorders>
            <w:shd w:val="clear" w:color="000000" w:fill="A6A6A6"/>
            <w:vAlign w:val="center"/>
            <w:hideMark/>
          </w:tcPr>
          <w:p w14:paraId="365ECAC4" w14:textId="77777777" w:rsidR="0008498D" w:rsidRPr="00153CD3" w:rsidRDefault="0008498D" w:rsidP="002F131C">
            <w:pPr>
              <w:jc w:val="center"/>
              <w:rPr>
                <w:rFonts w:ascii="Montserrat Medium" w:eastAsia="Times New Roman" w:hAnsi="Montserrat Medium" w:cs="Arial"/>
                <w:color w:val="000000"/>
                <w:sz w:val="18"/>
                <w:szCs w:val="18"/>
                <w:lang w:eastAsia="es-MX"/>
              </w:rPr>
            </w:pPr>
            <w:r w:rsidRPr="00153CD3">
              <w:rPr>
                <w:rFonts w:ascii="Montserrat Medium" w:eastAsia="Times New Roman" w:hAnsi="Montserrat Medium" w:cs="Arial"/>
                <w:color w:val="000000"/>
                <w:sz w:val="18"/>
                <w:szCs w:val="18"/>
                <w:lang w:eastAsia="es-MX"/>
              </w:rPr>
              <w:t>MES DEL DEPÓSITO</w:t>
            </w:r>
          </w:p>
        </w:tc>
        <w:tc>
          <w:tcPr>
            <w:tcW w:w="2977" w:type="dxa"/>
            <w:tcBorders>
              <w:top w:val="nil"/>
              <w:left w:val="nil"/>
              <w:bottom w:val="single" w:sz="8" w:space="0" w:color="auto"/>
              <w:right w:val="single" w:sz="8" w:space="0" w:color="auto"/>
            </w:tcBorders>
            <w:shd w:val="clear" w:color="000000" w:fill="A6A6A6"/>
            <w:vAlign w:val="center"/>
            <w:hideMark/>
          </w:tcPr>
          <w:p w14:paraId="6D95A4A1" w14:textId="77777777" w:rsidR="0008498D" w:rsidRPr="00153CD3" w:rsidRDefault="0008498D" w:rsidP="002F131C">
            <w:pPr>
              <w:jc w:val="center"/>
              <w:rPr>
                <w:rFonts w:ascii="Montserrat Medium" w:eastAsia="Times New Roman" w:hAnsi="Montserrat Medium" w:cs="Arial"/>
                <w:color w:val="000000"/>
                <w:sz w:val="16"/>
                <w:szCs w:val="16"/>
                <w:lang w:eastAsia="es-MX"/>
              </w:rPr>
            </w:pPr>
            <w:r w:rsidRPr="00153CD3">
              <w:rPr>
                <w:rFonts w:ascii="Montserrat Medium" w:eastAsia="Times New Roman" w:hAnsi="Montserrat Medium" w:cs="Arial"/>
                <w:color w:val="000000"/>
                <w:sz w:val="16"/>
                <w:szCs w:val="16"/>
                <w:lang w:eastAsia="es-MX"/>
              </w:rPr>
              <w:t>IMPORTE DEPOSITADO DEL S.A.T. A LA ENTIDAD FEDERATIVA</w:t>
            </w:r>
          </w:p>
        </w:tc>
      </w:tr>
      <w:tr w:rsidR="0008498D" w:rsidRPr="00153CD3" w14:paraId="64B1D2B0" w14:textId="77777777" w:rsidTr="00153CD3">
        <w:trPr>
          <w:trHeight w:hRule="exact" w:val="300"/>
          <w:jc w:val="center"/>
        </w:trPr>
        <w:tc>
          <w:tcPr>
            <w:tcW w:w="2619" w:type="dxa"/>
            <w:tcBorders>
              <w:top w:val="nil"/>
              <w:left w:val="single" w:sz="8" w:space="0" w:color="auto"/>
              <w:bottom w:val="nil"/>
              <w:right w:val="single" w:sz="8" w:space="0" w:color="auto"/>
            </w:tcBorders>
            <w:shd w:val="clear" w:color="auto" w:fill="auto"/>
            <w:noWrap/>
            <w:vAlign w:val="center"/>
            <w:hideMark/>
          </w:tcPr>
          <w:p w14:paraId="5B2C59AA" w14:textId="77777777" w:rsidR="0008498D" w:rsidRPr="00153CD3" w:rsidRDefault="0008498D" w:rsidP="002F131C">
            <w:pPr>
              <w:jc w:val="center"/>
              <w:rPr>
                <w:rFonts w:ascii="Montserrat Medium" w:eastAsia="Times New Roman" w:hAnsi="Montserrat Medium" w:cs="Arial"/>
                <w:color w:val="000000"/>
                <w:sz w:val="18"/>
                <w:szCs w:val="18"/>
                <w:lang w:eastAsia="es-MX"/>
              </w:rPr>
            </w:pPr>
            <w:r w:rsidRPr="00153CD3">
              <w:rPr>
                <w:rFonts w:ascii="Montserrat Medium" w:eastAsia="Times New Roman" w:hAnsi="Montserrat Medium" w:cs="Arial"/>
                <w:color w:val="000000"/>
                <w:sz w:val="18"/>
                <w:szCs w:val="18"/>
                <w:lang w:eastAsia="es-MX"/>
              </w:rPr>
              <w:t>Enero</w:t>
            </w:r>
          </w:p>
        </w:tc>
        <w:tc>
          <w:tcPr>
            <w:tcW w:w="2977" w:type="dxa"/>
            <w:tcBorders>
              <w:top w:val="nil"/>
              <w:left w:val="nil"/>
              <w:bottom w:val="nil"/>
              <w:right w:val="single" w:sz="8" w:space="0" w:color="auto"/>
            </w:tcBorders>
            <w:shd w:val="clear" w:color="auto" w:fill="auto"/>
            <w:noWrap/>
            <w:hideMark/>
          </w:tcPr>
          <w:p w14:paraId="4F78B483" w14:textId="77777777" w:rsidR="0008498D" w:rsidRPr="00153CD3" w:rsidRDefault="0008498D" w:rsidP="002F131C">
            <w:pPr>
              <w:jc w:val="right"/>
              <w:rPr>
                <w:rFonts w:ascii="Montserrat Medium" w:hAnsi="Montserrat Medium" w:cs="Arial"/>
                <w:bCs/>
                <w:color w:val="2C3238"/>
                <w:sz w:val="18"/>
                <w:szCs w:val="18"/>
              </w:rPr>
            </w:pPr>
            <w:r w:rsidRPr="00153CD3">
              <w:rPr>
                <w:rFonts w:ascii="Montserrat Medium" w:hAnsi="Montserrat Medium" w:cs="Arial"/>
                <w:bCs/>
                <w:color w:val="2C3238"/>
                <w:sz w:val="18"/>
                <w:szCs w:val="18"/>
              </w:rPr>
              <w:t>325,165,965</w:t>
            </w:r>
          </w:p>
        </w:tc>
      </w:tr>
      <w:tr w:rsidR="0008498D" w:rsidRPr="00153CD3" w14:paraId="63314647" w14:textId="77777777" w:rsidTr="00153CD3">
        <w:trPr>
          <w:trHeight w:hRule="exact" w:val="300"/>
          <w:jc w:val="center"/>
        </w:trPr>
        <w:tc>
          <w:tcPr>
            <w:tcW w:w="2619" w:type="dxa"/>
            <w:tcBorders>
              <w:top w:val="nil"/>
              <w:left w:val="single" w:sz="8" w:space="0" w:color="auto"/>
              <w:bottom w:val="nil"/>
              <w:right w:val="single" w:sz="8" w:space="0" w:color="auto"/>
            </w:tcBorders>
            <w:shd w:val="clear" w:color="auto" w:fill="auto"/>
            <w:noWrap/>
            <w:vAlign w:val="center"/>
            <w:hideMark/>
          </w:tcPr>
          <w:p w14:paraId="14ECA69F" w14:textId="77777777" w:rsidR="0008498D" w:rsidRPr="00153CD3" w:rsidRDefault="0008498D" w:rsidP="002F131C">
            <w:pPr>
              <w:jc w:val="center"/>
              <w:rPr>
                <w:rFonts w:ascii="Montserrat Medium" w:eastAsia="Times New Roman" w:hAnsi="Montserrat Medium" w:cs="Arial"/>
                <w:color w:val="000000"/>
                <w:sz w:val="18"/>
                <w:szCs w:val="18"/>
                <w:lang w:eastAsia="es-MX"/>
              </w:rPr>
            </w:pPr>
            <w:r w:rsidRPr="00153CD3">
              <w:rPr>
                <w:rFonts w:ascii="Montserrat Medium" w:eastAsia="Times New Roman" w:hAnsi="Montserrat Medium" w:cs="Arial"/>
                <w:color w:val="000000"/>
                <w:sz w:val="18"/>
                <w:szCs w:val="18"/>
                <w:lang w:eastAsia="es-MX"/>
              </w:rPr>
              <w:t>Febrero</w:t>
            </w:r>
          </w:p>
        </w:tc>
        <w:tc>
          <w:tcPr>
            <w:tcW w:w="2977" w:type="dxa"/>
            <w:tcBorders>
              <w:top w:val="nil"/>
              <w:left w:val="nil"/>
              <w:bottom w:val="nil"/>
              <w:right w:val="single" w:sz="8" w:space="0" w:color="auto"/>
            </w:tcBorders>
            <w:shd w:val="clear" w:color="auto" w:fill="auto"/>
            <w:noWrap/>
          </w:tcPr>
          <w:p w14:paraId="55C0DED4" w14:textId="77777777" w:rsidR="0008498D" w:rsidRPr="00153CD3" w:rsidRDefault="0008498D" w:rsidP="002F131C">
            <w:pPr>
              <w:jc w:val="right"/>
              <w:rPr>
                <w:rFonts w:ascii="Montserrat Medium" w:hAnsi="Montserrat Medium" w:cs="Arial"/>
                <w:bCs/>
                <w:color w:val="2C3238"/>
                <w:sz w:val="18"/>
                <w:szCs w:val="18"/>
              </w:rPr>
            </w:pPr>
            <w:r w:rsidRPr="00153CD3">
              <w:rPr>
                <w:rFonts w:ascii="Montserrat Medium" w:hAnsi="Montserrat Medium" w:cs="Arial"/>
                <w:bCs/>
                <w:color w:val="2C3238"/>
                <w:sz w:val="18"/>
                <w:szCs w:val="18"/>
              </w:rPr>
              <w:t>132,839,810</w:t>
            </w:r>
          </w:p>
        </w:tc>
      </w:tr>
      <w:tr w:rsidR="0008498D" w:rsidRPr="00153CD3" w14:paraId="07199FBC" w14:textId="77777777" w:rsidTr="00153CD3">
        <w:trPr>
          <w:trHeight w:hRule="exact" w:val="300"/>
          <w:jc w:val="center"/>
        </w:trPr>
        <w:tc>
          <w:tcPr>
            <w:tcW w:w="2619" w:type="dxa"/>
            <w:tcBorders>
              <w:top w:val="nil"/>
              <w:left w:val="single" w:sz="8" w:space="0" w:color="auto"/>
              <w:bottom w:val="nil"/>
              <w:right w:val="single" w:sz="8" w:space="0" w:color="auto"/>
            </w:tcBorders>
            <w:shd w:val="clear" w:color="auto" w:fill="auto"/>
            <w:noWrap/>
            <w:vAlign w:val="center"/>
            <w:hideMark/>
          </w:tcPr>
          <w:p w14:paraId="7461F4C5" w14:textId="77777777" w:rsidR="0008498D" w:rsidRPr="00153CD3" w:rsidRDefault="0008498D" w:rsidP="002F131C">
            <w:pPr>
              <w:jc w:val="center"/>
              <w:rPr>
                <w:rFonts w:ascii="Montserrat Medium" w:eastAsia="Times New Roman" w:hAnsi="Montserrat Medium" w:cs="Arial"/>
                <w:color w:val="000000"/>
                <w:sz w:val="18"/>
                <w:szCs w:val="18"/>
                <w:lang w:eastAsia="es-MX"/>
              </w:rPr>
            </w:pPr>
            <w:r w:rsidRPr="00153CD3">
              <w:rPr>
                <w:rFonts w:ascii="Montserrat Medium" w:eastAsia="Times New Roman" w:hAnsi="Montserrat Medium" w:cs="Arial"/>
                <w:color w:val="000000"/>
                <w:sz w:val="18"/>
                <w:szCs w:val="18"/>
                <w:lang w:eastAsia="es-MX"/>
              </w:rPr>
              <w:t>Marzo</w:t>
            </w:r>
          </w:p>
        </w:tc>
        <w:tc>
          <w:tcPr>
            <w:tcW w:w="2977" w:type="dxa"/>
            <w:tcBorders>
              <w:top w:val="nil"/>
              <w:left w:val="nil"/>
              <w:bottom w:val="nil"/>
              <w:right w:val="single" w:sz="8" w:space="0" w:color="auto"/>
            </w:tcBorders>
            <w:shd w:val="clear" w:color="auto" w:fill="auto"/>
            <w:noWrap/>
          </w:tcPr>
          <w:p w14:paraId="6CF827BE" w14:textId="77777777" w:rsidR="0008498D" w:rsidRPr="00153CD3" w:rsidRDefault="0008498D" w:rsidP="002F131C">
            <w:pPr>
              <w:jc w:val="right"/>
              <w:rPr>
                <w:rFonts w:ascii="Montserrat Medium" w:hAnsi="Montserrat Medium" w:cs="Arial"/>
                <w:bCs/>
                <w:color w:val="2C3238"/>
                <w:sz w:val="18"/>
                <w:szCs w:val="18"/>
              </w:rPr>
            </w:pPr>
            <w:r w:rsidRPr="00153CD3">
              <w:rPr>
                <w:rFonts w:ascii="Montserrat Medium" w:hAnsi="Montserrat Medium" w:cs="Arial"/>
                <w:bCs/>
                <w:color w:val="2C3238"/>
                <w:sz w:val="18"/>
                <w:szCs w:val="18"/>
              </w:rPr>
              <w:t>230,551,050</w:t>
            </w:r>
          </w:p>
        </w:tc>
      </w:tr>
      <w:tr w:rsidR="007D010B" w:rsidRPr="00153CD3" w14:paraId="4070E73A" w14:textId="77777777" w:rsidTr="00153CD3">
        <w:trPr>
          <w:trHeight w:hRule="exact" w:val="300"/>
          <w:jc w:val="center"/>
        </w:trPr>
        <w:tc>
          <w:tcPr>
            <w:tcW w:w="2619" w:type="dxa"/>
            <w:tcBorders>
              <w:top w:val="nil"/>
              <w:left w:val="single" w:sz="8" w:space="0" w:color="auto"/>
              <w:bottom w:val="nil"/>
              <w:right w:val="single" w:sz="8" w:space="0" w:color="auto"/>
            </w:tcBorders>
            <w:shd w:val="clear" w:color="auto" w:fill="auto"/>
            <w:noWrap/>
            <w:vAlign w:val="center"/>
          </w:tcPr>
          <w:p w14:paraId="31B8BED3" w14:textId="36C72F43" w:rsidR="007D010B" w:rsidRPr="00153CD3" w:rsidRDefault="007D010B" w:rsidP="002F131C">
            <w:pPr>
              <w:jc w:val="center"/>
              <w:rPr>
                <w:rFonts w:ascii="Montserrat Medium" w:eastAsia="Times New Roman" w:hAnsi="Montserrat Medium" w:cs="Arial"/>
                <w:color w:val="000000"/>
                <w:sz w:val="18"/>
                <w:szCs w:val="18"/>
                <w:lang w:eastAsia="es-MX"/>
              </w:rPr>
            </w:pPr>
            <w:r>
              <w:rPr>
                <w:rFonts w:ascii="Montserrat Medium" w:eastAsia="Times New Roman" w:hAnsi="Montserrat Medium" w:cs="Arial"/>
                <w:color w:val="000000"/>
                <w:sz w:val="18"/>
                <w:szCs w:val="18"/>
                <w:lang w:eastAsia="es-MX"/>
              </w:rPr>
              <w:t>Abril</w:t>
            </w:r>
          </w:p>
        </w:tc>
        <w:tc>
          <w:tcPr>
            <w:tcW w:w="2977" w:type="dxa"/>
            <w:tcBorders>
              <w:top w:val="nil"/>
              <w:left w:val="nil"/>
              <w:bottom w:val="nil"/>
              <w:right w:val="single" w:sz="8" w:space="0" w:color="auto"/>
            </w:tcBorders>
            <w:shd w:val="clear" w:color="auto" w:fill="auto"/>
            <w:noWrap/>
          </w:tcPr>
          <w:p w14:paraId="177D63F8" w14:textId="4A4FD4C1" w:rsidR="007D010B" w:rsidRPr="00153CD3" w:rsidRDefault="007D010B" w:rsidP="002F131C">
            <w:pPr>
              <w:jc w:val="right"/>
              <w:rPr>
                <w:rFonts w:ascii="Montserrat Medium" w:hAnsi="Montserrat Medium" w:cs="Arial"/>
                <w:bCs/>
                <w:color w:val="2C3238"/>
                <w:sz w:val="18"/>
                <w:szCs w:val="18"/>
              </w:rPr>
            </w:pPr>
            <w:r>
              <w:rPr>
                <w:rFonts w:ascii="Montserrat Medium" w:hAnsi="Montserrat Medium" w:cs="Arial"/>
                <w:bCs/>
                <w:color w:val="2C3238"/>
                <w:sz w:val="18"/>
                <w:szCs w:val="18"/>
              </w:rPr>
              <w:t>101,202,224</w:t>
            </w:r>
          </w:p>
        </w:tc>
      </w:tr>
      <w:tr w:rsidR="007D010B" w:rsidRPr="00153CD3" w14:paraId="5AA1EBBE" w14:textId="77777777" w:rsidTr="00153CD3">
        <w:trPr>
          <w:trHeight w:hRule="exact" w:val="300"/>
          <w:jc w:val="center"/>
        </w:trPr>
        <w:tc>
          <w:tcPr>
            <w:tcW w:w="2619" w:type="dxa"/>
            <w:tcBorders>
              <w:top w:val="nil"/>
              <w:left w:val="single" w:sz="8" w:space="0" w:color="auto"/>
              <w:bottom w:val="nil"/>
              <w:right w:val="single" w:sz="8" w:space="0" w:color="auto"/>
            </w:tcBorders>
            <w:shd w:val="clear" w:color="auto" w:fill="auto"/>
            <w:noWrap/>
            <w:vAlign w:val="center"/>
          </w:tcPr>
          <w:p w14:paraId="000374F2" w14:textId="5F2831D2" w:rsidR="007D010B" w:rsidRPr="00153CD3" w:rsidRDefault="007D010B" w:rsidP="002F131C">
            <w:pPr>
              <w:jc w:val="center"/>
              <w:rPr>
                <w:rFonts w:ascii="Montserrat Medium" w:eastAsia="Times New Roman" w:hAnsi="Montserrat Medium" w:cs="Arial"/>
                <w:color w:val="000000"/>
                <w:sz w:val="18"/>
                <w:szCs w:val="18"/>
                <w:lang w:eastAsia="es-MX"/>
              </w:rPr>
            </w:pPr>
            <w:r>
              <w:rPr>
                <w:rFonts w:ascii="Montserrat Medium" w:eastAsia="Times New Roman" w:hAnsi="Montserrat Medium" w:cs="Arial"/>
                <w:color w:val="000000"/>
                <w:sz w:val="18"/>
                <w:szCs w:val="18"/>
                <w:lang w:eastAsia="es-MX"/>
              </w:rPr>
              <w:t>Mayo</w:t>
            </w:r>
          </w:p>
        </w:tc>
        <w:tc>
          <w:tcPr>
            <w:tcW w:w="2977" w:type="dxa"/>
            <w:tcBorders>
              <w:top w:val="nil"/>
              <w:left w:val="nil"/>
              <w:bottom w:val="nil"/>
              <w:right w:val="single" w:sz="8" w:space="0" w:color="auto"/>
            </w:tcBorders>
            <w:shd w:val="clear" w:color="auto" w:fill="auto"/>
            <w:noWrap/>
          </w:tcPr>
          <w:p w14:paraId="1FAA12DA" w14:textId="7B11E82B" w:rsidR="007D010B" w:rsidRPr="00153CD3" w:rsidRDefault="007D010B" w:rsidP="002F131C">
            <w:pPr>
              <w:jc w:val="right"/>
              <w:rPr>
                <w:rFonts w:ascii="Montserrat Medium" w:hAnsi="Montserrat Medium" w:cs="Arial"/>
                <w:bCs/>
                <w:color w:val="2C3238"/>
                <w:sz w:val="18"/>
                <w:szCs w:val="18"/>
              </w:rPr>
            </w:pPr>
            <w:r>
              <w:rPr>
                <w:rFonts w:ascii="Montserrat Medium" w:hAnsi="Montserrat Medium" w:cs="Arial"/>
                <w:bCs/>
                <w:color w:val="2C3238"/>
                <w:sz w:val="18"/>
                <w:szCs w:val="18"/>
              </w:rPr>
              <w:t>113,211,294</w:t>
            </w:r>
          </w:p>
        </w:tc>
      </w:tr>
      <w:tr w:rsidR="007D010B" w:rsidRPr="00153CD3" w14:paraId="1AAC7309" w14:textId="77777777" w:rsidTr="00153CD3">
        <w:trPr>
          <w:trHeight w:hRule="exact" w:val="300"/>
          <w:jc w:val="center"/>
        </w:trPr>
        <w:tc>
          <w:tcPr>
            <w:tcW w:w="2619" w:type="dxa"/>
            <w:tcBorders>
              <w:top w:val="nil"/>
              <w:left w:val="single" w:sz="8" w:space="0" w:color="auto"/>
              <w:bottom w:val="nil"/>
              <w:right w:val="single" w:sz="8" w:space="0" w:color="auto"/>
            </w:tcBorders>
            <w:shd w:val="clear" w:color="auto" w:fill="auto"/>
            <w:noWrap/>
            <w:vAlign w:val="center"/>
          </w:tcPr>
          <w:p w14:paraId="6FD7E02A" w14:textId="4F2E2C11" w:rsidR="007D010B" w:rsidRPr="00153CD3" w:rsidRDefault="007D010B" w:rsidP="002F131C">
            <w:pPr>
              <w:jc w:val="center"/>
              <w:rPr>
                <w:rFonts w:ascii="Montserrat Medium" w:eastAsia="Times New Roman" w:hAnsi="Montserrat Medium" w:cs="Arial"/>
                <w:color w:val="000000"/>
                <w:sz w:val="18"/>
                <w:szCs w:val="18"/>
                <w:lang w:eastAsia="es-MX"/>
              </w:rPr>
            </w:pPr>
            <w:r>
              <w:rPr>
                <w:rFonts w:ascii="Montserrat Medium" w:eastAsia="Times New Roman" w:hAnsi="Montserrat Medium" w:cs="Arial"/>
                <w:color w:val="000000"/>
                <w:sz w:val="18"/>
                <w:szCs w:val="18"/>
                <w:lang w:eastAsia="es-MX"/>
              </w:rPr>
              <w:t>Junio</w:t>
            </w:r>
          </w:p>
        </w:tc>
        <w:tc>
          <w:tcPr>
            <w:tcW w:w="2977" w:type="dxa"/>
            <w:tcBorders>
              <w:top w:val="nil"/>
              <w:left w:val="nil"/>
              <w:bottom w:val="nil"/>
              <w:right w:val="single" w:sz="8" w:space="0" w:color="auto"/>
            </w:tcBorders>
            <w:shd w:val="clear" w:color="auto" w:fill="auto"/>
            <w:noWrap/>
          </w:tcPr>
          <w:p w14:paraId="47BF8DB7" w14:textId="5755205A" w:rsidR="007D010B" w:rsidRPr="00153CD3" w:rsidRDefault="007D010B" w:rsidP="002F131C">
            <w:pPr>
              <w:jc w:val="right"/>
              <w:rPr>
                <w:rFonts w:ascii="Montserrat Medium" w:hAnsi="Montserrat Medium" w:cs="Arial"/>
                <w:bCs/>
                <w:color w:val="2C3238"/>
                <w:sz w:val="18"/>
                <w:szCs w:val="18"/>
              </w:rPr>
            </w:pPr>
            <w:r>
              <w:rPr>
                <w:rFonts w:ascii="Montserrat Medium" w:hAnsi="Montserrat Medium" w:cs="Arial"/>
                <w:bCs/>
                <w:color w:val="2C3238"/>
                <w:sz w:val="18"/>
                <w:szCs w:val="18"/>
              </w:rPr>
              <w:t>136,704,449</w:t>
            </w:r>
          </w:p>
        </w:tc>
      </w:tr>
      <w:tr w:rsidR="0008498D" w:rsidRPr="00153CD3" w14:paraId="3A9CC1BA" w14:textId="77777777" w:rsidTr="00153CD3">
        <w:trPr>
          <w:trHeight w:hRule="exact" w:val="300"/>
          <w:jc w:val="center"/>
        </w:trPr>
        <w:tc>
          <w:tcPr>
            <w:tcW w:w="2619" w:type="dxa"/>
            <w:tcBorders>
              <w:top w:val="single" w:sz="4" w:space="0" w:color="auto"/>
              <w:left w:val="single" w:sz="4" w:space="0" w:color="auto"/>
              <w:bottom w:val="single" w:sz="4" w:space="0" w:color="auto"/>
              <w:right w:val="single" w:sz="8" w:space="0" w:color="auto"/>
            </w:tcBorders>
            <w:shd w:val="clear" w:color="000000" w:fill="BFBFBF"/>
            <w:noWrap/>
            <w:vAlign w:val="center"/>
            <w:hideMark/>
          </w:tcPr>
          <w:p w14:paraId="0F8B701F" w14:textId="77777777" w:rsidR="0008498D" w:rsidRPr="00153CD3" w:rsidRDefault="0008498D" w:rsidP="002F131C">
            <w:pPr>
              <w:jc w:val="center"/>
              <w:rPr>
                <w:rFonts w:ascii="Montserrat Medium" w:eastAsia="Times New Roman" w:hAnsi="Montserrat Medium" w:cs="Arial"/>
                <w:b/>
                <w:bCs/>
                <w:color w:val="000000"/>
                <w:sz w:val="18"/>
                <w:szCs w:val="18"/>
                <w:lang w:eastAsia="es-MX"/>
              </w:rPr>
            </w:pPr>
            <w:r w:rsidRPr="00153CD3">
              <w:rPr>
                <w:rFonts w:ascii="Montserrat Medium" w:eastAsia="Times New Roman" w:hAnsi="Montserrat Medium" w:cs="Arial"/>
                <w:b/>
                <w:bCs/>
                <w:color w:val="000000"/>
                <w:sz w:val="18"/>
                <w:szCs w:val="18"/>
                <w:lang w:eastAsia="es-MX"/>
              </w:rPr>
              <w:t>Total</w:t>
            </w:r>
          </w:p>
        </w:tc>
        <w:tc>
          <w:tcPr>
            <w:tcW w:w="2977" w:type="dxa"/>
            <w:tcBorders>
              <w:top w:val="single" w:sz="4" w:space="0" w:color="auto"/>
              <w:left w:val="nil"/>
              <w:bottom w:val="single" w:sz="4" w:space="0" w:color="auto"/>
              <w:right w:val="single" w:sz="4" w:space="0" w:color="auto"/>
            </w:tcBorders>
            <w:shd w:val="clear" w:color="000000" w:fill="BFBFBF"/>
            <w:noWrap/>
            <w:vAlign w:val="center"/>
            <w:hideMark/>
          </w:tcPr>
          <w:p w14:paraId="73590EE1" w14:textId="1B1849A1" w:rsidR="0008498D" w:rsidRPr="00153CD3" w:rsidRDefault="007D010B" w:rsidP="002F131C">
            <w:pPr>
              <w:jc w:val="right"/>
              <w:rPr>
                <w:rFonts w:ascii="Montserrat Medium" w:eastAsia="Times New Roman" w:hAnsi="Montserrat Medium" w:cs="Arial"/>
                <w:b/>
                <w:bCs/>
                <w:color w:val="000000"/>
                <w:sz w:val="18"/>
                <w:szCs w:val="18"/>
                <w:lang w:eastAsia="es-MX"/>
              </w:rPr>
            </w:pPr>
            <w:r>
              <w:rPr>
                <w:rFonts w:ascii="Montserrat Medium" w:hAnsi="Montserrat Medium" w:cs="Arial"/>
                <w:b/>
                <w:bCs/>
                <w:color w:val="2C3238"/>
                <w:sz w:val="18"/>
                <w:szCs w:val="20"/>
              </w:rPr>
              <w:t>1,039,674,792</w:t>
            </w:r>
          </w:p>
        </w:tc>
      </w:tr>
    </w:tbl>
    <w:p w14:paraId="747435A8" w14:textId="7E178B0E" w:rsidR="00F7579A" w:rsidRDefault="00F7579A" w:rsidP="002F131C">
      <w:pPr>
        <w:jc w:val="both"/>
        <w:rPr>
          <w:rFonts w:ascii="Montserrat Medium" w:eastAsia="Times New Roman" w:hAnsi="Montserrat Medium" w:cs="Tahoma"/>
          <w:color w:val="595959"/>
          <w:sz w:val="22"/>
          <w:lang w:eastAsia="en-US"/>
        </w:rPr>
      </w:pPr>
    </w:p>
    <w:p w14:paraId="497955C2" w14:textId="3C9BBC7D" w:rsidR="0008498D" w:rsidRDefault="0008498D" w:rsidP="002F131C">
      <w:pPr>
        <w:jc w:val="both"/>
        <w:rPr>
          <w:rFonts w:ascii="Montserrat Medium" w:eastAsia="Times New Roman" w:hAnsi="Montserrat Medium" w:cs="Tahoma"/>
          <w:color w:val="595959"/>
          <w:sz w:val="22"/>
          <w:lang w:eastAsia="en-US"/>
        </w:rPr>
      </w:pPr>
      <w:r w:rsidRPr="0008498D">
        <w:rPr>
          <w:rFonts w:ascii="Montserrat Medium" w:eastAsia="Times New Roman" w:hAnsi="Montserrat Medium" w:cs="Tahoma"/>
          <w:color w:val="595959"/>
          <w:sz w:val="22"/>
          <w:lang w:eastAsia="en-US"/>
        </w:rPr>
        <w:t xml:space="preserve">Por lo anterior, con fundamento en el último párrafo del citado artículo y de las Reglas de Operación para la aplicación del artículo 3-B de la Ley de Coordinación Fiscal, deberá participar a sus municipios o demarcaciones territoriales, el 100% de la recaudación del impuesto al que se refiere dicho artículo, correspondiente al personal que preste o desempeñe un servicio personal subordinado en el municipio o demarcación territorial de que se trate, realizó de enero a </w:t>
      </w:r>
      <w:sdt>
        <w:sdtPr>
          <w:rPr>
            <w:rFonts w:ascii="Montserrat Medium" w:eastAsia="Times New Roman" w:hAnsi="Montserrat Medium" w:cs="Tahoma"/>
            <w:color w:val="595959"/>
            <w:sz w:val="22"/>
            <w:lang w:eastAsia="en-US"/>
          </w:rPr>
          <w:alias w:val="Mes"/>
          <w:tag w:val="Mes"/>
          <w:id w:val="1919130801"/>
          <w:placeholder>
            <w:docPart w:val="3D859102B2204DACA157C3CD1B6784A8"/>
          </w:placeholder>
          <w:comboBox>
            <w:listItem w:value="Elija un elemento."/>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comboBox>
        </w:sdtPr>
        <w:sdtEndPr/>
        <w:sdtContent>
          <w:r w:rsidR="000D32E4">
            <w:rPr>
              <w:rFonts w:ascii="Montserrat Medium" w:eastAsia="Times New Roman" w:hAnsi="Montserrat Medium" w:cs="Tahoma"/>
              <w:color w:val="595959"/>
              <w:sz w:val="22"/>
              <w:lang w:eastAsia="en-US"/>
            </w:rPr>
            <w:t>junio</w:t>
          </w:r>
        </w:sdtContent>
      </w:sdt>
      <w:r w:rsidRPr="0008498D">
        <w:rPr>
          <w:rFonts w:ascii="Montserrat Medium" w:eastAsia="Times New Roman" w:hAnsi="Montserrat Medium" w:cs="Tahoma"/>
          <w:color w:val="595959"/>
          <w:sz w:val="22"/>
          <w:lang w:eastAsia="en-US"/>
        </w:rPr>
        <w:t xml:space="preserve"> de 2025, pagos a los siguientes beneficiarios:</w:t>
      </w:r>
    </w:p>
    <w:p w14:paraId="4E74DC65" w14:textId="77777777" w:rsidR="0008498D" w:rsidRDefault="0008498D" w:rsidP="002F131C">
      <w:pPr>
        <w:jc w:val="both"/>
        <w:rPr>
          <w:rFonts w:ascii="Montserrat Medium" w:eastAsia="Times New Roman" w:hAnsi="Montserrat Medium" w:cs="Tahoma"/>
          <w:color w:val="595959"/>
          <w:sz w:val="22"/>
          <w:lang w:eastAsia="en-US"/>
        </w:rPr>
      </w:pPr>
    </w:p>
    <w:tbl>
      <w:tblPr>
        <w:tblW w:w="6790" w:type="dxa"/>
        <w:jc w:val="center"/>
        <w:tblInd w:w="-1662" w:type="dxa"/>
        <w:tblCellMar>
          <w:left w:w="70" w:type="dxa"/>
          <w:right w:w="70" w:type="dxa"/>
        </w:tblCellMar>
        <w:tblLook w:val="04A0" w:firstRow="1" w:lastRow="0" w:firstColumn="1" w:lastColumn="0" w:noHBand="0" w:noVBand="1"/>
      </w:tblPr>
      <w:tblGrid>
        <w:gridCol w:w="3672"/>
        <w:gridCol w:w="3118"/>
      </w:tblGrid>
      <w:tr w:rsidR="0008498D" w:rsidRPr="00153CD3" w14:paraId="103205DD" w14:textId="77777777" w:rsidTr="00153CD3">
        <w:trPr>
          <w:trHeight w:val="433"/>
          <w:jc w:val="center"/>
        </w:trPr>
        <w:tc>
          <w:tcPr>
            <w:tcW w:w="367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8F8F798" w14:textId="77777777" w:rsidR="0008498D" w:rsidRPr="00153CD3" w:rsidRDefault="0008498D" w:rsidP="002F131C">
            <w:pPr>
              <w:jc w:val="center"/>
              <w:rPr>
                <w:rFonts w:ascii="Montserrat Medium" w:eastAsia="Times New Roman" w:hAnsi="Montserrat Medium" w:cs="Arial"/>
                <w:b/>
                <w:bCs/>
                <w:color w:val="000000"/>
                <w:sz w:val="18"/>
                <w:szCs w:val="18"/>
                <w:lang w:eastAsia="es-MX"/>
              </w:rPr>
            </w:pPr>
            <w:r w:rsidRPr="00153CD3">
              <w:rPr>
                <w:rFonts w:ascii="Montserrat Medium" w:eastAsia="Times New Roman" w:hAnsi="Montserrat Medium" w:cs="Arial"/>
                <w:b/>
                <w:bCs/>
                <w:color w:val="000000"/>
                <w:sz w:val="18"/>
                <w:szCs w:val="18"/>
                <w:lang w:eastAsia="es-MX"/>
              </w:rPr>
              <w:t>NOMBRE DEL BENEFICIARIO</w:t>
            </w:r>
          </w:p>
        </w:tc>
        <w:tc>
          <w:tcPr>
            <w:tcW w:w="311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23F4475" w14:textId="77777777" w:rsidR="0008498D" w:rsidRPr="00153CD3" w:rsidRDefault="0008498D" w:rsidP="002F131C">
            <w:pPr>
              <w:jc w:val="center"/>
              <w:rPr>
                <w:rFonts w:ascii="Montserrat Medium" w:eastAsia="Times New Roman" w:hAnsi="Montserrat Medium" w:cs="Arial"/>
                <w:b/>
                <w:bCs/>
                <w:color w:val="000000"/>
                <w:sz w:val="18"/>
                <w:szCs w:val="18"/>
                <w:lang w:eastAsia="es-MX"/>
              </w:rPr>
            </w:pPr>
            <w:r w:rsidRPr="00153CD3">
              <w:rPr>
                <w:rFonts w:ascii="Montserrat Medium" w:eastAsia="Times New Roman" w:hAnsi="Montserrat Medium" w:cs="Arial"/>
                <w:b/>
                <w:bCs/>
                <w:color w:val="000000"/>
                <w:sz w:val="18"/>
                <w:szCs w:val="18"/>
                <w:lang w:eastAsia="es-MX"/>
              </w:rPr>
              <w:t>IMPORTE DISTRIBUIDO PAGADO AL BENEFICIARIO</w:t>
            </w:r>
          </w:p>
        </w:tc>
      </w:tr>
      <w:tr w:rsidR="000D32E4" w:rsidRPr="00153CD3" w14:paraId="7D8F7EB5" w14:textId="77777777" w:rsidTr="00153CD3">
        <w:trPr>
          <w:trHeight w:hRule="exact" w:val="309"/>
          <w:jc w:val="center"/>
        </w:trPr>
        <w:tc>
          <w:tcPr>
            <w:tcW w:w="3672" w:type="dxa"/>
            <w:tcBorders>
              <w:top w:val="single" w:sz="4" w:space="0" w:color="auto"/>
              <w:left w:val="single" w:sz="4" w:space="0" w:color="auto"/>
              <w:right w:val="single" w:sz="4" w:space="0" w:color="auto"/>
            </w:tcBorders>
            <w:shd w:val="clear" w:color="auto" w:fill="auto"/>
            <w:noWrap/>
            <w:vAlign w:val="center"/>
            <w:hideMark/>
          </w:tcPr>
          <w:p w14:paraId="6A179C17" w14:textId="77777777" w:rsidR="000D32E4" w:rsidRPr="00153CD3" w:rsidRDefault="000D32E4" w:rsidP="002F131C">
            <w:pPr>
              <w:rPr>
                <w:rFonts w:ascii="Montserrat Medium" w:hAnsi="Montserrat Medium" w:cs="Arial"/>
                <w:sz w:val="18"/>
                <w:szCs w:val="18"/>
              </w:rPr>
            </w:pPr>
            <w:r w:rsidRPr="00153CD3">
              <w:rPr>
                <w:rFonts w:ascii="Montserrat Medium" w:hAnsi="Montserrat Medium" w:cs="Arial"/>
                <w:sz w:val="18"/>
                <w:szCs w:val="18"/>
              </w:rPr>
              <w:t>Municipio de Othón P. Blanco</w:t>
            </w:r>
          </w:p>
        </w:tc>
        <w:tc>
          <w:tcPr>
            <w:tcW w:w="3118" w:type="dxa"/>
            <w:tcBorders>
              <w:top w:val="single" w:sz="4" w:space="0" w:color="auto"/>
              <w:left w:val="single" w:sz="4" w:space="0" w:color="auto"/>
              <w:right w:val="single" w:sz="4" w:space="0" w:color="auto"/>
            </w:tcBorders>
            <w:shd w:val="clear" w:color="auto" w:fill="auto"/>
            <w:noWrap/>
            <w:vAlign w:val="center"/>
            <w:hideMark/>
          </w:tcPr>
          <w:p w14:paraId="26CC1006" w14:textId="6CF69B05" w:rsidR="000D32E4" w:rsidRPr="000D32E4" w:rsidRDefault="000D32E4" w:rsidP="002F131C">
            <w:pPr>
              <w:jc w:val="right"/>
              <w:rPr>
                <w:rFonts w:ascii="Montserrat Medium" w:hAnsi="Montserrat Medium" w:cs="Arial"/>
                <w:sz w:val="18"/>
                <w:szCs w:val="18"/>
              </w:rPr>
            </w:pPr>
            <w:r w:rsidRPr="000D32E4">
              <w:rPr>
                <w:rFonts w:ascii="Montserrat Medium" w:eastAsia="Times New Roman" w:hAnsi="Montserrat Medium" w:cs="Arial"/>
                <w:color w:val="000000"/>
                <w:sz w:val="18"/>
                <w:szCs w:val="18"/>
                <w:lang w:eastAsia="es-MX"/>
              </w:rPr>
              <w:t>15,850,767.00</w:t>
            </w:r>
          </w:p>
        </w:tc>
      </w:tr>
      <w:tr w:rsidR="000D32E4" w:rsidRPr="00153CD3" w14:paraId="68C474BA" w14:textId="77777777" w:rsidTr="00153CD3">
        <w:trPr>
          <w:trHeight w:hRule="exact" w:val="300"/>
          <w:jc w:val="center"/>
        </w:trPr>
        <w:tc>
          <w:tcPr>
            <w:tcW w:w="3672" w:type="dxa"/>
            <w:tcBorders>
              <w:left w:val="single" w:sz="4" w:space="0" w:color="auto"/>
              <w:right w:val="single" w:sz="4" w:space="0" w:color="auto"/>
            </w:tcBorders>
            <w:shd w:val="clear" w:color="auto" w:fill="auto"/>
            <w:noWrap/>
            <w:vAlign w:val="center"/>
            <w:hideMark/>
          </w:tcPr>
          <w:p w14:paraId="04FCDF5E" w14:textId="77777777" w:rsidR="000D32E4" w:rsidRPr="00153CD3" w:rsidRDefault="000D32E4" w:rsidP="002F131C">
            <w:pPr>
              <w:rPr>
                <w:rFonts w:ascii="Montserrat Medium" w:hAnsi="Montserrat Medium" w:cs="Arial"/>
                <w:sz w:val="18"/>
                <w:szCs w:val="18"/>
              </w:rPr>
            </w:pPr>
            <w:r w:rsidRPr="00153CD3">
              <w:rPr>
                <w:rFonts w:ascii="Montserrat Medium" w:hAnsi="Montserrat Medium" w:cs="Arial"/>
                <w:sz w:val="18"/>
                <w:szCs w:val="18"/>
              </w:rPr>
              <w:t>Municipio de Benito Juárez</w:t>
            </w:r>
          </w:p>
        </w:tc>
        <w:tc>
          <w:tcPr>
            <w:tcW w:w="3118" w:type="dxa"/>
            <w:tcBorders>
              <w:left w:val="single" w:sz="4" w:space="0" w:color="auto"/>
              <w:right w:val="single" w:sz="4" w:space="0" w:color="auto"/>
            </w:tcBorders>
            <w:shd w:val="clear" w:color="auto" w:fill="auto"/>
            <w:noWrap/>
            <w:vAlign w:val="center"/>
            <w:hideMark/>
          </w:tcPr>
          <w:p w14:paraId="7411C521" w14:textId="396D8917" w:rsidR="000D32E4" w:rsidRPr="000D32E4" w:rsidRDefault="000D32E4" w:rsidP="002F131C">
            <w:pPr>
              <w:jc w:val="right"/>
              <w:rPr>
                <w:rFonts w:ascii="Montserrat Medium" w:hAnsi="Montserrat Medium" w:cs="Arial"/>
                <w:sz w:val="18"/>
                <w:szCs w:val="18"/>
              </w:rPr>
            </w:pPr>
            <w:r w:rsidRPr="000D32E4">
              <w:rPr>
                <w:rFonts w:ascii="Montserrat Medium" w:eastAsia="Times New Roman" w:hAnsi="Montserrat Medium" w:cs="Arial"/>
                <w:color w:val="000000"/>
                <w:sz w:val="18"/>
                <w:szCs w:val="18"/>
                <w:lang w:eastAsia="es-MX"/>
              </w:rPr>
              <w:t>114,208,778.00</w:t>
            </w:r>
          </w:p>
        </w:tc>
      </w:tr>
      <w:tr w:rsidR="000D32E4" w:rsidRPr="00153CD3" w14:paraId="35E97035" w14:textId="77777777" w:rsidTr="00153CD3">
        <w:trPr>
          <w:trHeight w:hRule="exact" w:val="300"/>
          <w:jc w:val="center"/>
        </w:trPr>
        <w:tc>
          <w:tcPr>
            <w:tcW w:w="3672" w:type="dxa"/>
            <w:tcBorders>
              <w:left w:val="single" w:sz="4" w:space="0" w:color="auto"/>
              <w:right w:val="single" w:sz="4" w:space="0" w:color="auto"/>
            </w:tcBorders>
            <w:shd w:val="clear" w:color="auto" w:fill="auto"/>
            <w:noWrap/>
            <w:vAlign w:val="center"/>
            <w:hideMark/>
          </w:tcPr>
          <w:p w14:paraId="53BEF995" w14:textId="77777777" w:rsidR="000D32E4" w:rsidRPr="00153CD3" w:rsidRDefault="000D32E4" w:rsidP="002F131C">
            <w:pPr>
              <w:rPr>
                <w:rFonts w:ascii="Montserrat Medium" w:hAnsi="Montserrat Medium" w:cs="Arial"/>
                <w:sz w:val="18"/>
                <w:szCs w:val="18"/>
              </w:rPr>
            </w:pPr>
            <w:r w:rsidRPr="00153CD3">
              <w:rPr>
                <w:rFonts w:ascii="Montserrat Medium" w:hAnsi="Montserrat Medium" w:cs="Arial"/>
                <w:sz w:val="18"/>
                <w:szCs w:val="18"/>
              </w:rPr>
              <w:t>Municipio de Cozumel</w:t>
            </w:r>
          </w:p>
        </w:tc>
        <w:tc>
          <w:tcPr>
            <w:tcW w:w="3118" w:type="dxa"/>
            <w:tcBorders>
              <w:left w:val="single" w:sz="4" w:space="0" w:color="auto"/>
              <w:right w:val="single" w:sz="4" w:space="0" w:color="auto"/>
            </w:tcBorders>
            <w:shd w:val="clear" w:color="auto" w:fill="auto"/>
            <w:noWrap/>
            <w:vAlign w:val="center"/>
            <w:hideMark/>
          </w:tcPr>
          <w:p w14:paraId="6079A630" w14:textId="03E9C552" w:rsidR="000D32E4" w:rsidRPr="000D32E4" w:rsidRDefault="000D32E4" w:rsidP="002F131C">
            <w:pPr>
              <w:jc w:val="right"/>
              <w:rPr>
                <w:rFonts w:ascii="Montserrat Medium" w:hAnsi="Montserrat Medium" w:cs="Arial"/>
                <w:sz w:val="18"/>
                <w:szCs w:val="18"/>
              </w:rPr>
            </w:pPr>
            <w:r w:rsidRPr="000D32E4">
              <w:rPr>
                <w:rFonts w:ascii="Montserrat Medium" w:eastAsia="Times New Roman" w:hAnsi="Montserrat Medium" w:cs="Arial"/>
                <w:color w:val="000000"/>
                <w:sz w:val="18"/>
                <w:szCs w:val="18"/>
                <w:lang w:eastAsia="es-MX"/>
              </w:rPr>
              <w:t>13,880,692.00</w:t>
            </w:r>
          </w:p>
        </w:tc>
      </w:tr>
      <w:tr w:rsidR="000D32E4" w:rsidRPr="00153CD3" w14:paraId="0C385009" w14:textId="77777777" w:rsidTr="00153CD3">
        <w:trPr>
          <w:trHeight w:hRule="exact" w:val="300"/>
          <w:jc w:val="center"/>
        </w:trPr>
        <w:tc>
          <w:tcPr>
            <w:tcW w:w="3672" w:type="dxa"/>
            <w:tcBorders>
              <w:left w:val="single" w:sz="4" w:space="0" w:color="auto"/>
              <w:right w:val="single" w:sz="4" w:space="0" w:color="auto"/>
            </w:tcBorders>
            <w:shd w:val="clear" w:color="auto" w:fill="auto"/>
            <w:noWrap/>
            <w:vAlign w:val="center"/>
            <w:hideMark/>
          </w:tcPr>
          <w:p w14:paraId="578262E4" w14:textId="77777777" w:rsidR="000D32E4" w:rsidRPr="00153CD3" w:rsidRDefault="000D32E4" w:rsidP="002F131C">
            <w:pPr>
              <w:rPr>
                <w:rFonts w:ascii="Montserrat Medium" w:hAnsi="Montserrat Medium" w:cs="Arial"/>
                <w:sz w:val="18"/>
                <w:szCs w:val="18"/>
              </w:rPr>
            </w:pPr>
            <w:r w:rsidRPr="00153CD3">
              <w:rPr>
                <w:rFonts w:ascii="Montserrat Medium" w:hAnsi="Montserrat Medium" w:cs="Arial"/>
                <w:sz w:val="18"/>
                <w:szCs w:val="18"/>
              </w:rPr>
              <w:t>Municipio de Isla Mujeres</w:t>
            </w:r>
          </w:p>
        </w:tc>
        <w:tc>
          <w:tcPr>
            <w:tcW w:w="3118" w:type="dxa"/>
            <w:tcBorders>
              <w:left w:val="single" w:sz="4" w:space="0" w:color="auto"/>
              <w:right w:val="single" w:sz="4" w:space="0" w:color="auto"/>
            </w:tcBorders>
            <w:shd w:val="clear" w:color="auto" w:fill="auto"/>
            <w:noWrap/>
            <w:vAlign w:val="center"/>
            <w:hideMark/>
          </w:tcPr>
          <w:p w14:paraId="4018A32A" w14:textId="4A79921C" w:rsidR="000D32E4" w:rsidRPr="000D32E4" w:rsidRDefault="000D32E4" w:rsidP="002F131C">
            <w:pPr>
              <w:jc w:val="right"/>
              <w:rPr>
                <w:rFonts w:ascii="Montserrat Medium" w:hAnsi="Montserrat Medium" w:cs="Arial"/>
                <w:sz w:val="18"/>
                <w:szCs w:val="18"/>
              </w:rPr>
            </w:pPr>
            <w:r w:rsidRPr="000D32E4">
              <w:rPr>
                <w:rFonts w:ascii="Montserrat Medium" w:eastAsia="Times New Roman" w:hAnsi="Montserrat Medium" w:cs="Arial"/>
                <w:color w:val="000000"/>
                <w:sz w:val="18"/>
                <w:szCs w:val="18"/>
                <w:lang w:eastAsia="es-MX"/>
              </w:rPr>
              <w:t>42,311,745.00</w:t>
            </w:r>
          </w:p>
        </w:tc>
      </w:tr>
      <w:tr w:rsidR="000D32E4" w:rsidRPr="00153CD3" w14:paraId="1CD71F72" w14:textId="77777777" w:rsidTr="00153CD3">
        <w:trPr>
          <w:trHeight w:hRule="exact" w:val="300"/>
          <w:jc w:val="center"/>
        </w:trPr>
        <w:tc>
          <w:tcPr>
            <w:tcW w:w="3672" w:type="dxa"/>
            <w:tcBorders>
              <w:left w:val="single" w:sz="4" w:space="0" w:color="auto"/>
              <w:right w:val="single" w:sz="4" w:space="0" w:color="auto"/>
            </w:tcBorders>
            <w:shd w:val="clear" w:color="auto" w:fill="auto"/>
            <w:noWrap/>
            <w:vAlign w:val="center"/>
            <w:hideMark/>
          </w:tcPr>
          <w:p w14:paraId="67633193" w14:textId="77777777" w:rsidR="000D32E4" w:rsidRPr="00153CD3" w:rsidRDefault="000D32E4" w:rsidP="002F131C">
            <w:pPr>
              <w:rPr>
                <w:rFonts w:ascii="Montserrat Medium" w:hAnsi="Montserrat Medium" w:cs="Arial"/>
                <w:sz w:val="18"/>
                <w:szCs w:val="18"/>
              </w:rPr>
            </w:pPr>
            <w:r w:rsidRPr="00153CD3">
              <w:rPr>
                <w:rFonts w:ascii="Montserrat Medium" w:hAnsi="Montserrat Medium" w:cs="Arial"/>
                <w:sz w:val="18"/>
                <w:szCs w:val="18"/>
              </w:rPr>
              <w:t>Municipio de Felipe Carrillo Puerto</w:t>
            </w:r>
          </w:p>
        </w:tc>
        <w:tc>
          <w:tcPr>
            <w:tcW w:w="3118" w:type="dxa"/>
            <w:tcBorders>
              <w:left w:val="single" w:sz="4" w:space="0" w:color="auto"/>
              <w:right w:val="single" w:sz="4" w:space="0" w:color="auto"/>
            </w:tcBorders>
            <w:shd w:val="clear" w:color="auto" w:fill="auto"/>
            <w:noWrap/>
            <w:vAlign w:val="center"/>
            <w:hideMark/>
          </w:tcPr>
          <w:p w14:paraId="6371B91B" w14:textId="225DCA94" w:rsidR="000D32E4" w:rsidRPr="000D32E4" w:rsidRDefault="000D32E4" w:rsidP="002F131C">
            <w:pPr>
              <w:jc w:val="right"/>
              <w:rPr>
                <w:rFonts w:ascii="Montserrat Medium" w:hAnsi="Montserrat Medium" w:cs="Arial"/>
                <w:sz w:val="18"/>
                <w:szCs w:val="18"/>
              </w:rPr>
            </w:pPr>
            <w:r w:rsidRPr="000D32E4">
              <w:rPr>
                <w:rFonts w:ascii="Montserrat Medium" w:eastAsia="Times New Roman" w:hAnsi="Montserrat Medium" w:cs="Arial"/>
                <w:color w:val="000000"/>
                <w:sz w:val="18"/>
                <w:szCs w:val="18"/>
                <w:lang w:eastAsia="es-MX"/>
              </w:rPr>
              <w:t>24,399,568.00</w:t>
            </w:r>
          </w:p>
        </w:tc>
      </w:tr>
      <w:tr w:rsidR="000D32E4" w:rsidRPr="00153CD3" w14:paraId="05187DD3" w14:textId="77777777" w:rsidTr="00153CD3">
        <w:trPr>
          <w:trHeight w:hRule="exact" w:val="300"/>
          <w:jc w:val="center"/>
        </w:trPr>
        <w:tc>
          <w:tcPr>
            <w:tcW w:w="3672" w:type="dxa"/>
            <w:tcBorders>
              <w:left w:val="single" w:sz="4" w:space="0" w:color="auto"/>
              <w:right w:val="single" w:sz="4" w:space="0" w:color="auto"/>
            </w:tcBorders>
            <w:shd w:val="clear" w:color="auto" w:fill="auto"/>
            <w:noWrap/>
            <w:vAlign w:val="center"/>
            <w:hideMark/>
          </w:tcPr>
          <w:p w14:paraId="03DE1BB4" w14:textId="77777777" w:rsidR="000D32E4" w:rsidRPr="00153CD3" w:rsidRDefault="000D32E4" w:rsidP="002F131C">
            <w:pPr>
              <w:rPr>
                <w:rFonts w:ascii="Montserrat Medium" w:hAnsi="Montserrat Medium" w:cs="Arial"/>
                <w:sz w:val="18"/>
                <w:szCs w:val="18"/>
              </w:rPr>
            </w:pPr>
            <w:r w:rsidRPr="00153CD3">
              <w:rPr>
                <w:rFonts w:ascii="Montserrat Medium" w:hAnsi="Montserrat Medium" w:cs="Arial"/>
                <w:sz w:val="18"/>
                <w:szCs w:val="18"/>
              </w:rPr>
              <w:t>Municipio de José María Morelos</w:t>
            </w:r>
          </w:p>
        </w:tc>
        <w:tc>
          <w:tcPr>
            <w:tcW w:w="3118" w:type="dxa"/>
            <w:tcBorders>
              <w:left w:val="single" w:sz="4" w:space="0" w:color="auto"/>
              <w:right w:val="single" w:sz="4" w:space="0" w:color="auto"/>
            </w:tcBorders>
            <w:shd w:val="clear" w:color="auto" w:fill="auto"/>
            <w:noWrap/>
            <w:vAlign w:val="center"/>
            <w:hideMark/>
          </w:tcPr>
          <w:p w14:paraId="7AD98035" w14:textId="191A9794" w:rsidR="000D32E4" w:rsidRPr="000D32E4" w:rsidRDefault="000D32E4" w:rsidP="002F131C">
            <w:pPr>
              <w:jc w:val="right"/>
              <w:rPr>
                <w:rFonts w:ascii="Montserrat Medium" w:hAnsi="Montserrat Medium" w:cs="Arial"/>
                <w:sz w:val="18"/>
                <w:szCs w:val="18"/>
              </w:rPr>
            </w:pPr>
            <w:r w:rsidRPr="000D32E4">
              <w:rPr>
                <w:rFonts w:ascii="Montserrat Medium" w:eastAsia="Times New Roman" w:hAnsi="Montserrat Medium" w:cs="Arial"/>
                <w:color w:val="000000"/>
                <w:sz w:val="18"/>
                <w:szCs w:val="18"/>
                <w:lang w:eastAsia="es-MX"/>
              </w:rPr>
              <w:t>9,804,361.00</w:t>
            </w:r>
          </w:p>
        </w:tc>
      </w:tr>
      <w:tr w:rsidR="000D32E4" w:rsidRPr="00153CD3" w14:paraId="27E98C58" w14:textId="77777777" w:rsidTr="00153CD3">
        <w:trPr>
          <w:trHeight w:hRule="exact" w:val="300"/>
          <w:jc w:val="center"/>
        </w:trPr>
        <w:tc>
          <w:tcPr>
            <w:tcW w:w="3672" w:type="dxa"/>
            <w:tcBorders>
              <w:left w:val="single" w:sz="4" w:space="0" w:color="auto"/>
              <w:right w:val="single" w:sz="4" w:space="0" w:color="auto"/>
            </w:tcBorders>
            <w:shd w:val="clear" w:color="auto" w:fill="auto"/>
            <w:noWrap/>
            <w:vAlign w:val="center"/>
            <w:hideMark/>
          </w:tcPr>
          <w:p w14:paraId="179FB1D7" w14:textId="77777777" w:rsidR="000D32E4" w:rsidRPr="00153CD3" w:rsidRDefault="000D32E4" w:rsidP="002F131C">
            <w:pPr>
              <w:rPr>
                <w:rFonts w:ascii="Montserrat Medium" w:hAnsi="Montserrat Medium" w:cs="Arial"/>
                <w:sz w:val="18"/>
                <w:szCs w:val="18"/>
              </w:rPr>
            </w:pPr>
            <w:r w:rsidRPr="00153CD3">
              <w:rPr>
                <w:rFonts w:ascii="Montserrat Medium" w:hAnsi="Montserrat Medium" w:cs="Arial"/>
                <w:sz w:val="18"/>
                <w:szCs w:val="18"/>
              </w:rPr>
              <w:t>Municipio de Lázaro Cárdenas</w:t>
            </w:r>
          </w:p>
        </w:tc>
        <w:tc>
          <w:tcPr>
            <w:tcW w:w="3118" w:type="dxa"/>
            <w:tcBorders>
              <w:left w:val="single" w:sz="4" w:space="0" w:color="auto"/>
              <w:right w:val="single" w:sz="4" w:space="0" w:color="auto"/>
            </w:tcBorders>
            <w:shd w:val="clear" w:color="auto" w:fill="auto"/>
            <w:noWrap/>
            <w:vAlign w:val="center"/>
            <w:hideMark/>
          </w:tcPr>
          <w:p w14:paraId="647642B2" w14:textId="2732804B" w:rsidR="000D32E4" w:rsidRPr="000D32E4" w:rsidRDefault="000D32E4" w:rsidP="002F131C">
            <w:pPr>
              <w:jc w:val="right"/>
              <w:rPr>
                <w:rFonts w:ascii="Montserrat Medium" w:hAnsi="Montserrat Medium" w:cs="Arial"/>
                <w:sz w:val="18"/>
                <w:szCs w:val="18"/>
              </w:rPr>
            </w:pPr>
            <w:r w:rsidRPr="000D32E4">
              <w:rPr>
                <w:rFonts w:ascii="Montserrat Medium" w:eastAsia="Times New Roman" w:hAnsi="Montserrat Medium" w:cs="Arial"/>
                <w:color w:val="000000"/>
                <w:sz w:val="18"/>
                <w:szCs w:val="18"/>
                <w:lang w:eastAsia="es-MX"/>
              </w:rPr>
              <w:t>924,833.00</w:t>
            </w:r>
          </w:p>
        </w:tc>
      </w:tr>
      <w:tr w:rsidR="000D32E4" w:rsidRPr="00153CD3" w14:paraId="098E0629" w14:textId="77777777" w:rsidTr="00153CD3">
        <w:trPr>
          <w:trHeight w:hRule="exact" w:val="300"/>
          <w:jc w:val="center"/>
        </w:trPr>
        <w:tc>
          <w:tcPr>
            <w:tcW w:w="3672" w:type="dxa"/>
            <w:tcBorders>
              <w:left w:val="single" w:sz="4" w:space="0" w:color="auto"/>
              <w:right w:val="single" w:sz="4" w:space="0" w:color="auto"/>
            </w:tcBorders>
            <w:shd w:val="clear" w:color="auto" w:fill="auto"/>
            <w:noWrap/>
            <w:vAlign w:val="center"/>
            <w:hideMark/>
          </w:tcPr>
          <w:p w14:paraId="45B9D21A" w14:textId="77777777" w:rsidR="000D32E4" w:rsidRPr="00153CD3" w:rsidRDefault="000D32E4" w:rsidP="002F131C">
            <w:pPr>
              <w:rPr>
                <w:rFonts w:ascii="Montserrat Medium" w:hAnsi="Montserrat Medium" w:cs="Arial"/>
                <w:sz w:val="18"/>
                <w:szCs w:val="18"/>
              </w:rPr>
            </w:pPr>
            <w:r w:rsidRPr="00153CD3">
              <w:rPr>
                <w:rFonts w:ascii="Montserrat Medium" w:hAnsi="Montserrat Medium" w:cs="Arial"/>
                <w:sz w:val="18"/>
                <w:szCs w:val="18"/>
              </w:rPr>
              <w:t>Municipio de Solidaridad</w:t>
            </w:r>
          </w:p>
        </w:tc>
        <w:tc>
          <w:tcPr>
            <w:tcW w:w="3118" w:type="dxa"/>
            <w:tcBorders>
              <w:left w:val="single" w:sz="4" w:space="0" w:color="auto"/>
              <w:right w:val="single" w:sz="4" w:space="0" w:color="auto"/>
            </w:tcBorders>
            <w:shd w:val="clear" w:color="auto" w:fill="auto"/>
            <w:noWrap/>
            <w:vAlign w:val="center"/>
            <w:hideMark/>
          </w:tcPr>
          <w:p w14:paraId="04BE09E3" w14:textId="101435B6" w:rsidR="000D32E4" w:rsidRPr="000D32E4" w:rsidRDefault="000D32E4" w:rsidP="002F131C">
            <w:pPr>
              <w:jc w:val="right"/>
              <w:rPr>
                <w:rFonts w:ascii="Montserrat Medium" w:hAnsi="Montserrat Medium" w:cs="Arial"/>
                <w:sz w:val="18"/>
                <w:szCs w:val="18"/>
              </w:rPr>
            </w:pPr>
            <w:r w:rsidRPr="000D32E4">
              <w:rPr>
                <w:rFonts w:ascii="Montserrat Medium" w:eastAsia="Times New Roman" w:hAnsi="Montserrat Medium" w:cs="Arial"/>
                <w:color w:val="000000"/>
                <w:sz w:val="18"/>
                <w:szCs w:val="18"/>
                <w:lang w:eastAsia="es-MX"/>
              </w:rPr>
              <w:t>46,225,137.00</w:t>
            </w:r>
          </w:p>
        </w:tc>
      </w:tr>
      <w:tr w:rsidR="000D32E4" w:rsidRPr="00153CD3" w14:paraId="20A47D08" w14:textId="77777777" w:rsidTr="00153CD3">
        <w:trPr>
          <w:trHeight w:hRule="exact" w:val="418"/>
          <w:jc w:val="center"/>
        </w:trPr>
        <w:tc>
          <w:tcPr>
            <w:tcW w:w="3672" w:type="dxa"/>
            <w:tcBorders>
              <w:left w:val="single" w:sz="4" w:space="0" w:color="auto"/>
              <w:right w:val="single" w:sz="4" w:space="0" w:color="auto"/>
            </w:tcBorders>
            <w:shd w:val="clear" w:color="auto" w:fill="auto"/>
            <w:noWrap/>
            <w:vAlign w:val="center"/>
            <w:hideMark/>
          </w:tcPr>
          <w:p w14:paraId="288F0B51" w14:textId="77777777" w:rsidR="000D32E4" w:rsidRPr="00153CD3" w:rsidRDefault="000D32E4" w:rsidP="002F131C">
            <w:pPr>
              <w:rPr>
                <w:rFonts w:ascii="Montserrat Medium" w:hAnsi="Montserrat Medium" w:cs="Arial"/>
                <w:sz w:val="18"/>
                <w:szCs w:val="18"/>
              </w:rPr>
            </w:pPr>
            <w:r w:rsidRPr="00153CD3">
              <w:rPr>
                <w:rFonts w:ascii="Montserrat Medium" w:hAnsi="Montserrat Medium" w:cs="Arial"/>
                <w:sz w:val="18"/>
                <w:szCs w:val="18"/>
              </w:rPr>
              <w:t>Municipio de Tulum</w:t>
            </w:r>
          </w:p>
        </w:tc>
        <w:tc>
          <w:tcPr>
            <w:tcW w:w="3118" w:type="dxa"/>
            <w:tcBorders>
              <w:left w:val="single" w:sz="4" w:space="0" w:color="auto"/>
              <w:right w:val="single" w:sz="4" w:space="0" w:color="auto"/>
            </w:tcBorders>
            <w:shd w:val="clear" w:color="auto" w:fill="auto"/>
            <w:noWrap/>
            <w:vAlign w:val="center"/>
            <w:hideMark/>
          </w:tcPr>
          <w:p w14:paraId="7F740303" w14:textId="7BD77F52" w:rsidR="000D32E4" w:rsidRPr="000D32E4" w:rsidRDefault="000D32E4" w:rsidP="002F131C">
            <w:pPr>
              <w:jc w:val="right"/>
              <w:rPr>
                <w:rFonts w:ascii="Montserrat Medium" w:hAnsi="Montserrat Medium" w:cs="Arial"/>
                <w:sz w:val="18"/>
                <w:szCs w:val="18"/>
              </w:rPr>
            </w:pPr>
            <w:r w:rsidRPr="000D32E4">
              <w:rPr>
                <w:rFonts w:ascii="Montserrat Medium" w:eastAsia="Times New Roman" w:hAnsi="Montserrat Medium" w:cs="Arial"/>
                <w:color w:val="000000"/>
                <w:sz w:val="18"/>
                <w:szCs w:val="18"/>
                <w:lang w:eastAsia="es-MX"/>
              </w:rPr>
              <w:t>20,038,798.00</w:t>
            </w:r>
          </w:p>
        </w:tc>
      </w:tr>
      <w:tr w:rsidR="000D32E4" w:rsidRPr="00153CD3" w14:paraId="1A08E6F6" w14:textId="77777777" w:rsidTr="00153CD3">
        <w:trPr>
          <w:trHeight w:val="300"/>
          <w:jc w:val="center"/>
        </w:trPr>
        <w:tc>
          <w:tcPr>
            <w:tcW w:w="3672" w:type="dxa"/>
            <w:tcBorders>
              <w:left w:val="single" w:sz="4" w:space="0" w:color="auto"/>
              <w:right w:val="single" w:sz="4" w:space="0" w:color="auto"/>
            </w:tcBorders>
            <w:shd w:val="clear" w:color="auto" w:fill="auto"/>
            <w:noWrap/>
            <w:vAlign w:val="center"/>
            <w:hideMark/>
          </w:tcPr>
          <w:p w14:paraId="615D67F5" w14:textId="77777777" w:rsidR="000D32E4" w:rsidRPr="00153CD3" w:rsidRDefault="000D32E4" w:rsidP="002F131C">
            <w:pPr>
              <w:rPr>
                <w:rFonts w:ascii="Montserrat Medium" w:hAnsi="Montserrat Medium" w:cs="Arial"/>
                <w:sz w:val="18"/>
                <w:szCs w:val="18"/>
              </w:rPr>
            </w:pPr>
            <w:r w:rsidRPr="00153CD3">
              <w:rPr>
                <w:rFonts w:ascii="Montserrat Medium" w:hAnsi="Montserrat Medium" w:cs="Arial"/>
                <w:sz w:val="18"/>
                <w:szCs w:val="18"/>
              </w:rPr>
              <w:t>Municipio de Bacalar</w:t>
            </w:r>
          </w:p>
        </w:tc>
        <w:tc>
          <w:tcPr>
            <w:tcW w:w="3118" w:type="dxa"/>
            <w:tcBorders>
              <w:left w:val="single" w:sz="4" w:space="0" w:color="auto"/>
              <w:right w:val="single" w:sz="4" w:space="0" w:color="auto"/>
            </w:tcBorders>
            <w:shd w:val="clear" w:color="auto" w:fill="auto"/>
            <w:noWrap/>
            <w:vAlign w:val="center"/>
            <w:hideMark/>
          </w:tcPr>
          <w:p w14:paraId="576A09DA" w14:textId="49F4A09B" w:rsidR="000D32E4" w:rsidRPr="000D32E4" w:rsidRDefault="000D32E4" w:rsidP="002F131C">
            <w:pPr>
              <w:jc w:val="right"/>
              <w:rPr>
                <w:rFonts w:ascii="Montserrat Medium" w:hAnsi="Montserrat Medium" w:cs="Arial"/>
                <w:sz w:val="18"/>
                <w:szCs w:val="18"/>
              </w:rPr>
            </w:pPr>
            <w:r w:rsidRPr="000D32E4">
              <w:rPr>
                <w:rFonts w:ascii="Montserrat Medium" w:eastAsia="Times New Roman" w:hAnsi="Montserrat Medium" w:cs="Arial"/>
                <w:color w:val="000000"/>
                <w:sz w:val="18"/>
                <w:szCs w:val="18"/>
                <w:lang w:eastAsia="es-MX"/>
              </w:rPr>
              <w:t>3,530,590.00</w:t>
            </w:r>
          </w:p>
        </w:tc>
      </w:tr>
      <w:tr w:rsidR="000D32E4" w:rsidRPr="00153CD3" w14:paraId="20AC240C" w14:textId="77777777" w:rsidTr="00153CD3">
        <w:trPr>
          <w:trHeight w:hRule="exact" w:val="315"/>
          <w:jc w:val="center"/>
        </w:trPr>
        <w:tc>
          <w:tcPr>
            <w:tcW w:w="3672" w:type="dxa"/>
            <w:tcBorders>
              <w:left w:val="single" w:sz="4" w:space="0" w:color="auto"/>
              <w:right w:val="single" w:sz="4" w:space="0" w:color="auto"/>
            </w:tcBorders>
            <w:shd w:val="clear" w:color="auto" w:fill="auto"/>
            <w:noWrap/>
            <w:vAlign w:val="center"/>
            <w:hideMark/>
          </w:tcPr>
          <w:p w14:paraId="62911B05" w14:textId="77777777" w:rsidR="000D32E4" w:rsidRPr="00153CD3" w:rsidRDefault="000D32E4" w:rsidP="002F131C">
            <w:pPr>
              <w:rPr>
                <w:rFonts w:ascii="Montserrat Medium" w:hAnsi="Montserrat Medium" w:cs="Arial"/>
                <w:sz w:val="18"/>
                <w:szCs w:val="18"/>
              </w:rPr>
            </w:pPr>
            <w:r w:rsidRPr="00153CD3">
              <w:rPr>
                <w:rFonts w:ascii="Montserrat Medium" w:hAnsi="Montserrat Medium" w:cs="Arial"/>
                <w:sz w:val="18"/>
                <w:szCs w:val="18"/>
              </w:rPr>
              <w:t>Municipio de Puerto Morelos</w:t>
            </w:r>
          </w:p>
        </w:tc>
        <w:tc>
          <w:tcPr>
            <w:tcW w:w="3118" w:type="dxa"/>
            <w:tcBorders>
              <w:left w:val="single" w:sz="4" w:space="0" w:color="auto"/>
              <w:right w:val="single" w:sz="4" w:space="0" w:color="auto"/>
            </w:tcBorders>
            <w:shd w:val="clear" w:color="auto" w:fill="auto"/>
            <w:noWrap/>
            <w:vAlign w:val="center"/>
            <w:hideMark/>
          </w:tcPr>
          <w:p w14:paraId="73C67CBC" w14:textId="5F2BF265" w:rsidR="000D32E4" w:rsidRPr="000D32E4" w:rsidRDefault="000D32E4" w:rsidP="002F131C">
            <w:pPr>
              <w:jc w:val="right"/>
              <w:rPr>
                <w:rFonts w:ascii="Montserrat Medium" w:hAnsi="Montserrat Medium" w:cs="Arial"/>
                <w:sz w:val="18"/>
                <w:szCs w:val="18"/>
              </w:rPr>
            </w:pPr>
            <w:r w:rsidRPr="000D32E4">
              <w:rPr>
                <w:rFonts w:ascii="Montserrat Medium" w:eastAsia="Times New Roman" w:hAnsi="Montserrat Medium" w:cs="Arial"/>
                <w:color w:val="000000"/>
                <w:sz w:val="18"/>
                <w:szCs w:val="18"/>
                <w:lang w:eastAsia="es-MX"/>
              </w:rPr>
              <w:t>21,514,063.00</w:t>
            </w:r>
          </w:p>
        </w:tc>
      </w:tr>
      <w:tr w:rsidR="000D32E4" w:rsidRPr="00153CD3" w14:paraId="6F59A286" w14:textId="77777777" w:rsidTr="00153CD3">
        <w:trPr>
          <w:trHeight w:hRule="exact" w:val="515"/>
          <w:jc w:val="center"/>
        </w:trPr>
        <w:tc>
          <w:tcPr>
            <w:tcW w:w="3672" w:type="dxa"/>
            <w:tcBorders>
              <w:left w:val="single" w:sz="4" w:space="0" w:color="auto"/>
              <w:bottom w:val="single" w:sz="4" w:space="0" w:color="auto"/>
              <w:right w:val="single" w:sz="4" w:space="0" w:color="auto"/>
            </w:tcBorders>
            <w:shd w:val="clear" w:color="auto" w:fill="auto"/>
            <w:noWrap/>
            <w:vAlign w:val="center"/>
          </w:tcPr>
          <w:p w14:paraId="06EF9BA2" w14:textId="77777777" w:rsidR="000D32E4" w:rsidRPr="00153CD3" w:rsidRDefault="000D32E4" w:rsidP="002F131C">
            <w:pPr>
              <w:rPr>
                <w:rFonts w:ascii="Montserrat Medium" w:hAnsi="Montserrat Medium" w:cs="Arial"/>
                <w:sz w:val="18"/>
                <w:szCs w:val="18"/>
              </w:rPr>
            </w:pPr>
            <w:r w:rsidRPr="00153CD3">
              <w:rPr>
                <w:rFonts w:ascii="Montserrat Medium" w:hAnsi="Montserrat Medium" w:cs="Arial"/>
                <w:sz w:val="18"/>
                <w:szCs w:val="18"/>
              </w:rPr>
              <w:t>Gobierno del Estado Libre y Soberano de Quintana Roo</w:t>
            </w:r>
          </w:p>
        </w:tc>
        <w:tc>
          <w:tcPr>
            <w:tcW w:w="3118" w:type="dxa"/>
            <w:tcBorders>
              <w:left w:val="single" w:sz="4" w:space="0" w:color="auto"/>
              <w:bottom w:val="single" w:sz="4" w:space="0" w:color="auto"/>
              <w:right w:val="single" w:sz="4" w:space="0" w:color="auto"/>
            </w:tcBorders>
            <w:shd w:val="clear" w:color="auto" w:fill="auto"/>
            <w:noWrap/>
            <w:vAlign w:val="center"/>
          </w:tcPr>
          <w:p w14:paraId="31323CF7" w14:textId="579F0164" w:rsidR="000D32E4" w:rsidRPr="000D32E4" w:rsidRDefault="000D32E4" w:rsidP="002F131C">
            <w:pPr>
              <w:jc w:val="right"/>
              <w:rPr>
                <w:rFonts w:ascii="Montserrat Medium" w:hAnsi="Montserrat Medium" w:cs="Arial"/>
                <w:sz w:val="18"/>
                <w:szCs w:val="18"/>
              </w:rPr>
            </w:pPr>
            <w:r w:rsidRPr="000D32E4">
              <w:rPr>
                <w:rFonts w:ascii="Montserrat Medium" w:eastAsia="Times New Roman" w:hAnsi="Montserrat Medium" w:cs="Arial"/>
                <w:color w:val="000000"/>
                <w:sz w:val="18"/>
                <w:szCs w:val="18"/>
                <w:lang w:eastAsia="es-MX"/>
              </w:rPr>
              <w:t>726,985,460.00</w:t>
            </w:r>
          </w:p>
        </w:tc>
      </w:tr>
      <w:tr w:rsidR="0008498D" w:rsidRPr="00153CD3" w14:paraId="74B82864" w14:textId="77777777" w:rsidTr="00153CD3">
        <w:trPr>
          <w:trHeight w:hRule="exact" w:val="352"/>
          <w:jc w:val="center"/>
        </w:trPr>
        <w:tc>
          <w:tcPr>
            <w:tcW w:w="367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CBCE3DE" w14:textId="77777777" w:rsidR="0008498D" w:rsidRPr="00153CD3" w:rsidRDefault="0008498D" w:rsidP="002F131C">
            <w:pPr>
              <w:jc w:val="center"/>
              <w:rPr>
                <w:rFonts w:ascii="Montserrat Medium" w:hAnsi="Montserrat Medium" w:cs="Arial"/>
                <w:b/>
                <w:bCs/>
                <w:color w:val="000000"/>
                <w:sz w:val="18"/>
                <w:szCs w:val="18"/>
              </w:rPr>
            </w:pPr>
            <w:r w:rsidRPr="00153CD3">
              <w:rPr>
                <w:rFonts w:ascii="Montserrat Medium" w:hAnsi="Montserrat Medium" w:cs="Arial"/>
                <w:b/>
                <w:bCs/>
                <w:color w:val="000000"/>
                <w:sz w:val="18"/>
                <w:szCs w:val="18"/>
              </w:rPr>
              <w:t>TOTAL</w:t>
            </w:r>
          </w:p>
        </w:tc>
        <w:tc>
          <w:tcPr>
            <w:tcW w:w="311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57E98C9" w14:textId="14FE48CA" w:rsidR="0008498D" w:rsidRPr="00153CD3" w:rsidRDefault="000D32E4" w:rsidP="002F131C">
            <w:pPr>
              <w:jc w:val="right"/>
              <w:rPr>
                <w:rFonts w:ascii="Montserrat Medium" w:hAnsi="Montserrat Medium" w:cs="Arial"/>
                <w:b/>
                <w:sz w:val="18"/>
                <w:szCs w:val="18"/>
              </w:rPr>
            </w:pPr>
            <w:r>
              <w:rPr>
                <w:rFonts w:ascii="Montserrat Medium" w:hAnsi="Montserrat Medium" w:cs="Arial"/>
                <w:b/>
                <w:sz w:val="18"/>
                <w:szCs w:val="18"/>
              </w:rPr>
              <w:t>1,039,674,792</w:t>
            </w:r>
          </w:p>
        </w:tc>
      </w:tr>
    </w:tbl>
    <w:p w14:paraId="48391AFE" w14:textId="77777777" w:rsidR="002C181B" w:rsidRDefault="002C181B" w:rsidP="002F131C">
      <w:pPr>
        <w:autoSpaceDE w:val="0"/>
        <w:autoSpaceDN w:val="0"/>
        <w:adjustRightInd w:val="0"/>
        <w:jc w:val="both"/>
        <w:rPr>
          <w:rFonts w:ascii="Montserrat Medium" w:eastAsia="Times New Roman" w:hAnsi="Montserrat Medium" w:cs="Tahoma"/>
          <w:color w:val="595959"/>
          <w:sz w:val="22"/>
          <w:lang w:eastAsia="en-US"/>
        </w:rPr>
      </w:pPr>
    </w:p>
    <w:p w14:paraId="113C7140" w14:textId="77777777" w:rsidR="00D51385" w:rsidRPr="00D56579" w:rsidRDefault="00D51385" w:rsidP="002F131C">
      <w:pPr>
        <w:autoSpaceDE w:val="0"/>
        <w:autoSpaceDN w:val="0"/>
        <w:adjustRightInd w:val="0"/>
        <w:jc w:val="both"/>
        <w:rPr>
          <w:rFonts w:ascii="Montserrat Medium" w:eastAsia="Times New Roman" w:hAnsi="Montserrat Medium" w:cs="Tahoma"/>
          <w:color w:val="595959"/>
          <w:sz w:val="22"/>
          <w:lang w:eastAsia="en-US"/>
        </w:rPr>
      </w:pPr>
    </w:p>
    <w:p w14:paraId="723D2DD5" w14:textId="497D259A" w:rsidR="008257FE" w:rsidRPr="00D56579" w:rsidRDefault="003F0DC7" w:rsidP="002F131C">
      <w:pPr>
        <w:rPr>
          <w:rFonts w:ascii="Montserrat Medium" w:eastAsia="Times New Roman" w:hAnsi="Montserrat Medium" w:cs="Arial"/>
          <w:b/>
          <w:i/>
          <w:color w:val="595959"/>
          <w:sz w:val="22"/>
          <w:szCs w:val="22"/>
          <w:lang w:eastAsia="en-US"/>
        </w:rPr>
      </w:pPr>
      <w:r w:rsidRPr="00D56579">
        <w:rPr>
          <w:rFonts w:ascii="Montserrat Medium" w:eastAsia="Times New Roman" w:hAnsi="Montserrat Medium" w:cs="Arial"/>
          <w:b/>
          <w:i/>
          <w:color w:val="595959"/>
          <w:sz w:val="22"/>
          <w:szCs w:val="22"/>
          <w:lang w:eastAsia="en-US"/>
        </w:rPr>
        <w:lastRenderedPageBreak/>
        <w:t>f)</w:t>
      </w:r>
      <w:r w:rsidR="008257FE" w:rsidRPr="00D56579">
        <w:rPr>
          <w:rFonts w:ascii="Montserrat Medium" w:eastAsia="Times New Roman" w:hAnsi="Montserrat Medium" w:cs="Arial"/>
          <w:b/>
          <w:i/>
          <w:color w:val="595959"/>
          <w:sz w:val="22"/>
          <w:szCs w:val="22"/>
          <w:lang w:eastAsia="en-US"/>
        </w:rPr>
        <w:t xml:space="preserve"> Estructura Organizacional Básica</w:t>
      </w:r>
    </w:p>
    <w:p w14:paraId="30142EA1" w14:textId="77777777" w:rsidR="008257FE" w:rsidRPr="00D56579" w:rsidRDefault="008257FE" w:rsidP="002F131C">
      <w:pPr>
        <w:jc w:val="both"/>
        <w:rPr>
          <w:rFonts w:ascii="Montserrat Medium" w:eastAsia="Times New Roman" w:hAnsi="Montserrat Medium" w:cs="Arial"/>
          <w:color w:val="595959"/>
          <w:lang w:eastAsia="en-US"/>
        </w:rPr>
      </w:pPr>
    </w:p>
    <w:p w14:paraId="114D9FD9" w14:textId="77777777" w:rsidR="008257FE" w:rsidRPr="00D56579" w:rsidRDefault="008257FE" w:rsidP="002F131C">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El Poder Ejecutivo para el despacho de los asuntos de su competencia cuenta con dependencias y entidades, con las atribuciones y estructura que determinan las disposiciones legales aplicables. De acuerdo con los artículos 1 y 2 de la Ley Orgánica de la Administración Pública del Estado, para el ejercicio de sus atribuciones y el despacho de los asuntos de orden administrativo que corresponden al Poder Ejecutivo, la Administración Pública se divide en Central y Paraestatal. </w:t>
      </w:r>
    </w:p>
    <w:p w14:paraId="69F9F4A3" w14:textId="77777777" w:rsidR="008257FE" w:rsidRPr="00D56579" w:rsidRDefault="008257FE" w:rsidP="002F131C">
      <w:pPr>
        <w:ind w:firstLine="567"/>
        <w:jc w:val="both"/>
        <w:rPr>
          <w:rFonts w:ascii="Montserrat Medium" w:eastAsia="Times New Roman" w:hAnsi="Montserrat Medium" w:cs="Arial"/>
          <w:color w:val="595959"/>
          <w:sz w:val="22"/>
          <w:lang w:eastAsia="en-US"/>
        </w:rPr>
      </w:pPr>
    </w:p>
    <w:p w14:paraId="352B02E2" w14:textId="77777777" w:rsidR="008257FE" w:rsidRPr="00D56579" w:rsidRDefault="008257FE" w:rsidP="002F131C">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De acuerdo a la Ley Orgánica de la Administración Pública del Estado, las dependencias que conforman la Administración Pública Central, son:</w:t>
      </w:r>
    </w:p>
    <w:p w14:paraId="4E1A60A2" w14:textId="77777777" w:rsidR="00C77777" w:rsidRPr="00D56579" w:rsidRDefault="00C77777" w:rsidP="002F131C">
      <w:pPr>
        <w:jc w:val="both"/>
        <w:rPr>
          <w:rFonts w:ascii="Montserrat Medium" w:eastAsia="Times New Roman" w:hAnsi="Montserrat Medium" w:cs="Arial"/>
          <w:color w:val="595959"/>
          <w:sz w:val="22"/>
          <w:lang w:eastAsia="en-US"/>
        </w:rPr>
      </w:pPr>
    </w:p>
    <w:p w14:paraId="64F9FA18" w14:textId="77777777" w:rsidR="008257FE" w:rsidRDefault="008257FE" w:rsidP="002F131C">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Gobierno</w:t>
      </w:r>
    </w:p>
    <w:p w14:paraId="6C2BF292" w14:textId="454A1559" w:rsidR="00153CD3" w:rsidRPr="00D56579" w:rsidRDefault="00153CD3" w:rsidP="002F131C">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la</w:t>
      </w:r>
      <w:r>
        <w:rPr>
          <w:rFonts w:ascii="Montserrat Medium" w:eastAsia="Times New Roman" w:hAnsi="Montserrat Medium"/>
          <w:color w:val="595959"/>
          <w:sz w:val="22"/>
        </w:rPr>
        <w:t>s</w:t>
      </w:r>
      <w:r w:rsidRPr="00D56579">
        <w:rPr>
          <w:rFonts w:ascii="Montserrat Medium" w:eastAsia="Times New Roman" w:hAnsi="Montserrat Medium"/>
          <w:color w:val="595959"/>
          <w:sz w:val="22"/>
        </w:rPr>
        <w:t xml:space="preserve"> Mujer</w:t>
      </w:r>
      <w:r>
        <w:rPr>
          <w:rFonts w:ascii="Montserrat Medium" w:eastAsia="Times New Roman" w:hAnsi="Montserrat Medium"/>
          <w:color w:val="595959"/>
          <w:sz w:val="22"/>
        </w:rPr>
        <w:t>es</w:t>
      </w:r>
    </w:p>
    <w:p w14:paraId="64FC635A" w14:textId="41F0AAF5" w:rsidR="008257FE" w:rsidRPr="00D56579" w:rsidRDefault="008257FE" w:rsidP="002F131C">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Bienestar</w:t>
      </w:r>
    </w:p>
    <w:p w14:paraId="417C5E78" w14:textId="77777777" w:rsidR="008257FE" w:rsidRPr="00D56579" w:rsidRDefault="008257FE" w:rsidP="002F131C">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Finanzas y Planeación</w:t>
      </w:r>
    </w:p>
    <w:p w14:paraId="5B40F536" w14:textId="77777777" w:rsidR="008257FE" w:rsidRPr="00D56579" w:rsidRDefault="008257FE" w:rsidP="002F131C">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Desarrollo Territorial Urbano Sustentable</w:t>
      </w:r>
    </w:p>
    <w:p w14:paraId="660C0DBA" w14:textId="77777777" w:rsidR="008257FE" w:rsidRPr="00D56579" w:rsidRDefault="008257FE" w:rsidP="002F131C">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Obras Públicas</w:t>
      </w:r>
    </w:p>
    <w:p w14:paraId="77779519" w14:textId="77777777" w:rsidR="008257FE" w:rsidRPr="00D56579" w:rsidRDefault="008257FE" w:rsidP="002F131C">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Ecología y Medio Ambiente</w:t>
      </w:r>
    </w:p>
    <w:p w14:paraId="419FDBF0" w14:textId="77777777" w:rsidR="008257FE" w:rsidRPr="00D56579" w:rsidRDefault="008257FE" w:rsidP="002F131C">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Desarrollo Económico</w:t>
      </w:r>
    </w:p>
    <w:p w14:paraId="2CC569C5" w14:textId="77777777" w:rsidR="008257FE" w:rsidRPr="00D56579" w:rsidRDefault="008257FE" w:rsidP="002F131C">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del Trabajo y Previsión Social</w:t>
      </w:r>
    </w:p>
    <w:p w14:paraId="2C776D67" w14:textId="77777777" w:rsidR="008257FE" w:rsidRPr="00D56579" w:rsidRDefault="008257FE" w:rsidP="002F131C">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Desarrollo Agropecuario, Rural y Pesca</w:t>
      </w:r>
    </w:p>
    <w:p w14:paraId="7CACE327" w14:textId="77777777" w:rsidR="008257FE" w:rsidRPr="00D56579" w:rsidRDefault="008257FE" w:rsidP="002F131C">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Educación</w:t>
      </w:r>
    </w:p>
    <w:p w14:paraId="0F934E1A" w14:textId="77777777" w:rsidR="008257FE" w:rsidRPr="00D56579" w:rsidRDefault="008257FE" w:rsidP="002F131C">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Salud</w:t>
      </w:r>
    </w:p>
    <w:p w14:paraId="2127E389" w14:textId="77777777" w:rsidR="008257FE" w:rsidRPr="00D56579" w:rsidRDefault="008257FE" w:rsidP="002F131C">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Turismo</w:t>
      </w:r>
    </w:p>
    <w:p w14:paraId="1250B911" w14:textId="2660F35A" w:rsidR="008257FE" w:rsidRPr="00D56579" w:rsidRDefault="008257FE" w:rsidP="002F131C">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 xml:space="preserve">Secretaría </w:t>
      </w:r>
      <w:r w:rsidR="00621C0D">
        <w:rPr>
          <w:rFonts w:ascii="Montserrat Medium" w:eastAsia="Times New Roman" w:hAnsi="Montserrat Medium"/>
          <w:color w:val="595959"/>
          <w:sz w:val="22"/>
        </w:rPr>
        <w:t>Anticorrupción y Buen Gobierno</w:t>
      </w:r>
    </w:p>
    <w:p w14:paraId="336A9879" w14:textId="77777777" w:rsidR="007414EB" w:rsidRPr="00D56579" w:rsidRDefault="007414EB" w:rsidP="002F131C">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Consejería Jurídica del Poder Ejecutivo</w:t>
      </w:r>
    </w:p>
    <w:p w14:paraId="3DD880CA" w14:textId="07FF6621" w:rsidR="008257FE" w:rsidRPr="00D56579" w:rsidRDefault="00CC46D5" w:rsidP="002F131C">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 xml:space="preserve">Secretaría </w:t>
      </w:r>
      <w:r w:rsidR="00DB61F1" w:rsidRPr="00D56579">
        <w:rPr>
          <w:rFonts w:ascii="Montserrat Medium" w:eastAsia="Times New Roman" w:hAnsi="Montserrat Medium"/>
          <w:color w:val="595959"/>
          <w:sz w:val="22"/>
        </w:rPr>
        <w:t xml:space="preserve">a </w:t>
      </w:r>
      <w:r w:rsidR="007414EB" w:rsidRPr="00D56579">
        <w:rPr>
          <w:rFonts w:ascii="Montserrat Medium" w:eastAsia="Times New Roman" w:hAnsi="Montserrat Medium"/>
          <w:color w:val="595959"/>
          <w:sz w:val="22"/>
        </w:rPr>
        <w:t>de Seguridad Ciudadana</w:t>
      </w:r>
    </w:p>
    <w:p w14:paraId="470F7148" w14:textId="77777777" w:rsidR="000A61A0" w:rsidRPr="00D56579" w:rsidRDefault="000A61A0" w:rsidP="002F131C">
      <w:pPr>
        <w:contextualSpacing/>
        <w:jc w:val="both"/>
        <w:rPr>
          <w:rFonts w:ascii="Montserrat Medium" w:eastAsia="Times New Roman" w:hAnsi="Montserrat Medium"/>
          <w:color w:val="FF0000"/>
          <w:sz w:val="22"/>
        </w:rPr>
      </w:pPr>
    </w:p>
    <w:p w14:paraId="3679BBB6" w14:textId="77777777" w:rsidR="008257FE" w:rsidRPr="00D56579" w:rsidRDefault="00C77777" w:rsidP="002F131C">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El</w:t>
      </w:r>
      <w:r w:rsidR="006B79DC" w:rsidRPr="00D56579">
        <w:rPr>
          <w:rFonts w:ascii="Montserrat Medium" w:eastAsia="Times New Roman" w:hAnsi="Montserrat Medium" w:cs="Arial"/>
          <w:color w:val="595959"/>
          <w:sz w:val="22"/>
          <w:lang w:eastAsia="en-US"/>
        </w:rPr>
        <w:t>(la)</w:t>
      </w:r>
      <w:r w:rsidR="008257FE" w:rsidRPr="00D56579">
        <w:rPr>
          <w:rFonts w:ascii="Montserrat Medium" w:eastAsia="Times New Roman" w:hAnsi="Montserrat Medium" w:cs="Arial"/>
          <w:color w:val="595959"/>
          <w:sz w:val="22"/>
          <w:lang w:eastAsia="en-US"/>
        </w:rPr>
        <w:t xml:space="preserve"> Gobernador</w:t>
      </w:r>
      <w:r w:rsidR="006B79DC" w:rsidRPr="00D56579">
        <w:rPr>
          <w:rFonts w:ascii="Montserrat Medium" w:eastAsia="Times New Roman" w:hAnsi="Montserrat Medium" w:cs="Arial"/>
          <w:color w:val="595959"/>
          <w:sz w:val="22"/>
          <w:lang w:eastAsia="en-US"/>
        </w:rPr>
        <w:t>(a)</w:t>
      </w:r>
      <w:r w:rsidR="008257FE" w:rsidRPr="00D56579">
        <w:rPr>
          <w:rFonts w:ascii="Montserrat Medium" w:eastAsia="Times New Roman" w:hAnsi="Montserrat Medium" w:cs="Arial"/>
          <w:color w:val="595959"/>
          <w:sz w:val="22"/>
          <w:lang w:eastAsia="en-US"/>
        </w:rPr>
        <w:t xml:space="preserve"> del Estado podrá crear o suprimir mediante acuerdo, las unidades administrativas necesarias para promover, coordinar o asesorar programas o funciones prioritarias o estratégicas que requiera el desarrollo, la seguridad y la protección de la población en el Estado.</w:t>
      </w:r>
    </w:p>
    <w:p w14:paraId="772305D0" w14:textId="77777777" w:rsidR="008257FE" w:rsidRPr="00D56579" w:rsidRDefault="008257FE" w:rsidP="002F131C">
      <w:pPr>
        <w:ind w:firstLine="567"/>
        <w:jc w:val="both"/>
        <w:rPr>
          <w:rFonts w:ascii="Montserrat Medium" w:eastAsia="Times New Roman" w:hAnsi="Montserrat Medium" w:cs="Arial"/>
          <w:color w:val="595959"/>
          <w:sz w:val="22"/>
          <w:lang w:eastAsia="en-US"/>
        </w:rPr>
      </w:pPr>
    </w:p>
    <w:p w14:paraId="15A2EE75" w14:textId="77777777" w:rsidR="008257FE" w:rsidRPr="00D56579" w:rsidRDefault="008257FE" w:rsidP="002F131C">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La Administración Pública Central podrá contar con órganos administrativos desconcentrados, dotados de autonomía técnica y funcional, para apoyar la eficiente administración de los asuntos que son competencia de la misma y estarán subordinados al Despacho del Gobernador o a la dependencia que se señale en el acuerdo o decreto respectivo que le dio origen. Éstos se agruparán en el sector mayormente vinculado con sus responsabilidades bajo la coordinación de la dependencia a la que se adscriban. </w:t>
      </w:r>
    </w:p>
    <w:p w14:paraId="26A2B594" w14:textId="77777777" w:rsidR="00561926" w:rsidRPr="00D56579" w:rsidRDefault="00561926" w:rsidP="002F131C">
      <w:pPr>
        <w:jc w:val="both"/>
        <w:rPr>
          <w:rFonts w:ascii="Montserrat Medium" w:eastAsia="Times New Roman" w:hAnsi="Montserrat Medium" w:cs="Arial"/>
          <w:color w:val="595959"/>
          <w:sz w:val="22"/>
          <w:lang w:eastAsia="en-US"/>
        </w:rPr>
      </w:pPr>
    </w:p>
    <w:p w14:paraId="4B1CB5A6" w14:textId="77777777" w:rsidR="008257FE" w:rsidRPr="00D56579" w:rsidRDefault="008257FE" w:rsidP="002F131C">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Administración de las finanzas públicas en el Estado</w:t>
      </w:r>
    </w:p>
    <w:p w14:paraId="277174B4" w14:textId="77777777" w:rsidR="008257FE" w:rsidRPr="00D56579" w:rsidRDefault="008257FE" w:rsidP="002F131C">
      <w:pPr>
        <w:tabs>
          <w:tab w:val="left" w:pos="426"/>
        </w:tabs>
        <w:jc w:val="both"/>
        <w:rPr>
          <w:rFonts w:ascii="Montserrat Medium" w:eastAsia="Times New Roman" w:hAnsi="Montserrat Medium" w:cs="Arial"/>
          <w:color w:val="595959"/>
          <w:sz w:val="22"/>
          <w:lang w:eastAsia="en-US"/>
        </w:rPr>
      </w:pPr>
    </w:p>
    <w:p w14:paraId="4696D73C" w14:textId="77777777" w:rsidR="008257FE" w:rsidRPr="00D56579" w:rsidRDefault="008257FE" w:rsidP="002F131C">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La Secretaría de Finanzas y Planeación (SEFIPLAN), es la encargada, entre otros asuntos, de: recaudar los impuestos, derechos, productos y aprovechamientos del Estado, así </w:t>
      </w:r>
      <w:r w:rsidRPr="00D56579">
        <w:rPr>
          <w:rFonts w:ascii="Montserrat Medium" w:eastAsia="Times New Roman" w:hAnsi="Montserrat Medium" w:cs="Arial"/>
          <w:color w:val="595959"/>
          <w:sz w:val="22"/>
          <w:lang w:eastAsia="en-US"/>
        </w:rPr>
        <w:lastRenderedPageBreak/>
        <w:t xml:space="preserve">como las contribuciones federales en los términos de los convenios suscritos; ejercer el presupuesto de egresos en los términos de los decretos y leyes respectivas. </w:t>
      </w:r>
    </w:p>
    <w:p w14:paraId="23CBFB54" w14:textId="77777777" w:rsidR="008257FE" w:rsidRPr="00D56579" w:rsidRDefault="008257FE" w:rsidP="002F131C">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Compete a la Dirección de Contabilidad Gubernamental, validar el registro de las operaciones e integración de la información contable, formular mensualmente los estados financieros y la integración de la Cuenta Pública Anual con la participación de la Subsecretaría de Política Hacendaria y Control Presupuestal, la Subsecretaría de Ingresos y la Subsecretaría de Crédito y Finanzas.</w:t>
      </w:r>
      <w:r w:rsidR="00F6421F" w:rsidRPr="00D56579">
        <w:rPr>
          <w:rFonts w:ascii="Montserrat Medium" w:eastAsia="Times New Roman" w:hAnsi="Montserrat Medium" w:cs="Arial"/>
          <w:color w:val="595959"/>
          <w:sz w:val="22"/>
          <w:lang w:eastAsia="en-US"/>
        </w:rPr>
        <w:t xml:space="preserve"> </w:t>
      </w:r>
    </w:p>
    <w:p w14:paraId="09F4C69E" w14:textId="77777777" w:rsidR="00AE267F" w:rsidRDefault="00AE267F" w:rsidP="002F131C">
      <w:pPr>
        <w:rPr>
          <w:rFonts w:ascii="Montserrat Medium" w:eastAsia="Times New Roman" w:hAnsi="Montserrat Medium" w:cs="Arial"/>
          <w:b/>
          <w:i/>
          <w:color w:val="595959"/>
          <w:sz w:val="22"/>
          <w:lang w:eastAsia="en-US"/>
        </w:rPr>
      </w:pPr>
    </w:p>
    <w:p w14:paraId="319D612C" w14:textId="5BC087B0" w:rsidR="008257FE" w:rsidRPr="00A76F9D" w:rsidRDefault="003F0DC7" w:rsidP="002F131C">
      <w:pPr>
        <w:rPr>
          <w:rFonts w:ascii="Montserrat Medium" w:eastAsia="Times New Roman" w:hAnsi="Montserrat Medium" w:cs="Arial"/>
          <w:b/>
          <w:i/>
          <w:color w:val="595959"/>
          <w:sz w:val="22"/>
          <w:lang w:eastAsia="en-US"/>
        </w:rPr>
      </w:pPr>
      <w:r w:rsidRPr="00A76F9D">
        <w:rPr>
          <w:rFonts w:ascii="Montserrat Medium" w:eastAsia="Times New Roman" w:hAnsi="Montserrat Medium" w:cs="Arial"/>
          <w:b/>
          <w:i/>
          <w:color w:val="595959"/>
          <w:sz w:val="22"/>
          <w:lang w:eastAsia="en-US"/>
        </w:rPr>
        <w:t>g)</w:t>
      </w:r>
      <w:r w:rsidR="008257FE" w:rsidRPr="00A76F9D">
        <w:rPr>
          <w:rFonts w:ascii="Montserrat Medium" w:eastAsia="Times New Roman" w:hAnsi="Montserrat Medium" w:cs="Arial"/>
          <w:b/>
          <w:i/>
          <w:color w:val="595959"/>
          <w:sz w:val="22"/>
          <w:lang w:eastAsia="en-US"/>
        </w:rPr>
        <w:t xml:space="preserve"> Fideicomisos, </w:t>
      </w:r>
      <w:r w:rsidR="0092085D" w:rsidRPr="00A76F9D">
        <w:rPr>
          <w:rFonts w:ascii="Montserrat Medium" w:eastAsia="Times New Roman" w:hAnsi="Montserrat Medium" w:cs="Arial"/>
          <w:b/>
          <w:i/>
          <w:color w:val="595959"/>
          <w:sz w:val="22"/>
          <w:lang w:eastAsia="en-US"/>
        </w:rPr>
        <w:t xml:space="preserve">contratos </w:t>
      </w:r>
      <w:r w:rsidR="008257FE" w:rsidRPr="00A76F9D">
        <w:rPr>
          <w:rFonts w:ascii="Montserrat Medium" w:eastAsia="Times New Roman" w:hAnsi="Montserrat Medium" w:cs="Arial"/>
          <w:b/>
          <w:i/>
          <w:color w:val="595959"/>
          <w:sz w:val="22"/>
          <w:lang w:eastAsia="en-US"/>
        </w:rPr>
        <w:t xml:space="preserve">análogos </w:t>
      </w:r>
      <w:r w:rsidR="0092085D" w:rsidRPr="00A76F9D">
        <w:rPr>
          <w:rFonts w:ascii="Montserrat Medium" w:eastAsia="Times New Roman" w:hAnsi="Montserrat Medium" w:cs="Arial"/>
          <w:b/>
          <w:i/>
          <w:color w:val="595959"/>
          <w:sz w:val="22"/>
          <w:lang w:eastAsia="en-US"/>
        </w:rPr>
        <w:t xml:space="preserve">y mandatos </w:t>
      </w:r>
      <w:r w:rsidR="008257FE" w:rsidRPr="00A76F9D">
        <w:rPr>
          <w:rFonts w:ascii="Montserrat Medium" w:eastAsia="Times New Roman" w:hAnsi="Montserrat Medium" w:cs="Arial"/>
          <w:b/>
          <w:i/>
          <w:color w:val="595959"/>
          <w:sz w:val="22"/>
          <w:lang w:eastAsia="en-US"/>
        </w:rPr>
        <w:t>de los cuales es fideicomitente o fideicomisario.</w:t>
      </w:r>
    </w:p>
    <w:p w14:paraId="108A4DA5" w14:textId="77777777" w:rsidR="009C733C" w:rsidRPr="00A76F9D" w:rsidRDefault="009C733C" w:rsidP="002F131C">
      <w:pPr>
        <w:rPr>
          <w:rFonts w:ascii="Montserrat Medium" w:eastAsia="Times New Roman" w:hAnsi="Montserrat Medium" w:cs="Arial"/>
          <w:b/>
          <w:i/>
          <w:color w:val="595959"/>
          <w:sz w:val="22"/>
          <w:lang w:eastAsia="en-US"/>
        </w:rPr>
      </w:pPr>
    </w:p>
    <w:p w14:paraId="01060FD6" w14:textId="048651A8" w:rsidR="002A2E04" w:rsidRPr="00A76F9D" w:rsidRDefault="002A2E04" w:rsidP="002F131C">
      <w:pPr>
        <w:pStyle w:val="Prrafodelista"/>
        <w:numPr>
          <w:ilvl w:val="0"/>
          <w:numId w:val="33"/>
        </w:numPr>
        <w:jc w:val="both"/>
        <w:rPr>
          <w:rFonts w:ascii="Montserrat Medium" w:eastAsia="Times New Roman" w:hAnsi="Montserrat Medium" w:cs="Arial"/>
          <w:color w:val="595959"/>
          <w:sz w:val="22"/>
          <w:lang w:eastAsia="en-US"/>
        </w:rPr>
      </w:pPr>
      <w:r w:rsidRPr="00A76F9D">
        <w:rPr>
          <w:rFonts w:ascii="Montserrat Medium" w:eastAsia="Times New Roman" w:hAnsi="Montserrat Medium" w:cs="Arial"/>
          <w:color w:val="595959"/>
          <w:sz w:val="22"/>
          <w:lang w:eastAsia="en-US"/>
        </w:rPr>
        <w:t>Por ramo administrativo que se reporta.</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1276"/>
        <w:gridCol w:w="3260"/>
        <w:gridCol w:w="1559"/>
        <w:gridCol w:w="1701"/>
      </w:tblGrid>
      <w:tr w:rsidR="009C733C" w:rsidRPr="00A76F9D" w14:paraId="4F5FAC7A" w14:textId="77777777" w:rsidTr="0073145B">
        <w:trPr>
          <w:tblHeader/>
        </w:trPr>
        <w:tc>
          <w:tcPr>
            <w:tcW w:w="1526" w:type="dxa"/>
            <w:shd w:val="clear" w:color="auto" w:fill="BFBFBF" w:themeFill="background1" w:themeFillShade="BF"/>
            <w:vAlign w:val="center"/>
          </w:tcPr>
          <w:p w14:paraId="73CEDE90" w14:textId="77777777" w:rsidR="009C733C" w:rsidRPr="00A76F9D" w:rsidRDefault="009C733C" w:rsidP="002F131C">
            <w:pPr>
              <w:jc w:val="center"/>
              <w:rPr>
                <w:rFonts w:ascii="Montserrat" w:eastAsia="Calibri" w:hAnsi="Montserrat"/>
                <w:b/>
                <w:noProof/>
                <w:sz w:val="16"/>
                <w:szCs w:val="16"/>
                <w:lang w:val="es-MX" w:eastAsia="en-US"/>
              </w:rPr>
            </w:pPr>
            <w:r w:rsidRPr="00A76F9D">
              <w:rPr>
                <w:rFonts w:ascii="Montserrat" w:eastAsia="Calibri" w:hAnsi="Montserrat"/>
                <w:b/>
                <w:noProof/>
                <w:sz w:val="16"/>
                <w:szCs w:val="16"/>
                <w:lang w:val="es-MX" w:eastAsia="en-US"/>
              </w:rPr>
              <w:t>Ramo administrativo</w:t>
            </w:r>
          </w:p>
        </w:tc>
        <w:tc>
          <w:tcPr>
            <w:tcW w:w="992" w:type="dxa"/>
            <w:shd w:val="clear" w:color="auto" w:fill="BFBFBF" w:themeFill="background1" w:themeFillShade="BF"/>
            <w:vAlign w:val="center"/>
          </w:tcPr>
          <w:p w14:paraId="623D2143" w14:textId="77777777" w:rsidR="009C733C" w:rsidRPr="00A76F9D" w:rsidRDefault="009C733C" w:rsidP="002F131C">
            <w:pPr>
              <w:jc w:val="center"/>
              <w:rPr>
                <w:rFonts w:ascii="Montserrat" w:eastAsia="Calibri" w:hAnsi="Montserrat"/>
                <w:b/>
                <w:noProof/>
                <w:sz w:val="16"/>
                <w:szCs w:val="16"/>
                <w:lang w:val="es-MX" w:eastAsia="en-US"/>
              </w:rPr>
            </w:pPr>
            <w:r w:rsidRPr="00A76F9D">
              <w:rPr>
                <w:rFonts w:ascii="Montserrat" w:eastAsia="Calibri" w:hAnsi="Montserrat"/>
                <w:b/>
                <w:noProof/>
                <w:sz w:val="16"/>
                <w:szCs w:val="16"/>
                <w:lang w:val="es-MX" w:eastAsia="en-US"/>
              </w:rPr>
              <w:t>Ejercicio</w:t>
            </w:r>
          </w:p>
        </w:tc>
        <w:tc>
          <w:tcPr>
            <w:tcW w:w="1276" w:type="dxa"/>
            <w:shd w:val="clear" w:color="auto" w:fill="BFBFBF" w:themeFill="background1" w:themeFillShade="BF"/>
            <w:vAlign w:val="center"/>
          </w:tcPr>
          <w:p w14:paraId="5E31F75B" w14:textId="77777777" w:rsidR="009C733C" w:rsidRPr="00A76F9D" w:rsidRDefault="009C733C" w:rsidP="002F131C">
            <w:pPr>
              <w:jc w:val="center"/>
              <w:rPr>
                <w:rFonts w:ascii="Montserrat" w:eastAsia="Calibri" w:hAnsi="Montserrat"/>
                <w:b/>
                <w:noProof/>
                <w:sz w:val="16"/>
                <w:szCs w:val="16"/>
                <w:lang w:val="es-MX" w:eastAsia="en-US"/>
              </w:rPr>
            </w:pPr>
            <w:r w:rsidRPr="00A76F9D">
              <w:rPr>
                <w:rFonts w:ascii="Montserrat" w:eastAsia="Calibri" w:hAnsi="Montserrat"/>
                <w:b/>
                <w:noProof/>
                <w:sz w:val="16"/>
                <w:szCs w:val="16"/>
                <w:lang w:val="es-MX" w:eastAsia="en-US"/>
              </w:rPr>
              <w:t>Número fideicomiso y fondo público, mandato o cualquier contrato análogo</w:t>
            </w:r>
          </w:p>
        </w:tc>
        <w:tc>
          <w:tcPr>
            <w:tcW w:w="3260" w:type="dxa"/>
            <w:shd w:val="clear" w:color="auto" w:fill="BFBFBF" w:themeFill="background1" w:themeFillShade="BF"/>
            <w:vAlign w:val="center"/>
          </w:tcPr>
          <w:p w14:paraId="3DEB4D1A" w14:textId="77777777" w:rsidR="009C733C" w:rsidRPr="00A76F9D" w:rsidRDefault="009C733C" w:rsidP="002F131C">
            <w:pPr>
              <w:jc w:val="center"/>
              <w:rPr>
                <w:rFonts w:ascii="Montserrat" w:eastAsia="Calibri" w:hAnsi="Montserrat"/>
                <w:b/>
                <w:noProof/>
                <w:sz w:val="16"/>
                <w:szCs w:val="16"/>
                <w:lang w:val="es-MX" w:eastAsia="en-US"/>
              </w:rPr>
            </w:pPr>
            <w:r w:rsidRPr="00A76F9D">
              <w:rPr>
                <w:rFonts w:ascii="Montserrat" w:eastAsia="Calibri" w:hAnsi="Montserrat"/>
                <w:b/>
                <w:noProof/>
                <w:sz w:val="16"/>
                <w:szCs w:val="16"/>
                <w:lang w:val="es-MX" w:eastAsia="en-US"/>
              </w:rPr>
              <w:t>Denominación del fideicomiso y fondo público mandato o cualquier contrato análogo</w:t>
            </w:r>
          </w:p>
        </w:tc>
        <w:tc>
          <w:tcPr>
            <w:tcW w:w="1559" w:type="dxa"/>
            <w:shd w:val="clear" w:color="auto" w:fill="BFBFBF" w:themeFill="background1" w:themeFillShade="BF"/>
            <w:vAlign w:val="center"/>
          </w:tcPr>
          <w:p w14:paraId="06F9BFA2" w14:textId="77777777" w:rsidR="009C733C" w:rsidRPr="00A76F9D" w:rsidRDefault="009C733C" w:rsidP="002F131C">
            <w:pPr>
              <w:jc w:val="center"/>
              <w:rPr>
                <w:rFonts w:ascii="Montserrat" w:eastAsia="Calibri" w:hAnsi="Montserrat"/>
                <w:b/>
                <w:noProof/>
                <w:sz w:val="16"/>
                <w:szCs w:val="16"/>
                <w:lang w:val="es-MX" w:eastAsia="en-US"/>
              </w:rPr>
            </w:pPr>
            <w:r w:rsidRPr="00A76F9D">
              <w:rPr>
                <w:rFonts w:ascii="Montserrat" w:eastAsia="Calibri" w:hAnsi="Montserrat"/>
                <w:b/>
                <w:noProof/>
                <w:sz w:val="16"/>
                <w:szCs w:val="16"/>
                <w:lang w:val="es-MX" w:eastAsia="en-US"/>
              </w:rPr>
              <w:t>Nombre o denominación del Fideicomitente</w:t>
            </w:r>
          </w:p>
        </w:tc>
        <w:tc>
          <w:tcPr>
            <w:tcW w:w="1701" w:type="dxa"/>
            <w:shd w:val="clear" w:color="auto" w:fill="BFBFBF" w:themeFill="background1" w:themeFillShade="BF"/>
            <w:vAlign w:val="center"/>
          </w:tcPr>
          <w:p w14:paraId="36394D85" w14:textId="77777777" w:rsidR="009C733C" w:rsidRPr="00A76F9D" w:rsidRDefault="009C733C" w:rsidP="002F131C">
            <w:pPr>
              <w:ind w:left="99" w:hanging="99"/>
              <w:jc w:val="center"/>
              <w:rPr>
                <w:rFonts w:ascii="Montserrat" w:eastAsia="Calibri" w:hAnsi="Montserrat"/>
                <w:b/>
                <w:noProof/>
                <w:sz w:val="16"/>
                <w:szCs w:val="16"/>
                <w:lang w:val="es-MX" w:eastAsia="en-US"/>
              </w:rPr>
            </w:pPr>
            <w:r w:rsidRPr="00A76F9D">
              <w:rPr>
                <w:rFonts w:ascii="Montserrat" w:eastAsia="Calibri" w:hAnsi="Montserrat"/>
                <w:b/>
                <w:noProof/>
                <w:sz w:val="16"/>
                <w:szCs w:val="16"/>
                <w:lang w:val="es-MX" w:eastAsia="en-US"/>
              </w:rPr>
              <w:t>Nombre o denominación de la Institución</w:t>
            </w:r>
          </w:p>
        </w:tc>
      </w:tr>
      <w:tr w:rsidR="009C733C" w:rsidRPr="00A76F9D" w14:paraId="787FEEE8" w14:textId="77777777" w:rsidTr="0073145B">
        <w:tc>
          <w:tcPr>
            <w:tcW w:w="1526" w:type="dxa"/>
            <w:shd w:val="clear" w:color="auto" w:fill="auto"/>
          </w:tcPr>
          <w:p w14:paraId="246890E6" w14:textId="77777777" w:rsidR="009C733C" w:rsidRPr="00A76F9D" w:rsidRDefault="009C733C" w:rsidP="002F131C">
            <w:pPr>
              <w:jc w:val="center"/>
              <w:rPr>
                <w:rFonts w:ascii="Montserrat" w:eastAsia="Calibri" w:hAnsi="Montserrat"/>
                <w:noProof/>
                <w:sz w:val="14"/>
                <w:szCs w:val="14"/>
                <w:lang w:val="es-MX" w:eastAsia="en-US"/>
              </w:rPr>
            </w:pPr>
            <w:r w:rsidRPr="00A76F9D">
              <w:rPr>
                <w:rFonts w:ascii="Montserrat" w:eastAsia="Calibri" w:hAnsi="Montserrat"/>
                <w:noProof/>
                <w:sz w:val="14"/>
                <w:szCs w:val="14"/>
                <w:lang w:val="es-MX" w:eastAsia="en-US"/>
              </w:rPr>
              <w:t>Secretaría de Finanzas y Planeación (SEFIPLAN)</w:t>
            </w:r>
          </w:p>
        </w:tc>
        <w:tc>
          <w:tcPr>
            <w:tcW w:w="992" w:type="dxa"/>
            <w:shd w:val="clear" w:color="auto" w:fill="auto"/>
            <w:vAlign w:val="center"/>
          </w:tcPr>
          <w:p w14:paraId="5A8B9375" w14:textId="77777777" w:rsidR="009C733C" w:rsidRPr="00A76F9D" w:rsidRDefault="009C733C" w:rsidP="002F131C">
            <w:pPr>
              <w:jc w:val="center"/>
              <w:rPr>
                <w:rFonts w:ascii="Montserrat" w:eastAsia="Calibri" w:hAnsi="Montserrat"/>
                <w:noProof/>
                <w:sz w:val="14"/>
                <w:szCs w:val="14"/>
                <w:lang w:val="es-MX" w:eastAsia="en-US"/>
              </w:rPr>
            </w:pPr>
            <w:r w:rsidRPr="00A76F9D">
              <w:rPr>
                <w:rFonts w:ascii="Montserrat" w:eastAsia="Calibri" w:hAnsi="Montserrat"/>
                <w:noProof/>
                <w:sz w:val="14"/>
                <w:szCs w:val="14"/>
                <w:lang w:val="es-MX" w:eastAsia="en-US"/>
              </w:rPr>
              <w:t>2025</w:t>
            </w:r>
          </w:p>
        </w:tc>
        <w:tc>
          <w:tcPr>
            <w:tcW w:w="1276" w:type="dxa"/>
            <w:shd w:val="clear" w:color="auto" w:fill="auto"/>
            <w:vAlign w:val="center"/>
          </w:tcPr>
          <w:p w14:paraId="37A4C96B" w14:textId="77777777" w:rsidR="009C733C" w:rsidRPr="00A76F9D" w:rsidRDefault="009C733C" w:rsidP="002F131C">
            <w:pPr>
              <w:jc w:val="both"/>
              <w:rPr>
                <w:rFonts w:ascii="Montserrat" w:eastAsia="Times New Roman" w:hAnsi="Montserrat" w:cs="Futura Medium"/>
                <w:noProof/>
                <w:sz w:val="14"/>
                <w:szCs w:val="14"/>
                <w:lang w:val="es-MX" w:eastAsia="en-US"/>
              </w:rPr>
            </w:pPr>
            <w:r w:rsidRPr="00A76F9D">
              <w:rPr>
                <w:rFonts w:ascii="Montserrat" w:eastAsia="Times New Roman" w:hAnsi="Montserrat" w:cs="Futura Medium"/>
                <w:noProof/>
                <w:sz w:val="14"/>
                <w:szCs w:val="14"/>
                <w:lang w:val="es-MX" w:eastAsia="en-US"/>
              </w:rPr>
              <w:t>F/744634</w:t>
            </w:r>
          </w:p>
        </w:tc>
        <w:tc>
          <w:tcPr>
            <w:tcW w:w="3260" w:type="dxa"/>
            <w:shd w:val="clear" w:color="auto" w:fill="auto"/>
            <w:vAlign w:val="center"/>
          </w:tcPr>
          <w:p w14:paraId="47CFE683"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Fideicomiso Irrevocable de Administración, Garantía y Fuente de Pago.</w:t>
            </w:r>
          </w:p>
        </w:tc>
        <w:tc>
          <w:tcPr>
            <w:tcW w:w="1559" w:type="dxa"/>
            <w:shd w:val="clear" w:color="auto" w:fill="auto"/>
            <w:vAlign w:val="center"/>
          </w:tcPr>
          <w:p w14:paraId="0DCB04DD" w14:textId="77777777" w:rsidR="009C733C" w:rsidRPr="00A76F9D" w:rsidRDefault="009C733C" w:rsidP="002F131C">
            <w:pPr>
              <w:jc w:val="both"/>
              <w:rPr>
                <w:rFonts w:ascii="Montserrat" w:eastAsia="Times New Roman" w:hAnsi="Montserrat" w:cs="Futura Medium"/>
                <w:noProof/>
                <w:sz w:val="14"/>
                <w:szCs w:val="14"/>
                <w:lang w:val="es-MX" w:eastAsia="en-US"/>
              </w:rPr>
            </w:pPr>
            <w:r w:rsidRPr="00A76F9D">
              <w:rPr>
                <w:rFonts w:ascii="Montserrat" w:eastAsia="Times New Roman" w:hAnsi="Montserrat" w:cs="Futura Medium"/>
                <w:noProof/>
                <w:sz w:val="14"/>
                <w:szCs w:val="14"/>
                <w:lang w:val="es-MX" w:eastAsia="en-US"/>
              </w:rPr>
              <w:t>Gobierno del Estado de Quintana Roo</w:t>
            </w:r>
          </w:p>
        </w:tc>
        <w:tc>
          <w:tcPr>
            <w:tcW w:w="1701" w:type="dxa"/>
            <w:shd w:val="clear" w:color="auto" w:fill="auto"/>
            <w:vAlign w:val="center"/>
          </w:tcPr>
          <w:p w14:paraId="40863A86"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Banco Mercantil del Norte S.A.</w:t>
            </w:r>
          </w:p>
        </w:tc>
      </w:tr>
      <w:tr w:rsidR="009C733C" w:rsidRPr="00A76F9D" w14:paraId="1E061DBC" w14:textId="77777777" w:rsidTr="0073145B">
        <w:tc>
          <w:tcPr>
            <w:tcW w:w="1526" w:type="dxa"/>
            <w:shd w:val="clear" w:color="auto" w:fill="auto"/>
            <w:vAlign w:val="center"/>
          </w:tcPr>
          <w:p w14:paraId="5EFD3E61" w14:textId="77777777" w:rsidR="009C733C" w:rsidRPr="00A76F9D" w:rsidRDefault="009C733C" w:rsidP="002F131C">
            <w:pPr>
              <w:jc w:val="center"/>
              <w:rPr>
                <w:rFonts w:ascii="Montserrat" w:eastAsia="Calibri" w:hAnsi="Montserrat"/>
                <w:noProof/>
                <w:sz w:val="14"/>
                <w:szCs w:val="14"/>
                <w:lang w:val="es-MX" w:eastAsia="en-US"/>
              </w:rPr>
            </w:pPr>
            <w:r w:rsidRPr="00A76F9D">
              <w:rPr>
                <w:rFonts w:ascii="Montserrat" w:eastAsia="Calibri" w:hAnsi="Montserrat"/>
                <w:noProof/>
                <w:sz w:val="14"/>
                <w:szCs w:val="14"/>
                <w:lang w:val="es-MX" w:eastAsia="en-US"/>
              </w:rPr>
              <w:t>Secretaría de Finanzas y Planeación (SEFIPLAN)</w:t>
            </w:r>
          </w:p>
        </w:tc>
        <w:tc>
          <w:tcPr>
            <w:tcW w:w="992" w:type="dxa"/>
            <w:shd w:val="clear" w:color="auto" w:fill="auto"/>
            <w:vAlign w:val="center"/>
          </w:tcPr>
          <w:p w14:paraId="344EF212" w14:textId="77777777" w:rsidR="009C733C" w:rsidRPr="00A76F9D" w:rsidRDefault="009C733C" w:rsidP="002F131C">
            <w:pPr>
              <w:rPr>
                <w:rFonts w:ascii="Montserrat" w:eastAsia="Calibri" w:hAnsi="Montserrat"/>
                <w:noProof/>
                <w:sz w:val="14"/>
                <w:szCs w:val="14"/>
                <w:lang w:val="es-MX" w:eastAsia="en-US"/>
              </w:rPr>
            </w:pPr>
          </w:p>
          <w:p w14:paraId="53A9666B" w14:textId="77777777" w:rsidR="009C733C" w:rsidRPr="00A76F9D" w:rsidRDefault="009C733C" w:rsidP="002F131C">
            <w:pPr>
              <w:jc w:val="center"/>
              <w:rPr>
                <w:rFonts w:ascii="Montserrat" w:eastAsia="Calibri" w:hAnsi="Montserrat"/>
                <w:noProof/>
                <w:sz w:val="14"/>
                <w:szCs w:val="14"/>
                <w:lang w:val="es-MX" w:eastAsia="en-US"/>
              </w:rPr>
            </w:pPr>
            <w:r w:rsidRPr="00A76F9D">
              <w:rPr>
                <w:rFonts w:ascii="Montserrat" w:eastAsia="Calibri" w:hAnsi="Montserrat"/>
                <w:noProof/>
                <w:sz w:val="14"/>
                <w:szCs w:val="14"/>
                <w:lang w:val="es-MX" w:eastAsia="en-US"/>
              </w:rPr>
              <w:t>2025</w:t>
            </w:r>
          </w:p>
        </w:tc>
        <w:tc>
          <w:tcPr>
            <w:tcW w:w="1276" w:type="dxa"/>
            <w:shd w:val="clear" w:color="auto" w:fill="auto"/>
            <w:vAlign w:val="center"/>
          </w:tcPr>
          <w:p w14:paraId="24CAF475" w14:textId="77777777" w:rsidR="009C733C" w:rsidRPr="00A76F9D" w:rsidRDefault="009C733C" w:rsidP="002F131C">
            <w:pPr>
              <w:jc w:val="center"/>
              <w:rPr>
                <w:rFonts w:ascii="Montserrat" w:eastAsia="Times New Roman" w:hAnsi="Montserrat" w:cs="Futura Medium"/>
                <w:noProof/>
                <w:sz w:val="14"/>
                <w:szCs w:val="14"/>
                <w:lang w:val="es-MX" w:eastAsia="en-US"/>
              </w:rPr>
            </w:pPr>
            <w:r w:rsidRPr="00A76F9D">
              <w:rPr>
                <w:rFonts w:ascii="Montserrat" w:eastAsia="Times New Roman" w:hAnsi="Montserrat" w:cs="Futura Medium"/>
                <w:noProof/>
                <w:sz w:val="14"/>
                <w:szCs w:val="14"/>
                <w:lang w:val="es-MX" w:eastAsia="en-US"/>
              </w:rPr>
              <w:t>F/745372</w:t>
            </w:r>
          </w:p>
        </w:tc>
        <w:tc>
          <w:tcPr>
            <w:tcW w:w="3260" w:type="dxa"/>
            <w:shd w:val="clear" w:color="auto" w:fill="auto"/>
            <w:vAlign w:val="center"/>
          </w:tcPr>
          <w:p w14:paraId="19110153"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Fideicomiso Irrevocable de Inversión y Administración denominado Fideicomiso de aprovisionamiento para el pago de aguinaldo.</w:t>
            </w:r>
          </w:p>
        </w:tc>
        <w:tc>
          <w:tcPr>
            <w:tcW w:w="1559" w:type="dxa"/>
            <w:shd w:val="clear" w:color="auto" w:fill="auto"/>
            <w:vAlign w:val="center"/>
          </w:tcPr>
          <w:p w14:paraId="3C6C984E" w14:textId="77777777" w:rsidR="009C733C" w:rsidRPr="00A76F9D" w:rsidRDefault="009C733C" w:rsidP="002F131C">
            <w:pPr>
              <w:jc w:val="both"/>
              <w:rPr>
                <w:rFonts w:ascii="Montserrat" w:eastAsia="Times New Roman" w:hAnsi="Montserrat" w:cs="Futura Medium"/>
                <w:noProof/>
                <w:sz w:val="14"/>
                <w:szCs w:val="14"/>
                <w:lang w:val="es-MX" w:eastAsia="en-US"/>
              </w:rPr>
            </w:pPr>
            <w:r w:rsidRPr="00A76F9D">
              <w:rPr>
                <w:rFonts w:ascii="Montserrat" w:eastAsia="Times New Roman" w:hAnsi="Montserrat" w:cs="Futura Medium"/>
                <w:noProof/>
                <w:sz w:val="14"/>
                <w:szCs w:val="14"/>
                <w:lang w:val="es-MX" w:eastAsia="en-US"/>
              </w:rPr>
              <w:t>Gobierno del Estado de Quintana Roo</w:t>
            </w:r>
          </w:p>
        </w:tc>
        <w:tc>
          <w:tcPr>
            <w:tcW w:w="1701" w:type="dxa"/>
            <w:shd w:val="clear" w:color="auto" w:fill="auto"/>
            <w:vAlign w:val="center"/>
          </w:tcPr>
          <w:p w14:paraId="2D1BC94B"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Banco Mercantil del Norte S.A.</w:t>
            </w:r>
          </w:p>
        </w:tc>
      </w:tr>
      <w:tr w:rsidR="009C733C" w:rsidRPr="00A76F9D" w14:paraId="3E14F8E3" w14:textId="77777777" w:rsidTr="0073145B">
        <w:tc>
          <w:tcPr>
            <w:tcW w:w="1526" w:type="dxa"/>
            <w:shd w:val="clear" w:color="auto" w:fill="auto"/>
            <w:vAlign w:val="center"/>
          </w:tcPr>
          <w:p w14:paraId="6BAF86D1" w14:textId="77777777" w:rsidR="009C733C" w:rsidRPr="00A76F9D" w:rsidRDefault="009C733C" w:rsidP="002F131C">
            <w:pPr>
              <w:jc w:val="center"/>
              <w:rPr>
                <w:rFonts w:ascii="Montserrat" w:eastAsia="Calibri" w:hAnsi="Montserrat"/>
                <w:noProof/>
                <w:sz w:val="14"/>
                <w:szCs w:val="14"/>
                <w:lang w:val="es-MX" w:eastAsia="en-US"/>
              </w:rPr>
            </w:pPr>
            <w:r w:rsidRPr="00A76F9D">
              <w:rPr>
                <w:rFonts w:ascii="Montserrat" w:eastAsia="Calibri" w:hAnsi="Montserrat"/>
                <w:noProof/>
                <w:sz w:val="14"/>
                <w:szCs w:val="14"/>
                <w:lang w:val="es-MX" w:eastAsia="en-US"/>
              </w:rPr>
              <w:t>Secretaría de Finanzas y Planeación (SEFIPLAN)</w:t>
            </w:r>
          </w:p>
        </w:tc>
        <w:tc>
          <w:tcPr>
            <w:tcW w:w="992" w:type="dxa"/>
            <w:shd w:val="clear" w:color="auto" w:fill="auto"/>
            <w:vAlign w:val="center"/>
          </w:tcPr>
          <w:p w14:paraId="47D3F1BE" w14:textId="77777777" w:rsidR="009C733C" w:rsidRPr="00A76F9D" w:rsidRDefault="009C733C" w:rsidP="002F131C">
            <w:pPr>
              <w:jc w:val="center"/>
              <w:rPr>
                <w:rFonts w:ascii="Montserrat" w:eastAsia="Calibri" w:hAnsi="Montserrat"/>
                <w:noProof/>
                <w:sz w:val="14"/>
                <w:szCs w:val="14"/>
                <w:lang w:val="es-MX" w:eastAsia="en-US"/>
              </w:rPr>
            </w:pPr>
            <w:r w:rsidRPr="00A76F9D">
              <w:rPr>
                <w:rFonts w:ascii="Montserrat" w:eastAsia="Calibri" w:hAnsi="Montserrat"/>
                <w:noProof/>
                <w:sz w:val="14"/>
                <w:szCs w:val="14"/>
                <w:lang w:val="es-MX" w:eastAsia="en-US"/>
              </w:rPr>
              <w:t>2025</w:t>
            </w:r>
          </w:p>
        </w:tc>
        <w:tc>
          <w:tcPr>
            <w:tcW w:w="1276" w:type="dxa"/>
            <w:shd w:val="clear" w:color="auto" w:fill="auto"/>
            <w:vAlign w:val="center"/>
          </w:tcPr>
          <w:p w14:paraId="28EDDC91" w14:textId="77777777" w:rsidR="009C733C" w:rsidRPr="00A76F9D" w:rsidRDefault="009C733C" w:rsidP="002F131C">
            <w:pPr>
              <w:jc w:val="center"/>
              <w:rPr>
                <w:rFonts w:ascii="Montserrat" w:eastAsia="Times New Roman" w:hAnsi="Montserrat" w:cs="Futura Medium"/>
                <w:noProof/>
                <w:sz w:val="14"/>
                <w:szCs w:val="14"/>
                <w:lang w:val="es-MX" w:eastAsia="en-US"/>
              </w:rPr>
            </w:pPr>
            <w:r w:rsidRPr="00A76F9D">
              <w:rPr>
                <w:rFonts w:ascii="Montserrat" w:eastAsia="Times New Roman" w:hAnsi="Montserrat" w:cs="Futura Medium"/>
                <w:noProof/>
                <w:sz w:val="14"/>
                <w:szCs w:val="14"/>
                <w:lang w:val="es-MX" w:eastAsia="en-US"/>
              </w:rPr>
              <w:t>F/2003859</w:t>
            </w:r>
          </w:p>
        </w:tc>
        <w:tc>
          <w:tcPr>
            <w:tcW w:w="3260" w:type="dxa"/>
            <w:shd w:val="clear" w:color="auto" w:fill="auto"/>
            <w:vAlign w:val="center"/>
          </w:tcPr>
          <w:p w14:paraId="483378A6"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Fideicomiso de administración.</w:t>
            </w:r>
          </w:p>
        </w:tc>
        <w:tc>
          <w:tcPr>
            <w:tcW w:w="1559" w:type="dxa"/>
            <w:shd w:val="clear" w:color="auto" w:fill="auto"/>
            <w:vAlign w:val="center"/>
          </w:tcPr>
          <w:p w14:paraId="79A84733" w14:textId="77777777" w:rsidR="009C733C" w:rsidRPr="00A76F9D" w:rsidRDefault="009C733C" w:rsidP="002F131C">
            <w:pPr>
              <w:jc w:val="both"/>
              <w:rPr>
                <w:rFonts w:ascii="Montserrat" w:eastAsia="Times New Roman" w:hAnsi="Montserrat" w:cs="Futura Medium"/>
                <w:noProof/>
                <w:sz w:val="14"/>
                <w:szCs w:val="14"/>
                <w:lang w:val="es-MX" w:eastAsia="en-US"/>
              </w:rPr>
            </w:pPr>
            <w:r w:rsidRPr="00A76F9D">
              <w:rPr>
                <w:rFonts w:ascii="Montserrat" w:eastAsia="Times New Roman" w:hAnsi="Montserrat" w:cs="Futura Medium"/>
                <w:noProof/>
                <w:sz w:val="14"/>
                <w:szCs w:val="14"/>
                <w:lang w:val="es-MX" w:eastAsia="en-US"/>
              </w:rPr>
              <w:t>Gobierno del Estado de Quintana Roo</w:t>
            </w:r>
          </w:p>
        </w:tc>
        <w:tc>
          <w:tcPr>
            <w:tcW w:w="1701" w:type="dxa"/>
            <w:shd w:val="clear" w:color="auto" w:fill="auto"/>
            <w:vAlign w:val="center"/>
          </w:tcPr>
          <w:p w14:paraId="47C079FF"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Banco Santander (México</w:t>
            </w:r>
          </w:p>
        </w:tc>
      </w:tr>
      <w:tr w:rsidR="009C733C" w:rsidRPr="00A76F9D" w14:paraId="7310CB68" w14:textId="77777777" w:rsidTr="0073145B">
        <w:tc>
          <w:tcPr>
            <w:tcW w:w="1526" w:type="dxa"/>
            <w:shd w:val="clear" w:color="auto" w:fill="auto"/>
            <w:vAlign w:val="center"/>
          </w:tcPr>
          <w:p w14:paraId="459D00B8" w14:textId="77777777" w:rsidR="009C733C" w:rsidRPr="00A76F9D" w:rsidRDefault="009C733C" w:rsidP="002F131C">
            <w:pPr>
              <w:jc w:val="center"/>
              <w:rPr>
                <w:rFonts w:ascii="Montserrat" w:eastAsia="Calibri" w:hAnsi="Montserrat"/>
                <w:noProof/>
                <w:sz w:val="14"/>
                <w:szCs w:val="14"/>
                <w:lang w:val="es-MX" w:eastAsia="en-US"/>
              </w:rPr>
            </w:pPr>
            <w:r w:rsidRPr="00A76F9D">
              <w:rPr>
                <w:rFonts w:ascii="Montserrat" w:eastAsia="Calibri" w:hAnsi="Montserrat"/>
                <w:noProof/>
                <w:sz w:val="14"/>
                <w:szCs w:val="14"/>
                <w:lang w:val="es-MX" w:eastAsia="en-US"/>
              </w:rPr>
              <w:t>Secretaría de Finanzas y Planeación (SEFIPLAN)</w:t>
            </w:r>
          </w:p>
        </w:tc>
        <w:tc>
          <w:tcPr>
            <w:tcW w:w="992" w:type="dxa"/>
            <w:shd w:val="clear" w:color="auto" w:fill="auto"/>
            <w:vAlign w:val="center"/>
          </w:tcPr>
          <w:p w14:paraId="33316E08" w14:textId="77777777" w:rsidR="009C733C" w:rsidRPr="00A76F9D" w:rsidRDefault="009C733C" w:rsidP="002F131C">
            <w:pPr>
              <w:jc w:val="center"/>
              <w:rPr>
                <w:rFonts w:ascii="Montserrat" w:eastAsia="Calibri" w:hAnsi="Montserrat"/>
                <w:noProof/>
                <w:sz w:val="14"/>
                <w:szCs w:val="14"/>
                <w:lang w:val="es-MX" w:eastAsia="en-US"/>
              </w:rPr>
            </w:pPr>
            <w:r w:rsidRPr="00A76F9D">
              <w:rPr>
                <w:rFonts w:ascii="Montserrat" w:eastAsia="Calibri" w:hAnsi="Montserrat"/>
                <w:noProof/>
                <w:sz w:val="14"/>
                <w:szCs w:val="14"/>
                <w:lang w:val="es-MX" w:eastAsia="en-US"/>
              </w:rPr>
              <w:t>2025</w:t>
            </w:r>
          </w:p>
        </w:tc>
        <w:tc>
          <w:tcPr>
            <w:tcW w:w="1276" w:type="dxa"/>
            <w:shd w:val="clear" w:color="auto" w:fill="auto"/>
            <w:vAlign w:val="center"/>
          </w:tcPr>
          <w:p w14:paraId="0A5704EC" w14:textId="77777777" w:rsidR="009C733C" w:rsidRPr="00A76F9D" w:rsidRDefault="009C733C" w:rsidP="002F131C">
            <w:pPr>
              <w:jc w:val="center"/>
              <w:rPr>
                <w:rFonts w:ascii="Montserrat" w:eastAsia="Times New Roman" w:hAnsi="Montserrat" w:cs="Futura Medium"/>
                <w:noProof/>
                <w:sz w:val="14"/>
                <w:szCs w:val="14"/>
                <w:lang w:val="es-MX" w:eastAsia="en-US"/>
              </w:rPr>
            </w:pPr>
            <w:r w:rsidRPr="00A76F9D">
              <w:rPr>
                <w:rFonts w:ascii="Montserrat" w:eastAsia="Times New Roman" w:hAnsi="Montserrat" w:cs="Futura Medium"/>
                <w:noProof/>
                <w:sz w:val="14"/>
                <w:szCs w:val="14"/>
                <w:lang w:val="es-MX" w:eastAsia="en-US"/>
              </w:rPr>
              <w:t>F/20018391</w:t>
            </w:r>
          </w:p>
        </w:tc>
        <w:tc>
          <w:tcPr>
            <w:tcW w:w="3260" w:type="dxa"/>
            <w:shd w:val="clear" w:color="auto" w:fill="auto"/>
            <w:vAlign w:val="center"/>
          </w:tcPr>
          <w:p w14:paraId="4764874F"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Fideicomiso Maestro Irrevocable de Administración, Garantía y Fuente de Pago.</w:t>
            </w:r>
          </w:p>
        </w:tc>
        <w:tc>
          <w:tcPr>
            <w:tcW w:w="1559" w:type="dxa"/>
            <w:shd w:val="clear" w:color="auto" w:fill="auto"/>
            <w:vAlign w:val="center"/>
          </w:tcPr>
          <w:p w14:paraId="76A7B6AA" w14:textId="77777777" w:rsidR="009C733C" w:rsidRPr="00A76F9D" w:rsidRDefault="009C733C" w:rsidP="002F131C">
            <w:pPr>
              <w:jc w:val="both"/>
              <w:rPr>
                <w:rFonts w:ascii="Montserrat" w:eastAsia="Times New Roman" w:hAnsi="Montserrat" w:cs="Futura Medium"/>
                <w:noProof/>
                <w:sz w:val="14"/>
                <w:szCs w:val="14"/>
                <w:lang w:val="es-MX" w:eastAsia="en-US"/>
              </w:rPr>
            </w:pPr>
            <w:r w:rsidRPr="00A76F9D">
              <w:rPr>
                <w:rFonts w:ascii="Montserrat" w:eastAsia="Times New Roman" w:hAnsi="Montserrat" w:cs="Futura Medium"/>
                <w:noProof/>
                <w:sz w:val="14"/>
                <w:szCs w:val="14"/>
                <w:lang w:val="es-MX" w:eastAsia="en-US"/>
              </w:rPr>
              <w:t>Gobierno del Estado de Quintana Roo</w:t>
            </w:r>
          </w:p>
        </w:tc>
        <w:tc>
          <w:tcPr>
            <w:tcW w:w="1701" w:type="dxa"/>
            <w:shd w:val="clear" w:color="auto" w:fill="auto"/>
            <w:vAlign w:val="center"/>
          </w:tcPr>
          <w:p w14:paraId="1B179737"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Banco Santander (México)</w:t>
            </w:r>
          </w:p>
        </w:tc>
      </w:tr>
      <w:tr w:rsidR="009C733C" w:rsidRPr="00A76F9D" w14:paraId="560D9927" w14:textId="77777777" w:rsidTr="0073145B">
        <w:tc>
          <w:tcPr>
            <w:tcW w:w="1526" w:type="dxa"/>
            <w:shd w:val="clear" w:color="auto" w:fill="auto"/>
            <w:vAlign w:val="center"/>
          </w:tcPr>
          <w:p w14:paraId="665837FC" w14:textId="77777777" w:rsidR="009C733C" w:rsidRPr="00A76F9D" w:rsidRDefault="009C733C" w:rsidP="002F131C">
            <w:pPr>
              <w:jc w:val="center"/>
              <w:rPr>
                <w:rFonts w:ascii="Montserrat" w:eastAsia="Calibri" w:hAnsi="Montserrat"/>
                <w:noProof/>
                <w:sz w:val="14"/>
                <w:szCs w:val="14"/>
                <w:lang w:val="es-MX" w:eastAsia="en-US"/>
              </w:rPr>
            </w:pPr>
            <w:r w:rsidRPr="00A76F9D">
              <w:rPr>
                <w:rFonts w:ascii="Montserrat" w:eastAsia="Calibri" w:hAnsi="Montserrat"/>
                <w:noProof/>
                <w:sz w:val="14"/>
                <w:szCs w:val="14"/>
                <w:lang w:val="es-MX" w:eastAsia="en-US"/>
              </w:rPr>
              <w:t>Secretaría de Ecología y Medio Ambiente</w:t>
            </w:r>
          </w:p>
        </w:tc>
        <w:tc>
          <w:tcPr>
            <w:tcW w:w="992" w:type="dxa"/>
            <w:shd w:val="clear" w:color="auto" w:fill="auto"/>
            <w:vAlign w:val="center"/>
          </w:tcPr>
          <w:p w14:paraId="6168AB44" w14:textId="77777777" w:rsidR="009C733C" w:rsidRPr="00A76F9D" w:rsidRDefault="009C733C" w:rsidP="002F131C">
            <w:pPr>
              <w:jc w:val="center"/>
              <w:rPr>
                <w:rFonts w:ascii="Montserrat" w:eastAsia="Calibri" w:hAnsi="Montserrat"/>
                <w:noProof/>
                <w:sz w:val="14"/>
                <w:szCs w:val="14"/>
                <w:lang w:val="es-MX" w:eastAsia="en-US"/>
              </w:rPr>
            </w:pPr>
            <w:r w:rsidRPr="00A76F9D">
              <w:rPr>
                <w:rFonts w:ascii="Montserrat" w:eastAsia="Calibri" w:hAnsi="Montserrat"/>
                <w:noProof/>
                <w:sz w:val="14"/>
                <w:szCs w:val="14"/>
                <w:lang w:val="es-MX" w:eastAsia="en-US"/>
              </w:rPr>
              <w:t>2025</w:t>
            </w:r>
          </w:p>
        </w:tc>
        <w:tc>
          <w:tcPr>
            <w:tcW w:w="1276" w:type="dxa"/>
            <w:shd w:val="clear" w:color="auto" w:fill="auto"/>
            <w:vAlign w:val="center"/>
          </w:tcPr>
          <w:p w14:paraId="077F3F0D" w14:textId="77777777" w:rsidR="009C733C" w:rsidRPr="00A76F9D" w:rsidRDefault="009C733C" w:rsidP="002F131C">
            <w:pPr>
              <w:jc w:val="both"/>
              <w:rPr>
                <w:rFonts w:ascii="Montserrat" w:eastAsia="Times New Roman" w:hAnsi="Montserrat" w:cs="Futura Medium"/>
                <w:noProof/>
                <w:sz w:val="14"/>
                <w:szCs w:val="14"/>
                <w:lang w:val="es-MX" w:eastAsia="en-US"/>
              </w:rPr>
            </w:pPr>
            <w:r w:rsidRPr="00A76F9D">
              <w:rPr>
                <w:rFonts w:ascii="Montserrat" w:eastAsia="Times New Roman" w:hAnsi="Montserrat" w:cs="Futura Medium"/>
                <w:noProof/>
                <w:sz w:val="14"/>
                <w:szCs w:val="14"/>
                <w:lang w:val="es-MX" w:eastAsia="en-US"/>
              </w:rPr>
              <w:t>F/2004216</w:t>
            </w:r>
          </w:p>
        </w:tc>
        <w:tc>
          <w:tcPr>
            <w:tcW w:w="3260" w:type="dxa"/>
            <w:shd w:val="clear" w:color="auto" w:fill="auto"/>
            <w:vAlign w:val="center"/>
          </w:tcPr>
          <w:p w14:paraId="37A2860D"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Fideicomiso 2004216 para el Manejo Integral de la Zona Costera, Desarrollo Social y Seguridad para el Estado de Quintana Roo.</w:t>
            </w:r>
          </w:p>
        </w:tc>
        <w:tc>
          <w:tcPr>
            <w:tcW w:w="1559" w:type="dxa"/>
            <w:shd w:val="clear" w:color="auto" w:fill="auto"/>
            <w:vAlign w:val="center"/>
          </w:tcPr>
          <w:p w14:paraId="70FD80A1"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Gobierno del Estado de Quintana Roo</w:t>
            </w:r>
          </w:p>
        </w:tc>
        <w:tc>
          <w:tcPr>
            <w:tcW w:w="1701" w:type="dxa"/>
            <w:shd w:val="clear" w:color="auto" w:fill="auto"/>
            <w:vAlign w:val="center"/>
          </w:tcPr>
          <w:p w14:paraId="483C8D82"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Banco Santander (México</w:t>
            </w:r>
          </w:p>
        </w:tc>
      </w:tr>
      <w:tr w:rsidR="009C733C" w:rsidRPr="00A76F9D" w14:paraId="3E740C6C" w14:textId="77777777" w:rsidTr="0073145B">
        <w:tc>
          <w:tcPr>
            <w:tcW w:w="1526" w:type="dxa"/>
            <w:shd w:val="clear" w:color="auto" w:fill="auto"/>
            <w:vAlign w:val="center"/>
          </w:tcPr>
          <w:p w14:paraId="62B960B5" w14:textId="77777777" w:rsidR="009C733C" w:rsidRPr="00A76F9D" w:rsidRDefault="009C733C" w:rsidP="002F131C">
            <w:pPr>
              <w:jc w:val="center"/>
              <w:rPr>
                <w:rFonts w:ascii="Montserrat" w:eastAsia="Calibri" w:hAnsi="Montserrat"/>
                <w:noProof/>
                <w:sz w:val="14"/>
                <w:szCs w:val="14"/>
                <w:lang w:val="es-MX" w:eastAsia="en-US"/>
              </w:rPr>
            </w:pPr>
            <w:r w:rsidRPr="00A76F9D">
              <w:rPr>
                <w:rFonts w:ascii="Montserrat" w:eastAsia="Calibri" w:hAnsi="Montserrat"/>
                <w:noProof/>
                <w:sz w:val="14"/>
                <w:szCs w:val="14"/>
                <w:lang w:val="es-MX" w:eastAsia="en-US"/>
              </w:rPr>
              <w:t>Secretaría de Gobierno (SEGOB)</w:t>
            </w:r>
          </w:p>
        </w:tc>
        <w:tc>
          <w:tcPr>
            <w:tcW w:w="992" w:type="dxa"/>
            <w:shd w:val="clear" w:color="auto" w:fill="auto"/>
            <w:vAlign w:val="center"/>
          </w:tcPr>
          <w:p w14:paraId="7CBFDD09" w14:textId="77777777" w:rsidR="009C733C" w:rsidRPr="00A76F9D" w:rsidRDefault="009C733C" w:rsidP="002F131C">
            <w:pPr>
              <w:jc w:val="center"/>
              <w:rPr>
                <w:rFonts w:ascii="Montserrat" w:eastAsia="Calibri" w:hAnsi="Montserrat"/>
                <w:noProof/>
                <w:sz w:val="14"/>
                <w:szCs w:val="14"/>
                <w:lang w:val="es-MX" w:eastAsia="en-US"/>
              </w:rPr>
            </w:pPr>
            <w:r w:rsidRPr="00A76F9D">
              <w:rPr>
                <w:rFonts w:ascii="Montserrat" w:eastAsia="Calibri" w:hAnsi="Montserrat"/>
                <w:noProof/>
                <w:sz w:val="14"/>
                <w:szCs w:val="14"/>
                <w:lang w:val="es-MX" w:eastAsia="en-US"/>
              </w:rPr>
              <w:t>2025</w:t>
            </w:r>
          </w:p>
        </w:tc>
        <w:tc>
          <w:tcPr>
            <w:tcW w:w="1276" w:type="dxa"/>
            <w:shd w:val="clear" w:color="auto" w:fill="auto"/>
            <w:vAlign w:val="center"/>
          </w:tcPr>
          <w:p w14:paraId="678FA7F1" w14:textId="77777777" w:rsidR="009C733C" w:rsidRPr="00A76F9D" w:rsidRDefault="009C733C" w:rsidP="002F131C">
            <w:pPr>
              <w:jc w:val="center"/>
              <w:rPr>
                <w:rFonts w:ascii="Montserrat" w:eastAsia="Times New Roman" w:hAnsi="Montserrat" w:cs="Futura Medium"/>
                <w:noProof/>
                <w:sz w:val="14"/>
                <w:szCs w:val="14"/>
                <w:lang w:val="es-MX" w:eastAsia="en-US"/>
              </w:rPr>
            </w:pPr>
            <w:r w:rsidRPr="00A76F9D">
              <w:rPr>
                <w:rFonts w:ascii="Montserrat" w:eastAsia="Times New Roman" w:hAnsi="Montserrat" w:cs="Futura Medium"/>
                <w:noProof/>
                <w:sz w:val="14"/>
                <w:szCs w:val="14"/>
                <w:lang w:val="es-MX" w:eastAsia="en-US"/>
              </w:rPr>
              <w:t>F/2230</w:t>
            </w:r>
          </w:p>
        </w:tc>
        <w:tc>
          <w:tcPr>
            <w:tcW w:w="3260" w:type="dxa"/>
            <w:shd w:val="clear" w:color="auto" w:fill="auto"/>
            <w:vAlign w:val="center"/>
          </w:tcPr>
          <w:p w14:paraId="0D2AA431"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Fideicomiso Irrevocable de Inversión y Administración del Estado de Quintana Roo para la Implementación del Sistema de Justicia Penal.</w:t>
            </w:r>
          </w:p>
        </w:tc>
        <w:tc>
          <w:tcPr>
            <w:tcW w:w="1559" w:type="dxa"/>
            <w:shd w:val="clear" w:color="auto" w:fill="auto"/>
            <w:vAlign w:val="center"/>
          </w:tcPr>
          <w:p w14:paraId="37E9A4E6"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Gobierno del Estado de Quintana Roo</w:t>
            </w:r>
          </w:p>
        </w:tc>
        <w:tc>
          <w:tcPr>
            <w:tcW w:w="1701" w:type="dxa"/>
            <w:shd w:val="clear" w:color="auto" w:fill="auto"/>
            <w:vAlign w:val="center"/>
          </w:tcPr>
          <w:p w14:paraId="1967CEC5"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Banco Nacional de Obras y Servicios Públicos, S.N.C.</w:t>
            </w:r>
          </w:p>
        </w:tc>
      </w:tr>
      <w:tr w:rsidR="009C733C" w:rsidRPr="00A76F9D" w14:paraId="0F644069" w14:textId="77777777" w:rsidTr="00D51385">
        <w:trPr>
          <w:trHeight w:val="1035"/>
        </w:trPr>
        <w:tc>
          <w:tcPr>
            <w:tcW w:w="1526" w:type="dxa"/>
            <w:shd w:val="clear" w:color="auto" w:fill="auto"/>
            <w:vAlign w:val="center"/>
          </w:tcPr>
          <w:p w14:paraId="050D4F33" w14:textId="77777777" w:rsidR="009C733C" w:rsidRPr="00A76F9D" w:rsidRDefault="009C733C" w:rsidP="002F131C">
            <w:pPr>
              <w:jc w:val="center"/>
              <w:rPr>
                <w:rFonts w:ascii="Montserrat" w:eastAsia="Calibri" w:hAnsi="Montserrat"/>
                <w:noProof/>
                <w:sz w:val="14"/>
                <w:szCs w:val="14"/>
                <w:lang w:val="es-MX" w:eastAsia="en-US"/>
              </w:rPr>
            </w:pPr>
            <w:r w:rsidRPr="00A76F9D">
              <w:rPr>
                <w:rFonts w:ascii="Montserrat" w:eastAsia="Calibri" w:hAnsi="Montserrat"/>
                <w:noProof/>
                <w:sz w:val="14"/>
                <w:szCs w:val="14"/>
                <w:lang w:val="es-MX" w:eastAsia="en-US"/>
              </w:rPr>
              <w:t>Secretaría de Seguridad Ciudadana (SSC)</w:t>
            </w:r>
          </w:p>
        </w:tc>
        <w:tc>
          <w:tcPr>
            <w:tcW w:w="992" w:type="dxa"/>
            <w:shd w:val="clear" w:color="auto" w:fill="auto"/>
            <w:vAlign w:val="center"/>
          </w:tcPr>
          <w:p w14:paraId="6AA40156" w14:textId="77777777" w:rsidR="009C733C" w:rsidRPr="00A76F9D" w:rsidRDefault="009C733C" w:rsidP="002F131C">
            <w:pPr>
              <w:jc w:val="center"/>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2025</w:t>
            </w:r>
          </w:p>
        </w:tc>
        <w:tc>
          <w:tcPr>
            <w:tcW w:w="1276" w:type="dxa"/>
            <w:shd w:val="clear" w:color="auto" w:fill="auto"/>
            <w:vAlign w:val="center"/>
          </w:tcPr>
          <w:p w14:paraId="30D427B8" w14:textId="77777777" w:rsidR="009C733C" w:rsidRPr="00A76F9D" w:rsidRDefault="009C733C" w:rsidP="002F131C">
            <w:pPr>
              <w:jc w:val="center"/>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753</w:t>
            </w:r>
            <w:r w:rsidRPr="00A76F9D">
              <w:rPr>
                <w:rFonts w:ascii="Montserrat" w:eastAsia="Times New Roman" w:hAnsi="Montserrat" w:cs="Futura Medium"/>
                <w:noProof/>
                <w:sz w:val="14"/>
                <w:szCs w:val="14"/>
                <w:lang w:val="es-MX" w:eastAsia="en-US"/>
              </w:rPr>
              <w:t>641</w:t>
            </w:r>
          </w:p>
        </w:tc>
        <w:tc>
          <w:tcPr>
            <w:tcW w:w="3260" w:type="dxa"/>
            <w:shd w:val="clear" w:color="auto" w:fill="auto"/>
            <w:vAlign w:val="center"/>
          </w:tcPr>
          <w:p w14:paraId="4F8588A0" w14:textId="77777777" w:rsidR="00D51385" w:rsidRDefault="00D51385" w:rsidP="00D51385">
            <w:pPr>
              <w:rPr>
                <w:rFonts w:ascii="Montserrat" w:eastAsia="Times New Roman" w:hAnsi="Montserrat" w:cs="Futura Medium"/>
                <w:noProof/>
                <w:color w:val="000000"/>
                <w:sz w:val="14"/>
                <w:szCs w:val="14"/>
                <w:lang w:val="es-MX" w:eastAsia="en-US"/>
              </w:rPr>
            </w:pPr>
          </w:p>
          <w:p w14:paraId="42B251C9" w14:textId="77777777" w:rsidR="00D51385" w:rsidRDefault="00D51385" w:rsidP="00D51385">
            <w:pPr>
              <w:rPr>
                <w:rFonts w:ascii="Montserrat" w:eastAsia="Times New Roman" w:hAnsi="Montserrat" w:cs="Futura Medium"/>
                <w:noProof/>
                <w:color w:val="000000"/>
                <w:sz w:val="14"/>
                <w:szCs w:val="14"/>
                <w:lang w:val="es-MX" w:eastAsia="en-US"/>
              </w:rPr>
            </w:pPr>
          </w:p>
          <w:p w14:paraId="4DF873A5" w14:textId="77777777" w:rsidR="00D51385" w:rsidRDefault="00D51385" w:rsidP="00D51385">
            <w:pPr>
              <w:rPr>
                <w:rFonts w:ascii="Montserrat" w:eastAsia="Times New Roman" w:hAnsi="Montserrat" w:cs="Futura Medium"/>
                <w:noProof/>
                <w:color w:val="000000"/>
                <w:sz w:val="14"/>
                <w:szCs w:val="14"/>
                <w:lang w:val="es-MX" w:eastAsia="en-US"/>
              </w:rPr>
            </w:pPr>
          </w:p>
          <w:p w14:paraId="5CF58495" w14:textId="77777777" w:rsidR="00AE267F" w:rsidRDefault="009C733C" w:rsidP="00D51385">
            <w:pPr>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Fideicomiso Irrevocable de Administración, Inversión y Fuente de Pago Denominado “Fideicomiso para el Fortalecimiento de la Segurid</w:t>
            </w:r>
            <w:r w:rsidR="00D51385">
              <w:rPr>
                <w:rFonts w:ascii="Montserrat" w:eastAsia="Times New Roman" w:hAnsi="Montserrat" w:cs="Futura Medium"/>
                <w:noProof/>
                <w:color w:val="000000"/>
                <w:sz w:val="14"/>
                <w:szCs w:val="14"/>
                <w:lang w:val="es-MX" w:eastAsia="en-US"/>
              </w:rPr>
              <w:t>ad del Estado de Quintana Roo”.</w:t>
            </w:r>
          </w:p>
          <w:p w14:paraId="4F7962CC" w14:textId="77777777" w:rsidR="00D51385" w:rsidRDefault="00D51385" w:rsidP="00D51385">
            <w:pPr>
              <w:rPr>
                <w:rFonts w:ascii="Montserrat" w:eastAsia="Times New Roman" w:hAnsi="Montserrat" w:cs="Futura Medium"/>
                <w:noProof/>
                <w:color w:val="000000"/>
                <w:sz w:val="14"/>
                <w:szCs w:val="14"/>
                <w:lang w:val="es-MX" w:eastAsia="en-US"/>
              </w:rPr>
            </w:pPr>
          </w:p>
          <w:p w14:paraId="7ED00E7D" w14:textId="77777777" w:rsidR="00D51385" w:rsidRDefault="00D51385" w:rsidP="00D51385">
            <w:pPr>
              <w:rPr>
                <w:rFonts w:ascii="Montserrat" w:eastAsia="Times New Roman" w:hAnsi="Montserrat" w:cs="Futura Medium"/>
                <w:noProof/>
                <w:color w:val="000000"/>
                <w:sz w:val="14"/>
                <w:szCs w:val="14"/>
                <w:lang w:val="es-MX" w:eastAsia="en-US"/>
              </w:rPr>
            </w:pPr>
          </w:p>
          <w:p w14:paraId="52422AEA" w14:textId="376FF422" w:rsidR="00D51385" w:rsidRPr="00A76F9D" w:rsidRDefault="00D51385" w:rsidP="00D51385">
            <w:pPr>
              <w:rPr>
                <w:rFonts w:ascii="Montserrat" w:eastAsia="Times New Roman" w:hAnsi="Montserrat" w:cs="Futura Medium"/>
                <w:noProof/>
                <w:color w:val="000000"/>
                <w:sz w:val="14"/>
                <w:szCs w:val="14"/>
                <w:lang w:val="es-MX" w:eastAsia="en-US"/>
              </w:rPr>
            </w:pPr>
          </w:p>
        </w:tc>
        <w:tc>
          <w:tcPr>
            <w:tcW w:w="1559" w:type="dxa"/>
            <w:shd w:val="clear" w:color="auto" w:fill="auto"/>
            <w:vAlign w:val="center"/>
          </w:tcPr>
          <w:p w14:paraId="4F752A00"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sz w:val="14"/>
                <w:szCs w:val="14"/>
                <w:lang w:val="es-MX" w:eastAsia="en-US"/>
              </w:rPr>
              <w:t>Gobierno del Estado de Quintana Roo</w:t>
            </w:r>
          </w:p>
        </w:tc>
        <w:tc>
          <w:tcPr>
            <w:tcW w:w="1701" w:type="dxa"/>
            <w:shd w:val="clear" w:color="auto" w:fill="auto"/>
            <w:vAlign w:val="center"/>
          </w:tcPr>
          <w:p w14:paraId="5CD9176B"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Banco Mercantil del Norte S.A.</w:t>
            </w:r>
          </w:p>
        </w:tc>
      </w:tr>
      <w:tr w:rsidR="009C733C" w:rsidRPr="00A76F9D" w14:paraId="1B68B892" w14:textId="77777777" w:rsidTr="0073145B">
        <w:tc>
          <w:tcPr>
            <w:tcW w:w="1526" w:type="dxa"/>
            <w:shd w:val="clear" w:color="auto" w:fill="auto"/>
            <w:vAlign w:val="center"/>
          </w:tcPr>
          <w:p w14:paraId="1407BC23" w14:textId="77777777" w:rsidR="009C733C" w:rsidRPr="00A76F9D" w:rsidRDefault="009C733C" w:rsidP="002F131C">
            <w:pPr>
              <w:jc w:val="center"/>
              <w:rPr>
                <w:rFonts w:ascii="Montserrat" w:eastAsia="Calibri" w:hAnsi="Montserrat"/>
                <w:noProof/>
                <w:sz w:val="14"/>
                <w:szCs w:val="14"/>
                <w:lang w:val="es-MX" w:eastAsia="en-US"/>
              </w:rPr>
            </w:pPr>
            <w:r w:rsidRPr="00A76F9D">
              <w:rPr>
                <w:rFonts w:ascii="Montserrat" w:eastAsia="Calibri" w:hAnsi="Montserrat"/>
                <w:noProof/>
                <w:sz w:val="14"/>
                <w:szCs w:val="14"/>
                <w:lang w:val="es-MX" w:eastAsia="en-US"/>
              </w:rPr>
              <w:t>Secretaría del Bienestar (SEBIEN)</w:t>
            </w:r>
          </w:p>
        </w:tc>
        <w:tc>
          <w:tcPr>
            <w:tcW w:w="992" w:type="dxa"/>
            <w:shd w:val="clear" w:color="auto" w:fill="auto"/>
            <w:vAlign w:val="center"/>
          </w:tcPr>
          <w:p w14:paraId="07C942D7" w14:textId="77777777" w:rsidR="009C733C" w:rsidRPr="00A76F9D" w:rsidRDefault="009C733C" w:rsidP="002F131C">
            <w:pPr>
              <w:jc w:val="center"/>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2025</w:t>
            </w:r>
          </w:p>
        </w:tc>
        <w:tc>
          <w:tcPr>
            <w:tcW w:w="1276" w:type="dxa"/>
            <w:shd w:val="clear" w:color="auto" w:fill="auto"/>
            <w:vAlign w:val="center"/>
          </w:tcPr>
          <w:p w14:paraId="4F15E774" w14:textId="77777777" w:rsidR="009C733C" w:rsidRPr="00A76F9D" w:rsidRDefault="009C733C" w:rsidP="002F131C">
            <w:pPr>
              <w:jc w:val="center"/>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753</w:t>
            </w:r>
            <w:r w:rsidRPr="00A76F9D">
              <w:rPr>
                <w:rFonts w:ascii="Montserrat" w:eastAsia="Times New Roman" w:hAnsi="Montserrat" w:cs="Futura Medium"/>
                <w:noProof/>
                <w:sz w:val="14"/>
                <w:szCs w:val="14"/>
                <w:lang w:val="es-MX" w:eastAsia="en-US"/>
              </w:rPr>
              <w:t>637</w:t>
            </w:r>
          </w:p>
        </w:tc>
        <w:tc>
          <w:tcPr>
            <w:tcW w:w="3260" w:type="dxa"/>
            <w:shd w:val="clear" w:color="auto" w:fill="auto"/>
            <w:vAlign w:val="center"/>
          </w:tcPr>
          <w:p w14:paraId="165D3392"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Fideicomiso Irrevocable de Administración, Inversión y Fuente de Pago Denominado “Fideicomiso del Bienestar del Estado de Quintana Roo”.</w:t>
            </w:r>
          </w:p>
        </w:tc>
        <w:tc>
          <w:tcPr>
            <w:tcW w:w="1559" w:type="dxa"/>
            <w:shd w:val="clear" w:color="auto" w:fill="auto"/>
            <w:vAlign w:val="center"/>
          </w:tcPr>
          <w:p w14:paraId="10902722"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sz w:val="14"/>
                <w:szCs w:val="14"/>
                <w:lang w:val="es-MX" w:eastAsia="en-US"/>
              </w:rPr>
              <w:t>Gobierno del Estado de Quintana Roo</w:t>
            </w:r>
          </w:p>
        </w:tc>
        <w:tc>
          <w:tcPr>
            <w:tcW w:w="1701" w:type="dxa"/>
            <w:shd w:val="clear" w:color="auto" w:fill="auto"/>
            <w:vAlign w:val="center"/>
          </w:tcPr>
          <w:p w14:paraId="0539F495"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Banco Mercantil del Norte S.A.</w:t>
            </w:r>
          </w:p>
        </w:tc>
      </w:tr>
      <w:tr w:rsidR="009C733C" w:rsidRPr="00A76F9D" w14:paraId="4092F1D1" w14:textId="77777777" w:rsidTr="00D51385">
        <w:trPr>
          <w:trHeight w:val="1022"/>
        </w:trPr>
        <w:tc>
          <w:tcPr>
            <w:tcW w:w="1526" w:type="dxa"/>
            <w:shd w:val="clear" w:color="auto" w:fill="auto"/>
            <w:vAlign w:val="center"/>
          </w:tcPr>
          <w:p w14:paraId="56DF293C" w14:textId="77777777" w:rsidR="009C733C" w:rsidRPr="00A76F9D" w:rsidRDefault="009C733C" w:rsidP="002F131C">
            <w:pPr>
              <w:jc w:val="center"/>
              <w:rPr>
                <w:rFonts w:ascii="Montserrat" w:eastAsia="Calibri" w:hAnsi="Montserrat"/>
                <w:noProof/>
                <w:sz w:val="14"/>
                <w:szCs w:val="14"/>
                <w:lang w:val="es-MX" w:eastAsia="en-US"/>
              </w:rPr>
            </w:pPr>
            <w:r w:rsidRPr="00A76F9D">
              <w:rPr>
                <w:rFonts w:ascii="Montserrat" w:eastAsia="Calibri" w:hAnsi="Montserrat"/>
                <w:noProof/>
                <w:sz w:val="14"/>
                <w:szCs w:val="14"/>
                <w:lang w:val="es-MX" w:eastAsia="en-US"/>
              </w:rPr>
              <w:lastRenderedPageBreak/>
              <w:t>Secretaría de Salud (SSA) y Sevicios Estatales de Salud (SESA)</w:t>
            </w:r>
          </w:p>
          <w:p w14:paraId="4A3DB893" w14:textId="77777777" w:rsidR="00AE267F" w:rsidRPr="00A76F9D" w:rsidRDefault="00AE267F" w:rsidP="002F131C">
            <w:pPr>
              <w:jc w:val="center"/>
              <w:rPr>
                <w:rFonts w:ascii="Montserrat" w:eastAsia="Calibri" w:hAnsi="Montserrat"/>
                <w:noProof/>
                <w:sz w:val="14"/>
                <w:szCs w:val="14"/>
                <w:lang w:val="es-MX" w:eastAsia="en-US"/>
              </w:rPr>
            </w:pPr>
          </w:p>
          <w:p w14:paraId="3CDEC7EE" w14:textId="77777777" w:rsidR="00AE267F" w:rsidRPr="00A76F9D" w:rsidRDefault="00AE267F" w:rsidP="002F131C">
            <w:pPr>
              <w:jc w:val="center"/>
              <w:rPr>
                <w:rFonts w:ascii="Montserrat" w:eastAsia="Calibri" w:hAnsi="Montserrat"/>
                <w:noProof/>
                <w:sz w:val="14"/>
                <w:szCs w:val="14"/>
                <w:lang w:val="es-MX" w:eastAsia="en-US"/>
              </w:rPr>
            </w:pPr>
          </w:p>
          <w:p w14:paraId="1B7D749C" w14:textId="77777777" w:rsidR="00AE267F" w:rsidRPr="00A76F9D" w:rsidRDefault="00AE267F" w:rsidP="002F131C">
            <w:pPr>
              <w:jc w:val="center"/>
              <w:rPr>
                <w:rFonts w:ascii="Montserrat" w:eastAsia="Calibri" w:hAnsi="Montserrat"/>
                <w:noProof/>
                <w:sz w:val="14"/>
                <w:szCs w:val="14"/>
                <w:lang w:val="es-MX" w:eastAsia="en-US"/>
              </w:rPr>
            </w:pPr>
          </w:p>
        </w:tc>
        <w:tc>
          <w:tcPr>
            <w:tcW w:w="992" w:type="dxa"/>
            <w:shd w:val="clear" w:color="auto" w:fill="auto"/>
            <w:vAlign w:val="center"/>
          </w:tcPr>
          <w:p w14:paraId="36EF47A9" w14:textId="77777777" w:rsidR="009C733C" w:rsidRPr="00A76F9D" w:rsidRDefault="009C733C" w:rsidP="002F131C">
            <w:pPr>
              <w:jc w:val="center"/>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2025</w:t>
            </w:r>
          </w:p>
        </w:tc>
        <w:tc>
          <w:tcPr>
            <w:tcW w:w="1276" w:type="dxa"/>
            <w:shd w:val="clear" w:color="auto" w:fill="auto"/>
            <w:vAlign w:val="center"/>
          </w:tcPr>
          <w:p w14:paraId="149CE0B6" w14:textId="77777777" w:rsidR="009C733C" w:rsidRPr="00A76F9D" w:rsidRDefault="009C733C" w:rsidP="002F131C">
            <w:pPr>
              <w:jc w:val="center"/>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753</w:t>
            </w:r>
            <w:r w:rsidRPr="00A76F9D">
              <w:rPr>
                <w:rFonts w:ascii="Montserrat" w:eastAsia="Times New Roman" w:hAnsi="Montserrat" w:cs="Futura Medium"/>
                <w:noProof/>
                <w:sz w:val="14"/>
                <w:szCs w:val="14"/>
                <w:lang w:val="es-MX" w:eastAsia="en-US"/>
              </w:rPr>
              <w:t>639</w:t>
            </w:r>
          </w:p>
        </w:tc>
        <w:tc>
          <w:tcPr>
            <w:tcW w:w="3260" w:type="dxa"/>
            <w:shd w:val="clear" w:color="auto" w:fill="auto"/>
            <w:vAlign w:val="center"/>
          </w:tcPr>
          <w:p w14:paraId="61655013"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Fideicomiso Irrevocable de Administración, Inversión y Fuente de Pago Denominado “Fideicomiso para el Mejoramiento de la Salud en el Estado de Quintana Roo”.</w:t>
            </w:r>
          </w:p>
        </w:tc>
        <w:tc>
          <w:tcPr>
            <w:tcW w:w="1559" w:type="dxa"/>
            <w:shd w:val="clear" w:color="auto" w:fill="auto"/>
            <w:vAlign w:val="center"/>
          </w:tcPr>
          <w:p w14:paraId="06BDDE52"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sz w:val="14"/>
                <w:szCs w:val="14"/>
                <w:lang w:val="es-MX" w:eastAsia="en-US"/>
              </w:rPr>
              <w:t>Gobierno del Estado de Quintana Roo</w:t>
            </w:r>
          </w:p>
        </w:tc>
        <w:tc>
          <w:tcPr>
            <w:tcW w:w="1701" w:type="dxa"/>
            <w:shd w:val="clear" w:color="auto" w:fill="auto"/>
            <w:vAlign w:val="center"/>
          </w:tcPr>
          <w:p w14:paraId="3D06951B"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Banco Mercantil del Norte S.A.</w:t>
            </w:r>
          </w:p>
        </w:tc>
      </w:tr>
      <w:tr w:rsidR="009C733C" w:rsidRPr="00A76F9D" w14:paraId="0CF27708" w14:textId="77777777" w:rsidTr="0073145B">
        <w:tc>
          <w:tcPr>
            <w:tcW w:w="1526" w:type="dxa"/>
            <w:shd w:val="clear" w:color="auto" w:fill="auto"/>
            <w:vAlign w:val="center"/>
          </w:tcPr>
          <w:p w14:paraId="6053C3ED" w14:textId="77777777" w:rsidR="009C733C" w:rsidRPr="00A76F9D" w:rsidRDefault="009C733C" w:rsidP="002F131C">
            <w:pPr>
              <w:jc w:val="center"/>
              <w:rPr>
                <w:rFonts w:ascii="Montserrat" w:eastAsia="Calibri" w:hAnsi="Montserrat"/>
                <w:noProof/>
                <w:sz w:val="14"/>
                <w:szCs w:val="14"/>
                <w:lang w:val="es-MX" w:eastAsia="en-US"/>
              </w:rPr>
            </w:pPr>
            <w:r w:rsidRPr="00A76F9D">
              <w:rPr>
                <w:rFonts w:ascii="Montserrat" w:eastAsia="Calibri" w:hAnsi="Montserrat"/>
                <w:noProof/>
                <w:sz w:val="14"/>
                <w:szCs w:val="14"/>
                <w:lang w:val="es-MX" w:eastAsia="en-US"/>
              </w:rPr>
              <w:t xml:space="preserve">Instituto de Biodiversidad y Áreas Naturales Protegidas </w:t>
            </w:r>
          </w:p>
          <w:p w14:paraId="0890559C" w14:textId="77777777" w:rsidR="009C733C" w:rsidRPr="00A76F9D" w:rsidRDefault="009C733C" w:rsidP="002F131C">
            <w:pPr>
              <w:jc w:val="center"/>
              <w:rPr>
                <w:rFonts w:ascii="Montserrat" w:eastAsia="Calibri" w:hAnsi="Montserrat"/>
                <w:noProof/>
                <w:sz w:val="14"/>
                <w:szCs w:val="14"/>
                <w:lang w:val="es-MX" w:eastAsia="en-US"/>
              </w:rPr>
            </w:pPr>
            <w:r w:rsidRPr="00A76F9D">
              <w:rPr>
                <w:rFonts w:ascii="Montserrat" w:eastAsia="Calibri" w:hAnsi="Montserrat"/>
                <w:noProof/>
                <w:sz w:val="14"/>
                <w:szCs w:val="14"/>
                <w:lang w:val="es-MX" w:eastAsia="en-US"/>
              </w:rPr>
              <w:t>(IBANQROO)</w:t>
            </w:r>
          </w:p>
        </w:tc>
        <w:tc>
          <w:tcPr>
            <w:tcW w:w="992" w:type="dxa"/>
            <w:shd w:val="clear" w:color="auto" w:fill="auto"/>
            <w:vAlign w:val="center"/>
          </w:tcPr>
          <w:p w14:paraId="2430F47A" w14:textId="77777777" w:rsidR="009C733C" w:rsidRPr="00A76F9D" w:rsidRDefault="009C733C" w:rsidP="002F131C">
            <w:pPr>
              <w:jc w:val="center"/>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2025</w:t>
            </w:r>
          </w:p>
        </w:tc>
        <w:tc>
          <w:tcPr>
            <w:tcW w:w="1276" w:type="dxa"/>
            <w:shd w:val="clear" w:color="auto" w:fill="auto"/>
            <w:vAlign w:val="center"/>
          </w:tcPr>
          <w:p w14:paraId="051FA5A5" w14:textId="77777777" w:rsidR="009C733C" w:rsidRPr="00A76F9D" w:rsidRDefault="009C733C" w:rsidP="002F131C">
            <w:pPr>
              <w:jc w:val="center"/>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2460773</w:t>
            </w:r>
          </w:p>
        </w:tc>
        <w:tc>
          <w:tcPr>
            <w:tcW w:w="3260" w:type="dxa"/>
            <w:shd w:val="clear" w:color="auto" w:fill="auto"/>
            <w:vAlign w:val="center"/>
          </w:tcPr>
          <w:p w14:paraId="2A225CB2"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Fideicomiso de Administración e Inversión Denominado “Fideicomiso para Apoyar los Programas y Proyectos para la Conservación de la Biodiversidad en el Estado de Quintana Roo”</w:t>
            </w:r>
          </w:p>
        </w:tc>
        <w:tc>
          <w:tcPr>
            <w:tcW w:w="1559" w:type="dxa"/>
            <w:shd w:val="clear" w:color="auto" w:fill="auto"/>
            <w:vAlign w:val="center"/>
          </w:tcPr>
          <w:p w14:paraId="034AE385" w14:textId="77777777" w:rsidR="009C733C" w:rsidRPr="00A76F9D" w:rsidRDefault="009C733C" w:rsidP="002F131C">
            <w:pPr>
              <w:jc w:val="both"/>
              <w:rPr>
                <w:rFonts w:ascii="Montserrat" w:eastAsia="Times New Roman" w:hAnsi="Montserrat" w:cs="Futura Medium"/>
                <w:noProof/>
                <w:sz w:val="14"/>
                <w:szCs w:val="14"/>
                <w:lang w:val="es-MX" w:eastAsia="en-US"/>
              </w:rPr>
            </w:pPr>
            <w:r w:rsidRPr="00A76F9D">
              <w:rPr>
                <w:rFonts w:ascii="Montserrat" w:eastAsia="Times New Roman" w:hAnsi="Montserrat" w:cs="Futura Medium"/>
                <w:noProof/>
                <w:sz w:val="14"/>
                <w:szCs w:val="14"/>
                <w:lang w:val="es-MX" w:eastAsia="en-US"/>
              </w:rPr>
              <w:t>Gobierno del Estado de Quintana Roo</w:t>
            </w:r>
          </w:p>
        </w:tc>
        <w:tc>
          <w:tcPr>
            <w:tcW w:w="1701" w:type="dxa"/>
            <w:shd w:val="clear" w:color="auto" w:fill="auto"/>
            <w:vAlign w:val="center"/>
          </w:tcPr>
          <w:p w14:paraId="6B072A66"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Banco Santander México, S.A.</w:t>
            </w:r>
          </w:p>
        </w:tc>
      </w:tr>
      <w:tr w:rsidR="009C733C" w:rsidRPr="00A76F9D" w14:paraId="68755647" w14:textId="77777777" w:rsidTr="0073145B">
        <w:tc>
          <w:tcPr>
            <w:tcW w:w="1526" w:type="dxa"/>
            <w:shd w:val="clear" w:color="auto" w:fill="auto"/>
          </w:tcPr>
          <w:p w14:paraId="4CCD2E92" w14:textId="77777777" w:rsidR="009C733C" w:rsidRPr="00A76F9D" w:rsidRDefault="009C733C" w:rsidP="002F131C">
            <w:pPr>
              <w:jc w:val="both"/>
              <w:rPr>
                <w:rFonts w:ascii="Montserrat" w:eastAsia="Calibri" w:hAnsi="Montserrat"/>
                <w:noProof/>
                <w:sz w:val="14"/>
                <w:szCs w:val="14"/>
                <w:lang w:val="es-MX" w:eastAsia="en-US"/>
              </w:rPr>
            </w:pPr>
            <w:r w:rsidRPr="00A76F9D">
              <w:rPr>
                <w:rFonts w:ascii="Montserrat" w:eastAsia="Calibri" w:hAnsi="Montserrat"/>
                <w:noProof/>
                <w:sz w:val="14"/>
                <w:szCs w:val="14"/>
                <w:lang w:val="es-MX" w:eastAsia="en-US"/>
              </w:rPr>
              <w:t>Comisión Ejecutiva de Atención a Victimas del Edo de Q. Roo (CEAVEQROO)</w:t>
            </w:r>
          </w:p>
        </w:tc>
        <w:tc>
          <w:tcPr>
            <w:tcW w:w="992" w:type="dxa"/>
            <w:shd w:val="clear" w:color="auto" w:fill="auto"/>
            <w:vAlign w:val="center"/>
          </w:tcPr>
          <w:p w14:paraId="76806782" w14:textId="77777777" w:rsidR="009C733C" w:rsidRPr="00A76F9D" w:rsidRDefault="009C733C" w:rsidP="002F131C">
            <w:pPr>
              <w:jc w:val="center"/>
              <w:rPr>
                <w:rFonts w:ascii="Montserrat" w:eastAsia="Calibri" w:hAnsi="Montserrat"/>
                <w:noProof/>
                <w:sz w:val="14"/>
                <w:szCs w:val="14"/>
                <w:lang w:val="es-MX" w:eastAsia="en-US"/>
              </w:rPr>
            </w:pPr>
            <w:r w:rsidRPr="00A76F9D">
              <w:rPr>
                <w:rFonts w:ascii="Montserrat" w:eastAsia="Calibri" w:hAnsi="Montserrat"/>
                <w:noProof/>
                <w:sz w:val="14"/>
                <w:szCs w:val="14"/>
                <w:lang w:val="es-MX" w:eastAsia="en-US"/>
              </w:rPr>
              <w:t>2025</w:t>
            </w:r>
          </w:p>
        </w:tc>
        <w:tc>
          <w:tcPr>
            <w:tcW w:w="1276" w:type="dxa"/>
            <w:shd w:val="clear" w:color="auto" w:fill="auto"/>
            <w:vAlign w:val="center"/>
          </w:tcPr>
          <w:p w14:paraId="370FE994" w14:textId="77777777" w:rsidR="009C733C" w:rsidRPr="00A76F9D" w:rsidRDefault="009C733C" w:rsidP="002F131C">
            <w:pPr>
              <w:jc w:val="center"/>
              <w:rPr>
                <w:rFonts w:ascii="Montserrat" w:eastAsia="Times New Roman" w:hAnsi="Montserrat" w:cs="Futura Medium"/>
                <w:noProof/>
                <w:sz w:val="14"/>
                <w:szCs w:val="14"/>
                <w:lang w:val="es-MX" w:eastAsia="en-US"/>
              </w:rPr>
            </w:pPr>
            <w:r w:rsidRPr="00A76F9D">
              <w:rPr>
                <w:rFonts w:ascii="Montserrat" w:eastAsia="Times New Roman" w:hAnsi="Montserrat" w:cs="Futura Medium"/>
                <w:noProof/>
                <w:sz w:val="14"/>
                <w:szCs w:val="14"/>
                <w:lang w:val="es-MX" w:eastAsia="en-US"/>
              </w:rPr>
              <w:t>10266</w:t>
            </w:r>
          </w:p>
        </w:tc>
        <w:tc>
          <w:tcPr>
            <w:tcW w:w="3260" w:type="dxa"/>
            <w:shd w:val="clear" w:color="auto" w:fill="auto"/>
            <w:vAlign w:val="center"/>
          </w:tcPr>
          <w:p w14:paraId="78809646"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sz w:val="14"/>
                <w:szCs w:val="14"/>
                <w:lang w:val="es-MX" w:eastAsia="en-US"/>
              </w:rPr>
              <w:t xml:space="preserve">Fideicomiso Fondo de Ayuda, Asistencia y Reparación Integral del Estado de Quintana Roo </w:t>
            </w:r>
          </w:p>
        </w:tc>
        <w:tc>
          <w:tcPr>
            <w:tcW w:w="1559" w:type="dxa"/>
            <w:shd w:val="clear" w:color="auto" w:fill="auto"/>
            <w:vAlign w:val="center"/>
          </w:tcPr>
          <w:p w14:paraId="7811EE84" w14:textId="77777777" w:rsidR="009C733C" w:rsidRPr="00A76F9D" w:rsidRDefault="009C733C" w:rsidP="002F131C">
            <w:pPr>
              <w:jc w:val="both"/>
              <w:rPr>
                <w:rFonts w:ascii="Montserrat" w:eastAsia="Times New Roman" w:hAnsi="Montserrat" w:cs="Futura Medium"/>
                <w:noProof/>
                <w:sz w:val="14"/>
                <w:szCs w:val="14"/>
                <w:lang w:val="es-MX" w:eastAsia="en-US"/>
              </w:rPr>
            </w:pPr>
            <w:r w:rsidRPr="00A76F9D">
              <w:rPr>
                <w:rFonts w:ascii="Montserrat" w:eastAsia="Times New Roman" w:hAnsi="Montserrat" w:cs="Futura Medium"/>
                <w:noProof/>
                <w:sz w:val="14"/>
                <w:szCs w:val="14"/>
                <w:lang w:val="es-MX" w:eastAsia="en-US"/>
              </w:rPr>
              <w:t>Gobierno del Estado de Quintana Roo</w:t>
            </w:r>
          </w:p>
        </w:tc>
        <w:tc>
          <w:tcPr>
            <w:tcW w:w="1701" w:type="dxa"/>
            <w:shd w:val="clear" w:color="auto" w:fill="auto"/>
            <w:vAlign w:val="center"/>
          </w:tcPr>
          <w:p w14:paraId="62F83E27"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sz w:val="14"/>
                <w:szCs w:val="14"/>
                <w:lang w:val="es-MX" w:eastAsia="en-US"/>
              </w:rPr>
              <w:t>Banco BANSI, S.A.</w:t>
            </w:r>
          </w:p>
        </w:tc>
      </w:tr>
      <w:tr w:rsidR="009C733C" w:rsidRPr="00A76F9D" w14:paraId="36254DE0" w14:textId="77777777" w:rsidTr="0073145B">
        <w:tc>
          <w:tcPr>
            <w:tcW w:w="1526" w:type="dxa"/>
            <w:shd w:val="clear" w:color="auto" w:fill="auto"/>
            <w:vAlign w:val="center"/>
          </w:tcPr>
          <w:p w14:paraId="787BC226" w14:textId="77777777" w:rsidR="009C733C" w:rsidRPr="00A76F9D" w:rsidRDefault="009C733C" w:rsidP="002F131C">
            <w:pPr>
              <w:jc w:val="center"/>
              <w:rPr>
                <w:rFonts w:ascii="Montserrat" w:eastAsia="Calibri" w:hAnsi="Montserrat"/>
                <w:noProof/>
                <w:sz w:val="14"/>
                <w:szCs w:val="14"/>
                <w:lang w:val="es-MX" w:eastAsia="en-US"/>
              </w:rPr>
            </w:pPr>
            <w:r w:rsidRPr="00A76F9D">
              <w:rPr>
                <w:rFonts w:ascii="Montserrat" w:eastAsia="Calibri" w:hAnsi="Montserrat"/>
                <w:noProof/>
                <w:sz w:val="14"/>
                <w:szCs w:val="14"/>
                <w:lang w:val="es-MX" w:eastAsia="en-US"/>
              </w:rPr>
              <w:t>Secretaría de Educación (SEQ)</w:t>
            </w:r>
          </w:p>
        </w:tc>
        <w:tc>
          <w:tcPr>
            <w:tcW w:w="992" w:type="dxa"/>
            <w:shd w:val="clear" w:color="auto" w:fill="auto"/>
            <w:vAlign w:val="center"/>
          </w:tcPr>
          <w:p w14:paraId="3ED41C46" w14:textId="77777777" w:rsidR="009C733C" w:rsidRPr="00A76F9D" w:rsidRDefault="009C733C" w:rsidP="002F131C">
            <w:pPr>
              <w:jc w:val="center"/>
              <w:rPr>
                <w:rFonts w:ascii="Montserrat" w:eastAsia="Calibri" w:hAnsi="Montserrat"/>
                <w:noProof/>
                <w:sz w:val="14"/>
                <w:szCs w:val="14"/>
                <w:lang w:val="es-MX" w:eastAsia="en-US"/>
              </w:rPr>
            </w:pPr>
            <w:r w:rsidRPr="00A76F9D">
              <w:rPr>
                <w:rFonts w:ascii="Montserrat" w:eastAsia="Calibri" w:hAnsi="Montserrat"/>
                <w:noProof/>
                <w:sz w:val="14"/>
                <w:szCs w:val="14"/>
                <w:lang w:val="es-MX" w:eastAsia="en-US"/>
              </w:rPr>
              <w:t>2025</w:t>
            </w:r>
          </w:p>
        </w:tc>
        <w:tc>
          <w:tcPr>
            <w:tcW w:w="1276" w:type="dxa"/>
            <w:shd w:val="clear" w:color="auto" w:fill="auto"/>
            <w:vAlign w:val="center"/>
          </w:tcPr>
          <w:p w14:paraId="6A4D75A1" w14:textId="77777777" w:rsidR="009C733C" w:rsidRPr="00A76F9D" w:rsidRDefault="009C733C" w:rsidP="002F131C">
            <w:pPr>
              <w:jc w:val="both"/>
              <w:rPr>
                <w:rFonts w:ascii="Montserrat" w:eastAsia="Times New Roman" w:hAnsi="Montserrat" w:cs="Futura Medium"/>
                <w:color w:val="000000"/>
                <w:sz w:val="14"/>
                <w:szCs w:val="14"/>
                <w:lang w:eastAsia="en-US"/>
              </w:rPr>
            </w:pPr>
            <w:r w:rsidRPr="00A76F9D">
              <w:rPr>
                <w:rFonts w:ascii="Montserrat" w:eastAsia="Times New Roman" w:hAnsi="Montserrat" w:cs="Futura Medium"/>
                <w:color w:val="000000"/>
                <w:sz w:val="14"/>
                <w:szCs w:val="14"/>
                <w:lang w:eastAsia="en-US"/>
              </w:rPr>
              <w:t>F/2460127</w:t>
            </w:r>
          </w:p>
          <w:p w14:paraId="38A69747" w14:textId="77777777" w:rsidR="009C733C" w:rsidRPr="00A76F9D" w:rsidRDefault="009C733C" w:rsidP="002F131C">
            <w:pPr>
              <w:jc w:val="center"/>
              <w:rPr>
                <w:rFonts w:ascii="Montserrat" w:eastAsia="Times New Roman" w:hAnsi="Montserrat" w:cs="Futura Medium"/>
                <w:noProof/>
                <w:sz w:val="14"/>
                <w:szCs w:val="14"/>
                <w:lang w:val="es-MX" w:eastAsia="en-US"/>
              </w:rPr>
            </w:pPr>
            <w:r w:rsidRPr="00A76F9D">
              <w:rPr>
                <w:rFonts w:ascii="Montserrat" w:eastAsia="Times New Roman" w:hAnsi="Montserrat" w:cs="Futura Medium"/>
                <w:color w:val="000000"/>
                <w:sz w:val="14"/>
                <w:szCs w:val="14"/>
                <w:lang w:eastAsia="en-US"/>
              </w:rPr>
              <w:t>Constituido el 29 junio 2000</w:t>
            </w:r>
          </w:p>
        </w:tc>
        <w:tc>
          <w:tcPr>
            <w:tcW w:w="3260" w:type="dxa"/>
            <w:shd w:val="clear" w:color="auto" w:fill="auto"/>
            <w:vAlign w:val="center"/>
          </w:tcPr>
          <w:p w14:paraId="6A0646F2" w14:textId="77777777" w:rsidR="009C733C" w:rsidRPr="00A76F9D" w:rsidRDefault="009C733C" w:rsidP="002F131C">
            <w:pPr>
              <w:jc w:val="both"/>
              <w:rPr>
                <w:rFonts w:ascii="Montserrat" w:eastAsia="Times New Roman" w:hAnsi="Montserrat" w:cs="Futura Medium"/>
                <w:color w:val="000000"/>
                <w:sz w:val="14"/>
                <w:szCs w:val="14"/>
              </w:rPr>
            </w:pPr>
            <w:r w:rsidRPr="00A76F9D">
              <w:rPr>
                <w:rFonts w:ascii="Montserrat" w:eastAsia="Times New Roman" w:hAnsi="Montserrat" w:cs="Futura Medium"/>
                <w:color w:val="000000"/>
                <w:sz w:val="14"/>
                <w:szCs w:val="14"/>
              </w:rPr>
              <w:t>Fondo de Apoyo al Programa Especial del Financiamiento a la Vivienda para el Magisterio del Estado de Quintana Roo</w:t>
            </w:r>
          </w:p>
          <w:p w14:paraId="0DDCAF0C"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color w:val="000000"/>
                <w:sz w:val="14"/>
                <w:szCs w:val="14"/>
              </w:rPr>
              <w:t>(FOVIMQROO)</w:t>
            </w:r>
          </w:p>
        </w:tc>
        <w:tc>
          <w:tcPr>
            <w:tcW w:w="1559" w:type="dxa"/>
            <w:shd w:val="clear" w:color="auto" w:fill="auto"/>
            <w:vAlign w:val="center"/>
          </w:tcPr>
          <w:p w14:paraId="66341FDF"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Gobierno del Estado de Quintana Roo</w:t>
            </w:r>
          </w:p>
        </w:tc>
        <w:tc>
          <w:tcPr>
            <w:tcW w:w="1701" w:type="dxa"/>
            <w:shd w:val="clear" w:color="auto" w:fill="auto"/>
            <w:vAlign w:val="center"/>
          </w:tcPr>
          <w:p w14:paraId="78B796E8"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Banco Santander México, S.A., Institución de Banca Múltiple, Grupo Financiero Santander México</w:t>
            </w:r>
          </w:p>
        </w:tc>
      </w:tr>
      <w:tr w:rsidR="009C733C" w:rsidRPr="00A76F9D" w14:paraId="13886FA8" w14:textId="77777777" w:rsidTr="0073145B">
        <w:tc>
          <w:tcPr>
            <w:tcW w:w="1526" w:type="dxa"/>
            <w:shd w:val="clear" w:color="auto" w:fill="auto"/>
            <w:vAlign w:val="center"/>
          </w:tcPr>
          <w:p w14:paraId="50294D23" w14:textId="77777777" w:rsidR="009C733C" w:rsidRPr="00A76F9D" w:rsidRDefault="009C733C" w:rsidP="002F131C">
            <w:pPr>
              <w:jc w:val="center"/>
              <w:rPr>
                <w:rFonts w:ascii="Montserrat" w:eastAsia="Calibri" w:hAnsi="Montserrat"/>
                <w:noProof/>
                <w:sz w:val="14"/>
                <w:szCs w:val="14"/>
                <w:lang w:val="es-MX" w:eastAsia="en-US"/>
              </w:rPr>
            </w:pPr>
            <w:r w:rsidRPr="00A76F9D">
              <w:rPr>
                <w:rFonts w:ascii="Montserrat" w:eastAsia="Calibri" w:hAnsi="Montserrat"/>
                <w:noProof/>
                <w:sz w:val="14"/>
                <w:szCs w:val="14"/>
                <w:lang w:val="es-MX" w:eastAsia="en-US"/>
              </w:rPr>
              <w:t>Secretaría de Educación (SEQ)</w:t>
            </w:r>
          </w:p>
        </w:tc>
        <w:tc>
          <w:tcPr>
            <w:tcW w:w="992" w:type="dxa"/>
            <w:shd w:val="clear" w:color="auto" w:fill="auto"/>
            <w:vAlign w:val="center"/>
          </w:tcPr>
          <w:p w14:paraId="5B810B7C" w14:textId="77777777" w:rsidR="009C733C" w:rsidRPr="00A76F9D" w:rsidRDefault="009C733C" w:rsidP="002F131C">
            <w:pPr>
              <w:jc w:val="center"/>
              <w:rPr>
                <w:rFonts w:ascii="Montserrat" w:eastAsia="Calibri" w:hAnsi="Montserrat"/>
                <w:noProof/>
                <w:sz w:val="14"/>
                <w:szCs w:val="14"/>
                <w:lang w:val="es-MX" w:eastAsia="en-US"/>
              </w:rPr>
            </w:pPr>
            <w:r w:rsidRPr="00A76F9D">
              <w:rPr>
                <w:rFonts w:ascii="Montserrat" w:eastAsia="Calibri" w:hAnsi="Montserrat"/>
                <w:noProof/>
                <w:sz w:val="14"/>
                <w:szCs w:val="14"/>
                <w:lang w:val="es-MX" w:eastAsia="en-US"/>
              </w:rPr>
              <w:t>2025</w:t>
            </w:r>
          </w:p>
        </w:tc>
        <w:tc>
          <w:tcPr>
            <w:tcW w:w="1276" w:type="dxa"/>
            <w:shd w:val="clear" w:color="auto" w:fill="auto"/>
            <w:vAlign w:val="center"/>
          </w:tcPr>
          <w:p w14:paraId="00A270BD" w14:textId="77777777" w:rsidR="009C733C" w:rsidRPr="00A76F9D" w:rsidRDefault="009C733C" w:rsidP="002F131C">
            <w:pPr>
              <w:jc w:val="both"/>
              <w:rPr>
                <w:rFonts w:ascii="Montserrat" w:eastAsia="Times New Roman" w:hAnsi="Montserrat" w:cs="Futura Medium"/>
                <w:color w:val="000000"/>
                <w:sz w:val="14"/>
                <w:szCs w:val="14"/>
                <w:lang w:eastAsia="en-US"/>
              </w:rPr>
            </w:pPr>
            <w:r w:rsidRPr="00A76F9D">
              <w:rPr>
                <w:rFonts w:ascii="Montserrat" w:eastAsia="Times New Roman" w:hAnsi="Montserrat" w:cs="Futura Medium"/>
                <w:color w:val="000000"/>
                <w:sz w:val="14"/>
                <w:szCs w:val="14"/>
                <w:lang w:eastAsia="en-US"/>
              </w:rPr>
              <w:t>F/2003408-1</w:t>
            </w:r>
          </w:p>
          <w:p w14:paraId="72CBAA38" w14:textId="77777777" w:rsidR="009C733C" w:rsidRPr="00A76F9D" w:rsidRDefault="009C733C" w:rsidP="002F131C">
            <w:pPr>
              <w:jc w:val="center"/>
              <w:rPr>
                <w:rFonts w:ascii="Montserrat" w:eastAsia="Times New Roman" w:hAnsi="Montserrat" w:cs="Futura Medium"/>
                <w:noProof/>
                <w:sz w:val="14"/>
                <w:szCs w:val="14"/>
                <w:lang w:val="es-MX" w:eastAsia="en-US"/>
              </w:rPr>
            </w:pPr>
            <w:r w:rsidRPr="00A76F9D">
              <w:rPr>
                <w:rFonts w:ascii="Montserrat" w:eastAsia="Times New Roman" w:hAnsi="Montserrat" w:cs="Futura Medium"/>
                <w:color w:val="000000"/>
                <w:sz w:val="14"/>
                <w:szCs w:val="14"/>
                <w:lang w:eastAsia="en-US"/>
              </w:rPr>
              <w:t>Constituido el 20 diciembre 2001</w:t>
            </w:r>
          </w:p>
        </w:tc>
        <w:tc>
          <w:tcPr>
            <w:tcW w:w="3260" w:type="dxa"/>
            <w:shd w:val="clear" w:color="auto" w:fill="auto"/>
            <w:vAlign w:val="center"/>
          </w:tcPr>
          <w:p w14:paraId="0A4E22F4"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Fideicomiso para la Operación del Programa de Tecnologías Educativas y de la Información para el Magisterio de Educación Básica del Estado de Quintana Roo (PROTEINQROO)</w:t>
            </w:r>
          </w:p>
        </w:tc>
        <w:tc>
          <w:tcPr>
            <w:tcW w:w="1559" w:type="dxa"/>
            <w:shd w:val="clear" w:color="auto" w:fill="auto"/>
            <w:vAlign w:val="center"/>
          </w:tcPr>
          <w:p w14:paraId="729FAC5A"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Gobierno del Estado de Quintana Roo</w:t>
            </w:r>
          </w:p>
        </w:tc>
        <w:tc>
          <w:tcPr>
            <w:tcW w:w="1701" w:type="dxa"/>
            <w:shd w:val="clear" w:color="auto" w:fill="auto"/>
            <w:vAlign w:val="center"/>
          </w:tcPr>
          <w:p w14:paraId="72A3DDFF"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Banco Santander México, S.A., Institución de Banca Múltiple, Grupo Financiero Santander México</w:t>
            </w:r>
          </w:p>
        </w:tc>
      </w:tr>
      <w:tr w:rsidR="009C733C" w:rsidRPr="00A76F9D" w14:paraId="23305261" w14:textId="77777777" w:rsidTr="0073145B">
        <w:tc>
          <w:tcPr>
            <w:tcW w:w="1526" w:type="dxa"/>
            <w:shd w:val="clear" w:color="auto" w:fill="auto"/>
            <w:vAlign w:val="center"/>
          </w:tcPr>
          <w:p w14:paraId="743048C9" w14:textId="77777777" w:rsidR="009C733C" w:rsidRPr="00A76F9D" w:rsidRDefault="009C733C" w:rsidP="002F131C">
            <w:pPr>
              <w:jc w:val="center"/>
              <w:rPr>
                <w:rFonts w:ascii="Montserrat" w:eastAsia="Calibri" w:hAnsi="Montserrat"/>
                <w:noProof/>
                <w:sz w:val="14"/>
                <w:szCs w:val="14"/>
                <w:lang w:val="es-MX" w:eastAsia="en-US"/>
              </w:rPr>
            </w:pPr>
            <w:r w:rsidRPr="00A76F9D">
              <w:rPr>
                <w:rFonts w:ascii="Montserrat" w:eastAsia="Calibri" w:hAnsi="Montserrat"/>
                <w:noProof/>
                <w:sz w:val="14"/>
                <w:szCs w:val="14"/>
                <w:lang w:val="es-MX" w:eastAsia="en-US"/>
              </w:rPr>
              <w:t>Asociación de Hoteles, Moteles y Casas de Huespedes de Chetumal, A.C. (HOTELERÍA DEL SUR)</w:t>
            </w:r>
          </w:p>
        </w:tc>
        <w:tc>
          <w:tcPr>
            <w:tcW w:w="992" w:type="dxa"/>
            <w:shd w:val="clear" w:color="auto" w:fill="auto"/>
            <w:vAlign w:val="center"/>
          </w:tcPr>
          <w:p w14:paraId="7B652F2B" w14:textId="77777777" w:rsidR="009C733C" w:rsidRPr="00A76F9D" w:rsidRDefault="009C733C" w:rsidP="002F131C">
            <w:pPr>
              <w:jc w:val="center"/>
              <w:rPr>
                <w:rFonts w:ascii="Montserrat" w:eastAsia="Calibri" w:hAnsi="Montserrat"/>
                <w:noProof/>
                <w:sz w:val="14"/>
                <w:szCs w:val="14"/>
                <w:lang w:val="es-MX" w:eastAsia="en-US"/>
              </w:rPr>
            </w:pPr>
            <w:r w:rsidRPr="00A76F9D">
              <w:rPr>
                <w:rFonts w:ascii="Montserrat" w:eastAsia="Calibri" w:hAnsi="Montserrat"/>
                <w:noProof/>
                <w:sz w:val="14"/>
                <w:szCs w:val="14"/>
                <w:lang w:val="es-MX" w:eastAsia="en-US"/>
              </w:rPr>
              <w:t>2025</w:t>
            </w:r>
          </w:p>
        </w:tc>
        <w:tc>
          <w:tcPr>
            <w:tcW w:w="1276" w:type="dxa"/>
            <w:shd w:val="clear" w:color="auto" w:fill="auto"/>
            <w:vAlign w:val="center"/>
          </w:tcPr>
          <w:p w14:paraId="73CF710A" w14:textId="77777777" w:rsidR="009C733C" w:rsidRPr="00A76F9D" w:rsidRDefault="009C733C" w:rsidP="002F131C">
            <w:pPr>
              <w:jc w:val="both"/>
              <w:rPr>
                <w:rFonts w:ascii="Montserrat" w:eastAsia="Times New Roman" w:hAnsi="Montserrat" w:cs="Futura Medium"/>
                <w:color w:val="000000"/>
                <w:sz w:val="14"/>
                <w:szCs w:val="14"/>
                <w:lang w:eastAsia="en-US"/>
              </w:rPr>
            </w:pPr>
            <w:r w:rsidRPr="00A76F9D">
              <w:rPr>
                <w:rFonts w:ascii="Montserrat" w:eastAsia="Times New Roman" w:hAnsi="Montserrat" w:cs="Futura Medium"/>
                <w:color w:val="000000"/>
                <w:sz w:val="14"/>
                <w:szCs w:val="14"/>
                <w:lang w:eastAsia="en-US"/>
              </w:rPr>
              <w:t>F/160436-6</w:t>
            </w:r>
          </w:p>
          <w:p w14:paraId="7830868A" w14:textId="77777777" w:rsidR="009C733C" w:rsidRPr="00A76F9D" w:rsidRDefault="009C733C" w:rsidP="002F131C">
            <w:pPr>
              <w:jc w:val="center"/>
              <w:rPr>
                <w:rFonts w:ascii="Montserrat" w:eastAsia="Times New Roman" w:hAnsi="Montserrat" w:cs="Futura Medium"/>
                <w:noProof/>
                <w:sz w:val="14"/>
                <w:szCs w:val="14"/>
                <w:lang w:val="es-MX" w:eastAsia="en-US"/>
              </w:rPr>
            </w:pPr>
            <w:r w:rsidRPr="00A76F9D">
              <w:rPr>
                <w:rFonts w:ascii="Montserrat" w:eastAsia="Times New Roman" w:hAnsi="Montserrat" w:cs="Futura Medium"/>
                <w:color w:val="000000"/>
                <w:sz w:val="14"/>
                <w:szCs w:val="14"/>
                <w:lang w:eastAsia="en-US"/>
              </w:rPr>
              <w:t>Constituido el 20 abril 1998</w:t>
            </w:r>
          </w:p>
        </w:tc>
        <w:tc>
          <w:tcPr>
            <w:tcW w:w="3260" w:type="dxa"/>
            <w:shd w:val="clear" w:color="auto" w:fill="auto"/>
            <w:vAlign w:val="center"/>
          </w:tcPr>
          <w:p w14:paraId="78A64A59"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Fondo de Apoyo a la Hotelería del Sur de Quintana Roo</w:t>
            </w:r>
          </w:p>
        </w:tc>
        <w:tc>
          <w:tcPr>
            <w:tcW w:w="1559" w:type="dxa"/>
            <w:shd w:val="clear" w:color="auto" w:fill="auto"/>
            <w:vAlign w:val="center"/>
          </w:tcPr>
          <w:p w14:paraId="1E7F4008" w14:textId="77777777" w:rsidR="009C733C" w:rsidRPr="00A76F9D" w:rsidRDefault="009C733C" w:rsidP="002F131C">
            <w:pPr>
              <w:jc w:val="both"/>
              <w:rPr>
                <w:rFonts w:ascii="Montserrat" w:eastAsia="Times New Roman" w:hAnsi="Montserrat" w:cs="Futura Medium"/>
                <w:noProof/>
                <w:sz w:val="14"/>
                <w:szCs w:val="14"/>
                <w:lang w:val="es-MX" w:eastAsia="en-US"/>
              </w:rPr>
            </w:pPr>
            <w:r w:rsidRPr="00A76F9D">
              <w:rPr>
                <w:rFonts w:ascii="Montserrat" w:eastAsia="Times New Roman" w:hAnsi="Montserrat" w:cs="Futura Medium"/>
                <w:noProof/>
                <w:color w:val="000000"/>
                <w:sz w:val="14"/>
                <w:szCs w:val="14"/>
                <w:lang w:val="es-MX" w:eastAsia="en-US"/>
              </w:rPr>
              <w:t>Gobierno del Estado de Quintana Roo</w:t>
            </w:r>
          </w:p>
        </w:tc>
        <w:tc>
          <w:tcPr>
            <w:tcW w:w="1701" w:type="dxa"/>
            <w:shd w:val="clear" w:color="auto" w:fill="auto"/>
            <w:vAlign w:val="center"/>
          </w:tcPr>
          <w:p w14:paraId="12C82496"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Banco Nacional de México, S.A., Integrante del Grupo Financiero Banamex</w:t>
            </w:r>
          </w:p>
        </w:tc>
      </w:tr>
      <w:tr w:rsidR="009C733C" w:rsidRPr="00A76F9D" w14:paraId="078E59F1" w14:textId="77777777" w:rsidTr="0073145B">
        <w:tc>
          <w:tcPr>
            <w:tcW w:w="1526" w:type="dxa"/>
            <w:shd w:val="clear" w:color="auto" w:fill="auto"/>
            <w:vAlign w:val="center"/>
          </w:tcPr>
          <w:p w14:paraId="4E0DD726" w14:textId="77777777" w:rsidR="009C733C" w:rsidRDefault="009C733C" w:rsidP="002F131C">
            <w:pPr>
              <w:jc w:val="center"/>
              <w:rPr>
                <w:rFonts w:ascii="Montserrat" w:eastAsia="Calibri" w:hAnsi="Montserrat"/>
                <w:noProof/>
                <w:sz w:val="14"/>
                <w:szCs w:val="14"/>
                <w:lang w:val="es-MX" w:eastAsia="en-US"/>
              </w:rPr>
            </w:pPr>
            <w:r w:rsidRPr="00A76F9D">
              <w:rPr>
                <w:rFonts w:ascii="Montserrat" w:eastAsia="Calibri" w:hAnsi="Montserrat"/>
                <w:noProof/>
                <w:sz w:val="14"/>
                <w:szCs w:val="14"/>
                <w:lang w:val="es-MX" w:eastAsia="en-US"/>
              </w:rPr>
              <w:t>Secretaría de Desarrollo Agropecuario, Rural y Pesca (SEDARPE)</w:t>
            </w:r>
          </w:p>
          <w:p w14:paraId="0FD51C72" w14:textId="77777777" w:rsidR="00D51385" w:rsidRPr="00A76F9D" w:rsidRDefault="00D51385" w:rsidP="002F131C">
            <w:pPr>
              <w:jc w:val="center"/>
              <w:rPr>
                <w:rFonts w:ascii="Montserrat" w:eastAsia="Calibri" w:hAnsi="Montserrat"/>
                <w:noProof/>
                <w:sz w:val="14"/>
                <w:szCs w:val="14"/>
                <w:lang w:val="es-MX" w:eastAsia="en-US"/>
              </w:rPr>
            </w:pPr>
          </w:p>
        </w:tc>
        <w:tc>
          <w:tcPr>
            <w:tcW w:w="992" w:type="dxa"/>
            <w:shd w:val="clear" w:color="auto" w:fill="auto"/>
            <w:vAlign w:val="center"/>
          </w:tcPr>
          <w:p w14:paraId="7DB106A5" w14:textId="77777777" w:rsidR="009C733C" w:rsidRPr="00A76F9D" w:rsidRDefault="009C733C" w:rsidP="002F131C">
            <w:pPr>
              <w:jc w:val="center"/>
              <w:rPr>
                <w:rFonts w:ascii="Calibri" w:eastAsia="Calibri" w:hAnsi="Calibri"/>
                <w:noProof/>
                <w:sz w:val="14"/>
                <w:szCs w:val="14"/>
                <w:lang w:val="es-MX" w:eastAsia="en-US"/>
              </w:rPr>
            </w:pPr>
            <w:r w:rsidRPr="00A76F9D">
              <w:rPr>
                <w:rFonts w:ascii="Montserrat" w:eastAsia="Calibri" w:hAnsi="Montserrat"/>
                <w:noProof/>
                <w:sz w:val="14"/>
                <w:szCs w:val="14"/>
                <w:lang w:val="es-MX" w:eastAsia="en-US"/>
              </w:rPr>
              <w:t>2025</w:t>
            </w:r>
          </w:p>
        </w:tc>
        <w:tc>
          <w:tcPr>
            <w:tcW w:w="1276" w:type="dxa"/>
            <w:shd w:val="clear" w:color="auto" w:fill="auto"/>
            <w:vAlign w:val="center"/>
          </w:tcPr>
          <w:p w14:paraId="0B58E1DA"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F/1019</w:t>
            </w:r>
          </w:p>
          <w:p w14:paraId="6BDD300D"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Constituido 11 marzo 1996</w:t>
            </w:r>
          </w:p>
        </w:tc>
        <w:tc>
          <w:tcPr>
            <w:tcW w:w="3260" w:type="dxa"/>
            <w:shd w:val="clear" w:color="auto" w:fill="auto"/>
            <w:vAlign w:val="center"/>
          </w:tcPr>
          <w:p w14:paraId="1F8943FB"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Fondo de Fomento Agropecuario del Estado de Quintana Roo</w:t>
            </w:r>
          </w:p>
          <w:p w14:paraId="1827E877" w14:textId="77777777" w:rsidR="009C733C"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FOFAQROO</w:t>
            </w:r>
          </w:p>
          <w:p w14:paraId="7001C554" w14:textId="77777777" w:rsidR="00D51385" w:rsidRPr="00A76F9D" w:rsidRDefault="00D51385" w:rsidP="002F131C">
            <w:pPr>
              <w:jc w:val="both"/>
              <w:rPr>
                <w:rFonts w:ascii="Montserrat" w:eastAsia="Times New Roman" w:hAnsi="Montserrat" w:cs="Futura Medium"/>
                <w:noProof/>
                <w:color w:val="000000"/>
                <w:sz w:val="14"/>
                <w:szCs w:val="14"/>
                <w:lang w:val="es-MX" w:eastAsia="en-US"/>
              </w:rPr>
            </w:pPr>
          </w:p>
        </w:tc>
        <w:tc>
          <w:tcPr>
            <w:tcW w:w="1559" w:type="dxa"/>
            <w:shd w:val="clear" w:color="auto" w:fill="auto"/>
            <w:vAlign w:val="center"/>
          </w:tcPr>
          <w:p w14:paraId="0EFC1CDB" w14:textId="77777777" w:rsidR="009C733C" w:rsidRPr="00A76F9D" w:rsidRDefault="009C733C" w:rsidP="002F131C">
            <w:pPr>
              <w:jc w:val="center"/>
              <w:rPr>
                <w:rFonts w:ascii="Calibri" w:eastAsia="Calibri" w:hAnsi="Calibri"/>
                <w:noProof/>
                <w:sz w:val="14"/>
                <w:szCs w:val="14"/>
                <w:lang w:val="es-MX" w:eastAsia="en-US"/>
              </w:rPr>
            </w:pPr>
            <w:r w:rsidRPr="00A76F9D">
              <w:rPr>
                <w:rFonts w:ascii="Montserrat" w:eastAsia="Times New Roman" w:hAnsi="Montserrat" w:cs="Futura Medium"/>
                <w:noProof/>
                <w:color w:val="000000"/>
                <w:sz w:val="14"/>
                <w:szCs w:val="14"/>
                <w:lang w:val="es-MX" w:eastAsia="en-US"/>
              </w:rPr>
              <w:t>Gobierno del Estado de Quintana Roo</w:t>
            </w:r>
          </w:p>
        </w:tc>
        <w:tc>
          <w:tcPr>
            <w:tcW w:w="1701" w:type="dxa"/>
            <w:shd w:val="clear" w:color="auto" w:fill="auto"/>
            <w:vAlign w:val="center"/>
          </w:tcPr>
          <w:p w14:paraId="78EBC26A"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Bursamétrica Casa de Bolsa, S.A de C.V.</w:t>
            </w:r>
          </w:p>
        </w:tc>
      </w:tr>
      <w:tr w:rsidR="009C733C" w:rsidRPr="00A76F9D" w14:paraId="33914C07" w14:textId="77777777" w:rsidTr="0073145B">
        <w:tc>
          <w:tcPr>
            <w:tcW w:w="1526" w:type="dxa"/>
            <w:shd w:val="clear" w:color="auto" w:fill="auto"/>
            <w:vAlign w:val="center"/>
          </w:tcPr>
          <w:p w14:paraId="7B1D28B8" w14:textId="77777777" w:rsidR="009C733C" w:rsidRPr="00A76F9D" w:rsidRDefault="009C733C" w:rsidP="002F131C">
            <w:pPr>
              <w:jc w:val="center"/>
              <w:rPr>
                <w:rFonts w:ascii="Montserrat" w:eastAsia="Calibri" w:hAnsi="Montserrat"/>
                <w:noProof/>
                <w:sz w:val="14"/>
                <w:szCs w:val="14"/>
                <w:lang w:val="es-MX" w:eastAsia="en-US"/>
              </w:rPr>
            </w:pPr>
            <w:r w:rsidRPr="00A76F9D">
              <w:rPr>
                <w:rFonts w:ascii="Montserrat" w:eastAsia="Calibri" w:hAnsi="Montserrat"/>
                <w:noProof/>
                <w:sz w:val="14"/>
                <w:szCs w:val="14"/>
                <w:lang w:val="es-MX" w:eastAsia="en-US"/>
              </w:rPr>
              <w:t>Secretaría de Obras Públicas (SEOP)</w:t>
            </w:r>
          </w:p>
        </w:tc>
        <w:tc>
          <w:tcPr>
            <w:tcW w:w="992" w:type="dxa"/>
            <w:shd w:val="clear" w:color="auto" w:fill="auto"/>
            <w:vAlign w:val="center"/>
          </w:tcPr>
          <w:p w14:paraId="28B02790" w14:textId="77777777" w:rsidR="009C733C" w:rsidRPr="00A76F9D" w:rsidRDefault="009C733C" w:rsidP="002F131C">
            <w:pPr>
              <w:jc w:val="center"/>
              <w:rPr>
                <w:rFonts w:ascii="Calibri" w:eastAsia="Calibri" w:hAnsi="Calibri"/>
                <w:noProof/>
                <w:sz w:val="14"/>
                <w:szCs w:val="14"/>
                <w:lang w:val="es-MX" w:eastAsia="en-US"/>
              </w:rPr>
            </w:pPr>
            <w:r w:rsidRPr="00A76F9D">
              <w:rPr>
                <w:rFonts w:ascii="Montserrat" w:eastAsia="Calibri" w:hAnsi="Montserrat"/>
                <w:noProof/>
                <w:sz w:val="14"/>
                <w:szCs w:val="14"/>
                <w:lang w:val="es-MX" w:eastAsia="en-US"/>
              </w:rPr>
              <w:t>2025</w:t>
            </w:r>
          </w:p>
        </w:tc>
        <w:tc>
          <w:tcPr>
            <w:tcW w:w="1276" w:type="dxa"/>
            <w:shd w:val="clear" w:color="auto" w:fill="auto"/>
            <w:vAlign w:val="center"/>
          </w:tcPr>
          <w:p w14:paraId="08EA7796"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F/160830-2</w:t>
            </w:r>
          </w:p>
          <w:p w14:paraId="25FA78C8"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Constituido 10 noviembre 2004</w:t>
            </w:r>
          </w:p>
        </w:tc>
        <w:tc>
          <w:tcPr>
            <w:tcW w:w="3260" w:type="dxa"/>
            <w:shd w:val="clear" w:color="auto" w:fill="auto"/>
            <w:vAlign w:val="center"/>
          </w:tcPr>
          <w:p w14:paraId="14F8487B"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Fideicomiso para la Restauración, Recuperación, Sostenimiento y Mantenimiento de la Zona Federal Marítimo Terrestre del Estado de Quintana Roo.</w:t>
            </w:r>
          </w:p>
        </w:tc>
        <w:tc>
          <w:tcPr>
            <w:tcW w:w="1559" w:type="dxa"/>
            <w:shd w:val="clear" w:color="auto" w:fill="auto"/>
            <w:vAlign w:val="center"/>
          </w:tcPr>
          <w:p w14:paraId="14015687" w14:textId="77777777" w:rsidR="009C733C" w:rsidRPr="00A76F9D" w:rsidRDefault="009C733C" w:rsidP="002F131C">
            <w:pPr>
              <w:jc w:val="center"/>
              <w:rPr>
                <w:rFonts w:ascii="Calibri" w:eastAsia="Calibri" w:hAnsi="Calibri"/>
                <w:noProof/>
                <w:sz w:val="14"/>
                <w:szCs w:val="14"/>
                <w:lang w:val="es-MX" w:eastAsia="en-US"/>
              </w:rPr>
            </w:pPr>
            <w:r w:rsidRPr="00A76F9D">
              <w:rPr>
                <w:rFonts w:ascii="Montserrat" w:eastAsia="Times New Roman" w:hAnsi="Montserrat" w:cs="Futura Medium"/>
                <w:noProof/>
                <w:color w:val="000000"/>
                <w:sz w:val="14"/>
                <w:szCs w:val="14"/>
                <w:lang w:val="es-MX" w:eastAsia="en-US"/>
              </w:rPr>
              <w:t>Gobierno del Estado de Quintana Roo</w:t>
            </w:r>
          </w:p>
        </w:tc>
        <w:tc>
          <w:tcPr>
            <w:tcW w:w="1701" w:type="dxa"/>
            <w:shd w:val="clear" w:color="auto" w:fill="auto"/>
            <w:vAlign w:val="center"/>
          </w:tcPr>
          <w:p w14:paraId="1261233B"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Banco Nacional de México, S.A., Integrante del Grupo Financiero Banamex</w:t>
            </w:r>
          </w:p>
        </w:tc>
      </w:tr>
      <w:tr w:rsidR="009C733C" w:rsidRPr="00A76F9D" w14:paraId="6CA0D608" w14:textId="77777777" w:rsidTr="0073145B">
        <w:tc>
          <w:tcPr>
            <w:tcW w:w="1526" w:type="dxa"/>
            <w:shd w:val="clear" w:color="auto" w:fill="auto"/>
            <w:vAlign w:val="center"/>
          </w:tcPr>
          <w:p w14:paraId="681E67DB" w14:textId="77777777" w:rsidR="009C733C" w:rsidRPr="00A76F9D" w:rsidRDefault="009C733C" w:rsidP="002F131C">
            <w:pPr>
              <w:jc w:val="center"/>
              <w:rPr>
                <w:rFonts w:ascii="Montserrat" w:eastAsia="Calibri" w:hAnsi="Montserrat"/>
                <w:noProof/>
                <w:sz w:val="14"/>
                <w:szCs w:val="14"/>
                <w:lang w:val="es-MX" w:eastAsia="en-US"/>
              </w:rPr>
            </w:pPr>
            <w:r w:rsidRPr="00A76F9D">
              <w:rPr>
                <w:rFonts w:ascii="Montserrat" w:eastAsia="Calibri" w:hAnsi="Montserrat"/>
                <w:noProof/>
                <w:sz w:val="14"/>
                <w:szCs w:val="14"/>
                <w:lang w:val="es-MX" w:eastAsia="en-US"/>
              </w:rPr>
              <w:t>Secretaría de Desarrollo Económico (SEDE)</w:t>
            </w:r>
          </w:p>
        </w:tc>
        <w:tc>
          <w:tcPr>
            <w:tcW w:w="992" w:type="dxa"/>
            <w:shd w:val="clear" w:color="auto" w:fill="auto"/>
            <w:vAlign w:val="center"/>
          </w:tcPr>
          <w:p w14:paraId="7183290D" w14:textId="77777777" w:rsidR="009C733C" w:rsidRPr="00A76F9D" w:rsidRDefault="009C733C" w:rsidP="002F131C">
            <w:pPr>
              <w:jc w:val="center"/>
              <w:rPr>
                <w:rFonts w:ascii="Calibri" w:eastAsia="Calibri" w:hAnsi="Calibri"/>
                <w:noProof/>
                <w:sz w:val="14"/>
                <w:szCs w:val="14"/>
                <w:lang w:val="es-MX" w:eastAsia="en-US"/>
              </w:rPr>
            </w:pPr>
            <w:r w:rsidRPr="00A76F9D">
              <w:rPr>
                <w:rFonts w:ascii="Montserrat" w:eastAsia="Calibri" w:hAnsi="Montserrat"/>
                <w:noProof/>
                <w:sz w:val="14"/>
                <w:szCs w:val="14"/>
                <w:lang w:val="es-MX" w:eastAsia="en-US"/>
              </w:rPr>
              <w:t>2025</w:t>
            </w:r>
          </w:p>
        </w:tc>
        <w:tc>
          <w:tcPr>
            <w:tcW w:w="1276" w:type="dxa"/>
            <w:shd w:val="clear" w:color="auto" w:fill="auto"/>
            <w:vAlign w:val="center"/>
          </w:tcPr>
          <w:p w14:paraId="4FCAD886"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F/5029</w:t>
            </w:r>
          </w:p>
          <w:p w14:paraId="33E16FD0"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Constituido 03 marzo 2020</w:t>
            </w:r>
          </w:p>
        </w:tc>
        <w:tc>
          <w:tcPr>
            <w:tcW w:w="3260" w:type="dxa"/>
            <w:shd w:val="clear" w:color="auto" w:fill="auto"/>
            <w:vAlign w:val="center"/>
          </w:tcPr>
          <w:p w14:paraId="0EC8BE36" w14:textId="77777777" w:rsidR="009C733C"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Fideicomiso para el Fomento Logístico, Industrial, Tecnológico y de Comercio Exterior del Estado de Quintana Roo.</w:t>
            </w:r>
          </w:p>
          <w:p w14:paraId="6A8B3DF3" w14:textId="77777777" w:rsidR="00D51385" w:rsidRPr="00A76F9D" w:rsidRDefault="00D51385" w:rsidP="002F131C">
            <w:pPr>
              <w:jc w:val="both"/>
              <w:rPr>
                <w:rFonts w:ascii="Montserrat" w:eastAsia="Times New Roman" w:hAnsi="Montserrat" w:cs="Futura Medium"/>
                <w:noProof/>
                <w:color w:val="000000"/>
                <w:sz w:val="14"/>
                <w:szCs w:val="14"/>
                <w:lang w:val="es-MX" w:eastAsia="en-US"/>
              </w:rPr>
            </w:pPr>
          </w:p>
        </w:tc>
        <w:tc>
          <w:tcPr>
            <w:tcW w:w="1559" w:type="dxa"/>
            <w:shd w:val="clear" w:color="auto" w:fill="auto"/>
            <w:vAlign w:val="center"/>
          </w:tcPr>
          <w:p w14:paraId="7AD486BD" w14:textId="77777777" w:rsidR="009C733C" w:rsidRPr="00A76F9D" w:rsidRDefault="009C733C" w:rsidP="002F131C">
            <w:pPr>
              <w:jc w:val="center"/>
              <w:rPr>
                <w:rFonts w:ascii="Calibri" w:eastAsia="Calibri" w:hAnsi="Calibri"/>
                <w:noProof/>
                <w:sz w:val="14"/>
                <w:szCs w:val="14"/>
                <w:lang w:val="es-MX" w:eastAsia="en-US"/>
              </w:rPr>
            </w:pPr>
            <w:r w:rsidRPr="00A76F9D">
              <w:rPr>
                <w:rFonts w:ascii="Montserrat" w:eastAsia="Times New Roman" w:hAnsi="Montserrat" w:cs="Futura Medium"/>
                <w:noProof/>
                <w:color w:val="000000"/>
                <w:sz w:val="14"/>
                <w:szCs w:val="14"/>
                <w:lang w:val="es-MX" w:eastAsia="en-US"/>
              </w:rPr>
              <w:t>Gobierno del Estado de Quintana Roo</w:t>
            </w:r>
          </w:p>
        </w:tc>
        <w:tc>
          <w:tcPr>
            <w:tcW w:w="1701" w:type="dxa"/>
            <w:shd w:val="clear" w:color="auto" w:fill="auto"/>
            <w:vAlign w:val="center"/>
          </w:tcPr>
          <w:p w14:paraId="4635C734" w14:textId="77777777" w:rsidR="009C733C"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Banca Mifel, Sociedad Anónima Institución de Banca Múltiple, Grupo Financiero Mifel</w:t>
            </w:r>
          </w:p>
          <w:p w14:paraId="4641FD57" w14:textId="77777777" w:rsidR="00D51385" w:rsidRPr="00A76F9D" w:rsidRDefault="00D51385" w:rsidP="002F131C">
            <w:pPr>
              <w:jc w:val="both"/>
              <w:rPr>
                <w:rFonts w:ascii="Montserrat" w:eastAsia="Times New Roman" w:hAnsi="Montserrat" w:cs="Futura Medium"/>
                <w:noProof/>
                <w:color w:val="000000"/>
                <w:sz w:val="14"/>
                <w:szCs w:val="14"/>
                <w:lang w:val="es-MX" w:eastAsia="en-US"/>
              </w:rPr>
            </w:pPr>
          </w:p>
        </w:tc>
      </w:tr>
      <w:tr w:rsidR="009C733C" w:rsidRPr="00A76F9D" w14:paraId="3A503175" w14:textId="77777777" w:rsidTr="0073145B">
        <w:tc>
          <w:tcPr>
            <w:tcW w:w="1526" w:type="dxa"/>
            <w:shd w:val="clear" w:color="auto" w:fill="auto"/>
            <w:vAlign w:val="center"/>
          </w:tcPr>
          <w:p w14:paraId="713FF288" w14:textId="77777777" w:rsidR="009C733C" w:rsidRPr="00A76F9D" w:rsidRDefault="009C733C" w:rsidP="002F131C">
            <w:pPr>
              <w:jc w:val="center"/>
              <w:rPr>
                <w:rFonts w:ascii="Calibri" w:eastAsia="Calibri" w:hAnsi="Calibri"/>
                <w:noProof/>
                <w:sz w:val="14"/>
                <w:szCs w:val="14"/>
                <w:lang w:val="es-MX" w:eastAsia="en-US"/>
              </w:rPr>
            </w:pPr>
            <w:r w:rsidRPr="00A76F9D">
              <w:rPr>
                <w:rFonts w:ascii="Montserrat" w:eastAsia="Calibri" w:hAnsi="Montserrat"/>
                <w:noProof/>
                <w:sz w:val="14"/>
                <w:szCs w:val="14"/>
                <w:lang w:val="es-MX" w:eastAsia="en-US"/>
              </w:rPr>
              <w:lastRenderedPageBreak/>
              <w:t>Secretaría de Desarrollo Agropecuario, Rural y Pesca (SEDARPE)</w:t>
            </w:r>
          </w:p>
        </w:tc>
        <w:tc>
          <w:tcPr>
            <w:tcW w:w="992" w:type="dxa"/>
            <w:shd w:val="clear" w:color="auto" w:fill="auto"/>
            <w:vAlign w:val="center"/>
          </w:tcPr>
          <w:p w14:paraId="3D482E89" w14:textId="77777777" w:rsidR="009C733C" w:rsidRPr="00A76F9D" w:rsidRDefault="009C733C" w:rsidP="002F131C">
            <w:pPr>
              <w:jc w:val="center"/>
              <w:rPr>
                <w:rFonts w:ascii="Calibri" w:eastAsia="Calibri" w:hAnsi="Calibri"/>
                <w:noProof/>
                <w:sz w:val="14"/>
                <w:szCs w:val="14"/>
                <w:lang w:val="es-MX" w:eastAsia="en-US"/>
              </w:rPr>
            </w:pPr>
            <w:r w:rsidRPr="00A76F9D">
              <w:rPr>
                <w:rFonts w:ascii="Montserrat" w:eastAsia="Calibri" w:hAnsi="Montserrat"/>
                <w:noProof/>
                <w:sz w:val="14"/>
                <w:szCs w:val="14"/>
                <w:lang w:val="es-MX" w:eastAsia="en-US"/>
              </w:rPr>
              <w:t>2025</w:t>
            </w:r>
          </w:p>
        </w:tc>
        <w:tc>
          <w:tcPr>
            <w:tcW w:w="1276" w:type="dxa"/>
            <w:shd w:val="clear" w:color="auto" w:fill="auto"/>
            <w:vAlign w:val="center"/>
          </w:tcPr>
          <w:p w14:paraId="152E239A"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10106</w:t>
            </w:r>
          </w:p>
          <w:p w14:paraId="261878A7"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Constituido 21 julio 1999</w:t>
            </w:r>
          </w:p>
        </w:tc>
        <w:tc>
          <w:tcPr>
            <w:tcW w:w="3260" w:type="dxa"/>
            <w:shd w:val="clear" w:color="auto" w:fill="auto"/>
            <w:vAlign w:val="center"/>
          </w:tcPr>
          <w:p w14:paraId="13D970DE" w14:textId="5B89A178" w:rsidR="00AE267F"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Fideicomiso Fondo de Fomento para el Desarrollo Rural del Estado de Quintana Roo</w:t>
            </w:r>
          </w:p>
        </w:tc>
        <w:tc>
          <w:tcPr>
            <w:tcW w:w="1559" w:type="dxa"/>
            <w:shd w:val="clear" w:color="auto" w:fill="auto"/>
            <w:vAlign w:val="center"/>
          </w:tcPr>
          <w:p w14:paraId="17CBB218" w14:textId="77777777" w:rsidR="009C733C" w:rsidRPr="00A76F9D" w:rsidRDefault="009C733C" w:rsidP="002F131C">
            <w:pPr>
              <w:jc w:val="center"/>
              <w:rPr>
                <w:rFonts w:ascii="Calibri" w:eastAsia="Calibri" w:hAnsi="Calibri"/>
                <w:noProof/>
                <w:sz w:val="14"/>
                <w:szCs w:val="14"/>
                <w:lang w:val="es-MX" w:eastAsia="en-US"/>
              </w:rPr>
            </w:pPr>
            <w:r w:rsidRPr="00A76F9D">
              <w:rPr>
                <w:rFonts w:ascii="Montserrat" w:eastAsia="Times New Roman" w:hAnsi="Montserrat" w:cs="Futura Medium"/>
                <w:noProof/>
                <w:color w:val="000000"/>
                <w:sz w:val="14"/>
                <w:szCs w:val="14"/>
                <w:lang w:val="es-MX" w:eastAsia="en-US"/>
              </w:rPr>
              <w:t>Gobierno del Estado de Quintana Roo</w:t>
            </w:r>
          </w:p>
        </w:tc>
        <w:tc>
          <w:tcPr>
            <w:tcW w:w="1701" w:type="dxa"/>
            <w:shd w:val="clear" w:color="auto" w:fill="auto"/>
            <w:vAlign w:val="center"/>
          </w:tcPr>
          <w:p w14:paraId="7C7BF418"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Banco del Ahorro Nacional y Servicios Financieros, S.N.C.</w:t>
            </w:r>
          </w:p>
        </w:tc>
      </w:tr>
      <w:tr w:rsidR="009C733C" w:rsidRPr="00A76F9D" w14:paraId="168E37A1" w14:textId="77777777" w:rsidTr="0073145B">
        <w:tc>
          <w:tcPr>
            <w:tcW w:w="1526" w:type="dxa"/>
            <w:shd w:val="clear" w:color="auto" w:fill="auto"/>
            <w:vAlign w:val="center"/>
          </w:tcPr>
          <w:p w14:paraId="31862F58" w14:textId="77777777" w:rsidR="009C733C" w:rsidRPr="00A76F9D" w:rsidRDefault="009C733C" w:rsidP="002F131C">
            <w:pPr>
              <w:jc w:val="center"/>
              <w:rPr>
                <w:rFonts w:ascii="Montserrat" w:eastAsia="Calibri" w:hAnsi="Montserrat"/>
                <w:noProof/>
                <w:sz w:val="14"/>
                <w:szCs w:val="14"/>
                <w:lang w:val="es-MX" w:eastAsia="en-US"/>
              </w:rPr>
            </w:pPr>
            <w:r w:rsidRPr="00A76F9D">
              <w:rPr>
                <w:rFonts w:ascii="Montserrat" w:eastAsia="Calibri" w:hAnsi="Montserrat"/>
                <w:noProof/>
                <w:sz w:val="14"/>
                <w:szCs w:val="14"/>
                <w:lang w:val="es-MX" w:eastAsia="en-US"/>
              </w:rPr>
              <w:t>Secretaría de Desarrollo Agropecuario, Rural y Pesca (SEDARPE)</w:t>
            </w:r>
          </w:p>
        </w:tc>
        <w:tc>
          <w:tcPr>
            <w:tcW w:w="992" w:type="dxa"/>
            <w:shd w:val="clear" w:color="auto" w:fill="auto"/>
            <w:vAlign w:val="center"/>
          </w:tcPr>
          <w:p w14:paraId="03D314A5" w14:textId="77777777" w:rsidR="009C733C" w:rsidRPr="00A76F9D" w:rsidRDefault="009C733C" w:rsidP="002F131C">
            <w:pPr>
              <w:jc w:val="center"/>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2025</w:t>
            </w:r>
          </w:p>
        </w:tc>
        <w:tc>
          <w:tcPr>
            <w:tcW w:w="1276" w:type="dxa"/>
            <w:shd w:val="clear" w:color="auto" w:fill="auto"/>
            <w:vAlign w:val="center"/>
          </w:tcPr>
          <w:p w14:paraId="53CBB0F7"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3181</w:t>
            </w:r>
          </w:p>
          <w:p w14:paraId="4850E852"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Constituido 09 julio 1993</w:t>
            </w:r>
          </w:p>
        </w:tc>
        <w:tc>
          <w:tcPr>
            <w:tcW w:w="3260" w:type="dxa"/>
            <w:shd w:val="clear" w:color="auto" w:fill="auto"/>
            <w:vAlign w:val="center"/>
          </w:tcPr>
          <w:p w14:paraId="62ED5D8A"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Fideicomiso Irrevocable de Inversión, Garantía Líquida y Fuente Alterna de Pago “Fondo de Garantía líquida o Fuente Alterna”.</w:t>
            </w:r>
          </w:p>
        </w:tc>
        <w:tc>
          <w:tcPr>
            <w:tcW w:w="1559" w:type="dxa"/>
            <w:shd w:val="clear" w:color="auto" w:fill="auto"/>
            <w:vAlign w:val="center"/>
          </w:tcPr>
          <w:p w14:paraId="472A6979" w14:textId="77777777" w:rsidR="009C733C" w:rsidRPr="00A76F9D" w:rsidRDefault="009C733C" w:rsidP="002F131C">
            <w:pPr>
              <w:jc w:val="center"/>
              <w:rPr>
                <w:rFonts w:ascii="Calibri" w:eastAsia="Calibri" w:hAnsi="Calibri"/>
                <w:noProof/>
                <w:sz w:val="14"/>
                <w:szCs w:val="14"/>
                <w:lang w:val="es-MX" w:eastAsia="en-US"/>
              </w:rPr>
            </w:pPr>
            <w:r w:rsidRPr="00A76F9D">
              <w:rPr>
                <w:rFonts w:ascii="Montserrat" w:eastAsia="Times New Roman" w:hAnsi="Montserrat" w:cs="Futura Medium"/>
                <w:noProof/>
                <w:color w:val="000000"/>
                <w:sz w:val="14"/>
                <w:szCs w:val="14"/>
                <w:lang w:val="es-MX" w:eastAsia="en-US"/>
              </w:rPr>
              <w:t>Gobierno del Estado de Quintana Roo</w:t>
            </w:r>
          </w:p>
        </w:tc>
        <w:tc>
          <w:tcPr>
            <w:tcW w:w="1701" w:type="dxa"/>
            <w:shd w:val="clear" w:color="auto" w:fill="auto"/>
            <w:vAlign w:val="center"/>
          </w:tcPr>
          <w:p w14:paraId="411D27D7"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Banco Mercantil del Norte S.A..</w:t>
            </w:r>
          </w:p>
        </w:tc>
      </w:tr>
      <w:tr w:rsidR="009C733C" w:rsidRPr="004E5937" w14:paraId="0210E5DF" w14:textId="77777777" w:rsidTr="0073145B">
        <w:tc>
          <w:tcPr>
            <w:tcW w:w="1526" w:type="dxa"/>
            <w:shd w:val="clear" w:color="auto" w:fill="auto"/>
            <w:vAlign w:val="center"/>
          </w:tcPr>
          <w:p w14:paraId="68F8CAC4" w14:textId="77777777" w:rsidR="009C733C" w:rsidRPr="00A76F9D" w:rsidRDefault="009C733C" w:rsidP="002F131C">
            <w:pPr>
              <w:jc w:val="center"/>
              <w:rPr>
                <w:rFonts w:ascii="Montserrat" w:eastAsia="Calibri" w:hAnsi="Montserrat"/>
                <w:noProof/>
                <w:sz w:val="14"/>
                <w:szCs w:val="14"/>
                <w:lang w:val="es-MX" w:eastAsia="en-US"/>
              </w:rPr>
            </w:pPr>
            <w:r w:rsidRPr="00A76F9D">
              <w:rPr>
                <w:rFonts w:ascii="Montserrat" w:eastAsia="Calibri" w:hAnsi="Montserrat"/>
                <w:noProof/>
                <w:sz w:val="14"/>
                <w:szCs w:val="14"/>
                <w:lang w:val="es-MX" w:eastAsia="en-US"/>
              </w:rPr>
              <w:t>Consejo de Promoción Turística (CPTQ)</w:t>
            </w:r>
          </w:p>
        </w:tc>
        <w:tc>
          <w:tcPr>
            <w:tcW w:w="992" w:type="dxa"/>
            <w:shd w:val="clear" w:color="auto" w:fill="auto"/>
            <w:vAlign w:val="center"/>
          </w:tcPr>
          <w:p w14:paraId="2B87B2A5" w14:textId="77777777" w:rsidR="009C733C" w:rsidRPr="00A76F9D" w:rsidRDefault="009C733C" w:rsidP="002F131C">
            <w:pPr>
              <w:jc w:val="center"/>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2025</w:t>
            </w:r>
          </w:p>
        </w:tc>
        <w:tc>
          <w:tcPr>
            <w:tcW w:w="1276" w:type="dxa"/>
            <w:shd w:val="clear" w:color="auto" w:fill="auto"/>
            <w:vAlign w:val="center"/>
          </w:tcPr>
          <w:p w14:paraId="0FDD3DEF"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753380</w:t>
            </w:r>
          </w:p>
        </w:tc>
        <w:tc>
          <w:tcPr>
            <w:tcW w:w="3260" w:type="dxa"/>
            <w:shd w:val="clear" w:color="auto" w:fill="auto"/>
            <w:vAlign w:val="center"/>
          </w:tcPr>
          <w:p w14:paraId="359DB312"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Fideicomiso Irrevocable de Administración e Inversión Denominado “Fideicomiso de Promoción Turística del estado de Quintana Roo”.</w:t>
            </w:r>
          </w:p>
        </w:tc>
        <w:tc>
          <w:tcPr>
            <w:tcW w:w="1559" w:type="dxa"/>
            <w:shd w:val="clear" w:color="auto" w:fill="auto"/>
            <w:vAlign w:val="center"/>
          </w:tcPr>
          <w:p w14:paraId="7DEB8AAF"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sz w:val="14"/>
                <w:szCs w:val="14"/>
                <w:lang w:val="es-MX" w:eastAsia="en-US"/>
              </w:rPr>
              <w:t>Gobierno del Estado de Quintana Roo</w:t>
            </w:r>
          </w:p>
        </w:tc>
        <w:tc>
          <w:tcPr>
            <w:tcW w:w="1701" w:type="dxa"/>
            <w:shd w:val="clear" w:color="auto" w:fill="auto"/>
            <w:vAlign w:val="center"/>
          </w:tcPr>
          <w:p w14:paraId="503450E9" w14:textId="77777777" w:rsidR="009C733C" w:rsidRPr="00A76F9D" w:rsidRDefault="009C733C" w:rsidP="002F131C">
            <w:pPr>
              <w:jc w:val="both"/>
              <w:rPr>
                <w:rFonts w:ascii="Montserrat" w:eastAsia="Times New Roman" w:hAnsi="Montserrat" w:cs="Futura Medium"/>
                <w:noProof/>
                <w:color w:val="000000"/>
                <w:sz w:val="14"/>
                <w:szCs w:val="14"/>
                <w:lang w:val="es-MX" w:eastAsia="en-US"/>
              </w:rPr>
            </w:pPr>
            <w:r w:rsidRPr="00A76F9D">
              <w:rPr>
                <w:rFonts w:ascii="Montserrat" w:eastAsia="Times New Roman" w:hAnsi="Montserrat" w:cs="Futura Medium"/>
                <w:noProof/>
                <w:color w:val="000000"/>
                <w:sz w:val="14"/>
                <w:szCs w:val="14"/>
                <w:lang w:val="es-MX" w:eastAsia="en-US"/>
              </w:rPr>
              <w:t>Banco Mercantil del Norte S.A.</w:t>
            </w:r>
          </w:p>
        </w:tc>
      </w:tr>
    </w:tbl>
    <w:p w14:paraId="30C900D7" w14:textId="77777777" w:rsidR="00A76F9D" w:rsidRDefault="00A76F9D" w:rsidP="00A76F9D">
      <w:pPr>
        <w:pStyle w:val="Prrafodelista"/>
        <w:jc w:val="both"/>
        <w:rPr>
          <w:rFonts w:ascii="Montserrat Medium" w:eastAsia="Times New Roman" w:hAnsi="Montserrat Medium" w:cs="Arial"/>
          <w:color w:val="595959"/>
          <w:sz w:val="22"/>
          <w:lang w:eastAsia="en-US"/>
        </w:rPr>
      </w:pPr>
    </w:p>
    <w:p w14:paraId="18C51F86" w14:textId="77777777" w:rsidR="00843FF0" w:rsidRDefault="00843FF0" w:rsidP="002F131C">
      <w:pPr>
        <w:pStyle w:val="Prrafodelista"/>
        <w:numPr>
          <w:ilvl w:val="0"/>
          <w:numId w:val="33"/>
        </w:numPr>
        <w:jc w:val="both"/>
        <w:rPr>
          <w:rFonts w:ascii="Montserrat Medium" w:eastAsia="Times New Roman" w:hAnsi="Montserrat Medium" w:cs="Arial"/>
          <w:color w:val="595959"/>
          <w:sz w:val="22"/>
          <w:lang w:eastAsia="en-US"/>
        </w:rPr>
      </w:pPr>
      <w:r w:rsidRPr="00E34CDC">
        <w:rPr>
          <w:rFonts w:ascii="Montserrat Medium" w:eastAsia="Times New Roman" w:hAnsi="Montserrat Medium" w:cs="Arial"/>
          <w:color w:val="595959"/>
          <w:sz w:val="22"/>
          <w:lang w:eastAsia="en-US"/>
        </w:rPr>
        <w:t>Por monto.</w:t>
      </w:r>
    </w:p>
    <w:tbl>
      <w:tblPr>
        <w:tblW w:w="4346" w:type="pct"/>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68"/>
        <w:gridCol w:w="1702"/>
        <w:gridCol w:w="1419"/>
      </w:tblGrid>
      <w:tr w:rsidR="00962118" w:rsidRPr="00D51385" w14:paraId="342D3B02" w14:textId="77777777" w:rsidTr="00E92510">
        <w:trPr>
          <w:trHeight w:val="945"/>
        </w:trPr>
        <w:tc>
          <w:tcPr>
            <w:tcW w:w="3224" w:type="pct"/>
            <w:tcBorders>
              <w:top w:val="single" w:sz="4" w:space="0" w:color="auto"/>
              <w:bottom w:val="single" w:sz="4" w:space="0" w:color="auto"/>
              <w:right w:val="single" w:sz="4" w:space="0" w:color="auto"/>
            </w:tcBorders>
            <w:shd w:val="clear" w:color="000000" w:fill="A6A6A6"/>
            <w:noWrap/>
            <w:vAlign w:val="center"/>
            <w:hideMark/>
          </w:tcPr>
          <w:p w14:paraId="7B2F3147" w14:textId="77777777" w:rsidR="00962118" w:rsidRPr="00D51385" w:rsidRDefault="00962118" w:rsidP="00962118">
            <w:pPr>
              <w:jc w:val="center"/>
              <w:rPr>
                <w:rFonts w:ascii="Montserrat Medium" w:eastAsia="Times New Roman" w:hAnsi="Montserrat Medium" w:cs="Calibri"/>
                <w:b/>
                <w:bCs/>
                <w:color w:val="000000"/>
                <w:sz w:val="16"/>
                <w:szCs w:val="14"/>
                <w:lang w:val="es-MX" w:eastAsia="es-MX"/>
              </w:rPr>
            </w:pPr>
            <w:r w:rsidRPr="00D51385">
              <w:rPr>
                <w:rFonts w:ascii="Montserrat Medium" w:eastAsia="Times New Roman" w:hAnsi="Montserrat Medium" w:cs="Calibri"/>
                <w:b/>
                <w:bCs/>
                <w:color w:val="000000"/>
                <w:sz w:val="16"/>
                <w:szCs w:val="14"/>
                <w:lang w:val="es-MX" w:eastAsia="es-MX"/>
              </w:rPr>
              <w:t>Fideicomiso</w:t>
            </w:r>
          </w:p>
        </w:tc>
        <w:tc>
          <w:tcPr>
            <w:tcW w:w="968"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5C827869" w14:textId="3408AFE5" w:rsidR="00962118" w:rsidRPr="00D51385" w:rsidRDefault="00962118" w:rsidP="00962118">
            <w:pPr>
              <w:jc w:val="center"/>
              <w:rPr>
                <w:rFonts w:ascii="Montserrat Medium" w:eastAsia="Times New Roman" w:hAnsi="Montserrat Medium" w:cs="Calibri"/>
                <w:b/>
                <w:bCs/>
                <w:color w:val="000000"/>
                <w:sz w:val="16"/>
                <w:szCs w:val="14"/>
                <w:lang w:val="es-MX" w:eastAsia="es-MX"/>
              </w:rPr>
            </w:pPr>
            <w:r w:rsidRPr="00D51385">
              <w:rPr>
                <w:rFonts w:ascii="Montserrat" w:eastAsia="Times New Roman" w:hAnsi="Montserrat" w:cs="Futura Medium"/>
                <w:b/>
                <w:sz w:val="16"/>
                <w:szCs w:val="17"/>
                <w:lang w:eastAsia="en-US"/>
              </w:rPr>
              <w:t>Al 30 de junio de 2025</w:t>
            </w:r>
          </w:p>
        </w:tc>
        <w:tc>
          <w:tcPr>
            <w:tcW w:w="807"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14524BA8" w14:textId="6D872A70" w:rsidR="00962118" w:rsidRPr="00D51385" w:rsidRDefault="00962118" w:rsidP="00962118">
            <w:pPr>
              <w:jc w:val="center"/>
              <w:rPr>
                <w:rFonts w:ascii="Montserrat Medium" w:eastAsia="Times New Roman" w:hAnsi="Montserrat Medium" w:cs="Calibri"/>
                <w:b/>
                <w:bCs/>
                <w:color w:val="000000"/>
                <w:sz w:val="16"/>
                <w:szCs w:val="14"/>
                <w:lang w:val="es-MX" w:eastAsia="es-MX"/>
              </w:rPr>
            </w:pPr>
            <w:r w:rsidRPr="00D51385">
              <w:rPr>
                <w:rFonts w:ascii="Montserrat" w:eastAsia="Times New Roman" w:hAnsi="Montserrat" w:cs="Futura Medium"/>
                <w:b/>
                <w:sz w:val="16"/>
                <w:szCs w:val="17"/>
                <w:lang w:eastAsia="en-US"/>
              </w:rPr>
              <w:t>2024</w:t>
            </w:r>
          </w:p>
        </w:tc>
      </w:tr>
      <w:tr w:rsidR="00962118" w:rsidRPr="00D51385" w14:paraId="42AD1641" w14:textId="77777777" w:rsidTr="00E92510">
        <w:trPr>
          <w:trHeight w:val="555"/>
        </w:trPr>
        <w:tc>
          <w:tcPr>
            <w:tcW w:w="3224" w:type="pct"/>
            <w:tcBorders>
              <w:top w:val="single" w:sz="4" w:space="0" w:color="auto"/>
              <w:right w:val="single" w:sz="4" w:space="0" w:color="auto"/>
            </w:tcBorders>
            <w:shd w:val="clear" w:color="auto" w:fill="auto"/>
            <w:noWrap/>
            <w:vAlign w:val="bottom"/>
            <w:hideMark/>
          </w:tcPr>
          <w:p w14:paraId="463D8070" w14:textId="77777777" w:rsidR="00962118" w:rsidRPr="00D51385" w:rsidRDefault="00962118" w:rsidP="00962118">
            <w:pPr>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Contrato de Fideicomiso Irrevocable de Administración y Fuente de Pago No. F/967 de fecha 4 de noviembre de 2011 y al Convenio Modificatorio del Contrato de Fideicomiso irrevocable de administración y fuente de pago identificado administrativamente con el número F/967, celebrado el 8 de diciembre de 2011 y actualmente número 744634.</w:t>
            </w:r>
          </w:p>
        </w:tc>
        <w:tc>
          <w:tcPr>
            <w:tcW w:w="968" w:type="pct"/>
            <w:tcBorders>
              <w:top w:val="single" w:sz="4" w:space="0" w:color="auto"/>
              <w:left w:val="single" w:sz="4" w:space="0" w:color="auto"/>
              <w:right w:val="single" w:sz="4" w:space="0" w:color="auto"/>
            </w:tcBorders>
            <w:shd w:val="clear" w:color="auto" w:fill="auto"/>
            <w:noWrap/>
            <w:vAlign w:val="center"/>
            <w:hideMark/>
          </w:tcPr>
          <w:p w14:paraId="407511D1" w14:textId="77777777" w:rsidR="00962118" w:rsidRPr="00D51385" w:rsidRDefault="00962118" w:rsidP="00E92510">
            <w:pPr>
              <w:jc w:val="right"/>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300,772,448.04</w:t>
            </w:r>
          </w:p>
        </w:tc>
        <w:tc>
          <w:tcPr>
            <w:tcW w:w="807" w:type="pct"/>
            <w:tcBorders>
              <w:top w:val="single" w:sz="4" w:space="0" w:color="auto"/>
              <w:left w:val="single" w:sz="4" w:space="0" w:color="auto"/>
              <w:right w:val="single" w:sz="4" w:space="0" w:color="auto"/>
            </w:tcBorders>
            <w:shd w:val="clear" w:color="auto" w:fill="auto"/>
            <w:noWrap/>
            <w:vAlign w:val="center"/>
            <w:hideMark/>
          </w:tcPr>
          <w:p w14:paraId="6639638D" w14:textId="77777777" w:rsidR="00962118" w:rsidRPr="00D51385" w:rsidRDefault="00962118" w:rsidP="00E92510">
            <w:pPr>
              <w:jc w:val="right"/>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374,364,392.91</w:t>
            </w:r>
          </w:p>
        </w:tc>
      </w:tr>
      <w:tr w:rsidR="00962118" w:rsidRPr="00D51385" w14:paraId="7060B4FC" w14:textId="77777777" w:rsidTr="00E92510">
        <w:trPr>
          <w:trHeight w:val="147"/>
        </w:trPr>
        <w:tc>
          <w:tcPr>
            <w:tcW w:w="3224" w:type="pct"/>
            <w:tcBorders>
              <w:right w:val="single" w:sz="4" w:space="0" w:color="auto"/>
            </w:tcBorders>
            <w:shd w:val="clear" w:color="auto" w:fill="auto"/>
            <w:noWrap/>
            <w:vAlign w:val="bottom"/>
            <w:hideMark/>
          </w:tcPr>
          <w:p w14:paraId="053B8306" w14:textId="77777777" w:rsidR="00962118" w:rsidRPr="00D51385" w:rsidRDefault="00962118" w:rsidP="00962118">
            <w:pPr>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Fideicomiso de Administración F/2003859.</w:t>
            </w:r>
          </w:p>
        </w:tc>
        <w:tc>
          <w:tcPr>
            <w:tcW w:w="968" w:type="pct"/>
            <w:tcBorders>
              <w:left w:val="single" w:sz="4" w:space="0" w:color="auto"/>
              <w:right w:val="single" w:sz="4" w:space="0" w:color="auto"/>
            </w:tcBorders>
            <w:shd w:val="clear" w:color="auto" w:fill="auto"/>
            <w:noWrap/>
            <w:vAlign w:val="center"/>
            <w:hideMark/>
          </w:tcPr>
          <w:p w14:paraId="571E34A0" w14:textId="77777777" w:rsidR="00962118" w:rsidRPr="00D51385" w:rsidRDefault="00962118" w:rsidP="00E92510">
            <w:pPr>
              <w:jc w:val="right"/>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55,480,898.70</w:t>
            </w:r>
          </w:p>
        </w:tc>
        <w:tc>
          <w:tcPr>
            <w:tcW w:w="807" w:type="pct"/>
            <w:tcBorders>
              <w:left w:val="single" w:sz="4" w:space="0" w:color="auto"/>
              <w:right w:val="single" w:sz="4" w:space="0" w:color="auto"/>
            </w:tcBorders>
            <w:shd w:val="clear" w:color="auto" w:fill="auto"/>
            <w:noWrap/>
            <w:vAlign w:val="center"/>
            <w:hideMark/>
          </w:tcPr>
          <w:p w14:paraId="3CD5C7D9" w14:textId="77777777" w:rsidR="00962118" w:rsidRPr="00D51385" w:rsidRDefault="00962118" w:rsidP="00E92510">
            <w:pPr>
              <w:jc w:val="right"/>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46,633,567.71</w:t>
            </w:r>
          </w:p>
        </w:tc>
      </w:tr>
      <w:tr w:rsidR="00962118" w:rsidRPr="00D51385" w14:paraId="46287ABB" w14:textId="77777777" w:rsidTr="00E92510">
        <w:trPr>
          <w:trHeight w:val="107"/>
        </w:trPr>
        <w:tc>
          <w:tcPr>
            <w:tcW w:w="3224" w:type="pct"/>
            <w:tcBorders>
              <w:right w:val="single" w:sz="4" w:space="0" w:color="auto"/>
            </w:tcBorders>
            <w:shd w:val="clear" w:color="auto" w:fill="auto"/>
            <w:noWrap/>
            <w:vAlign w:val="bottom"/>
            <w:hideMark/>
          </w:tcPr>
          <w:p w14:paraId="490C09A1" w14:textId="77777777" w:rsidR="00962118" w:rsidRPr="00D51385" w:rsidRDefault="00962118" w:rsidP="00962118">
            <w:pPr>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Fideicomiso de Administración e inversión N° 2004216.</w:t>
            </w:r>
          </w:p>
        </w:tc>
        <w:tc>
          <w:tcPr>
            <w:tcW w:w="968" w:type="pct"/>
            <w:tcBorders>
              <w:left w:val="single" w:sz="4" w:space="0" w:color="auto"/>
              <w:right w:val="single" w:sz="4" w:space="0" w:color="auto"/>
            </w:tcBorders>
            <w:shd w:val="clear" w:color="auto" w:fill="auto"/>
            <w:noWrap/>
            <w:vAlign w:val="center"/>
            <w:hideMark/>
          </w:tcPr>
          <w:p w14:paraId="6DDA367C" w14:textId="77777777" w:rsidR="00962118" w:rsidRPr="00D51385" w:rsidRDefault="00962118" w:rsidP="00E92510">
            <w:pPr>
              <w:jc w:val="right"/>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27,745,507.97</w:t>
            </w:r>
          </w:p>
        </w:tc>
        <w:tc>
          <w:tcPr>
            <w:tcW w:w="807" w:type="pct"/>
            <w:tcBorders>
              <w:left w:val="single" w:sz="4" w:space="0" w:color="auto"/>
              <w:right w:val="single" w:sz="4" w:space="0" w:color="auto"/>
            </w:tcBorders>
            <w:shd w:val="clear" w:color="auto" w:fill="auto"/>
            <w:noWrap/>
            <w:vAlign w:val="center"/>
            <w:hideMark/>
          </w:tcPr>
          <w:p w14:paraId="67691A72" w14:textId="77777777" w:rsidR="00962118" w:rsidRPr="00D51385" w:rsidRDefault="00962118" w:rsidP="00E92510">
            <w:pPr>
              <w:jc w:val="right"/>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27,715,375.34</w:t>
            </w:r>
          </w:p>
        </w:tc>
      </w:tr>
      <w:tr w:rsidR="00962118" w:rsidRPr="00D51385" w14:paraId="54AAE539" w14:textId="77777777" w:rsidTr="00E92510">
        <w:trPr>
          <w:trHeight w:val="67"/>
        </w:trPr>
        <w:tc>
          <w:tcPr>
            <w:tcW w:w="3224" w:type="pct"/>
            <w:tcBorders>
              <w:right w:val="single" w:sz="4" w:space="0" w:color="auto"/>
            </w:tcBorders>
            <w:shd w:val="clear" w:color="auto" w:fill="auto"/>
            <w:noWrap/>
            <w:vAlign w:val="bottom"/>
            <w:hideMark/>
          </w:tcPr>
          <w:p w14:paraId="19F92051" w14:textId="77777777" w:rsidR="00962118" w:rsidRPr="00D51385" w:rsidRDefault="00962118" w:rsidP="00962118">
            <w:pPr>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Contrato de fideicomiso irrevocable de inversión y administración N° 2230.</w:t>
            </w:r>
          </w:p>
        </w:tc>
        <w:tc>
          <w:tcPr>
            <w:tcW w:w="968" w:type="pct"/>
            <w:tcBorders>
              <w:left w:val="single" w:sz="4" w:space="0" w:color="auto"/>
              <w:right w:val="single" w:sz="4" w:space="0" w:color="auto"/>
            </w:tcBorders>
            <w:shd w:val="clear" w:color="auto" w:fill="auto"/>
            <w:noWrap/>
            <w:vAlign w:val="center"/>
            <w:hideMark/>
          </w:tcPr>
          <w:p w14:paraId="055988BD" w14:textId="77777777" w:rsidR="00962118" w:rsidRPr="00D51385" w:rsidRDefault="00962118" w:rsidP="00E92510">
            <w:pPr>
              <w:jc w:val="right"/>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9,507,611.63</w:t>
            </w:r>
          </w:p>
        </w:tc>
        <w:tc>
          <w:tcPr>
            <w:tcW w:w="807" w:type="pct"/>
            <w:tcBorders>
              <w:left w:val="single" w:sz="4" w:space="0" w:color="auto"/>
              <w:right w:val="single" w:sz="4" w:space="0" w:color="auto"/>
            </w:tcBorders>
            <w:shd w:val="clear" w:color="auto" w:fill="auto"/>
            <w:noWrap/>
            <w:vAlign w:val="center"/>
            <w:hideMark/>
          </w:tcPr>
          <w:p w14:paraId="56DF6ECF" w14:textId="77777777" w:rsidR="00962118" w:rsidRPr="00D51385" w:rsidRDefault="00962118" w:rsidP="00E92510">
            <w:pPr>
              <w:jc w:val="right"/>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9,805,231.83</w:t>
            </w:r>
          </w:p>
        </w:tc>
      </w:tr>
      <w:tr w:rsidR="00962118" w:rsidRPr="00D51385" w14:paraId="2978F991" w14:textId="77777777" w:rsidTr="00E92510">
        <w:trPr>
          <w:trHeight w:val="169"/>
        </w:trPr>
        <w:tc>
          <w:tcPr>
            <w:tcW w:w="3224" w:type="pct"/>
            <w:tcBorders>
              <w:right w:val="single" w:sz="4" w:space="0" w:color="auto"/>
            </w:tcBorders>
            <w:shd w:val="clear" w:color="auto" w:fill="auto"/>
            <w:noWrap/>
            <w:vAlign w:val="bottom"/>
            <w:hideMark/>
          </w:tcPr>
          <w:p w14:paraId="3B28965F" w14:textId="77777777" w:rsidR="00962118" w:rsidRPr="00D51385" w:rsidRDefault="00962118" w:rsidP="00962118">
            <w:pPr>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 xml:space="preserve">Contrato de fideicomiso irrevocable de inversión y administración N°745372. </w:t>
            </w:r>
          </w:p>
        </w:tc>
        <w:tc>
          <w:tcPr>
            <w:tcW w:w="968" w:type="pct"/>
            <w:tcBorders>
              <w:left w:val="single" w:sz="4" w:space="0" w:color="auto"/>
              <w:right w:val="single" w:sz="4" w:space="0" w:color="auto"/>
            </w:tcBorders>
            <w:shd w:val="clear" w:color="auto" w:fill="auto"/>
            <w:noWrap/>
            <w:vAlign w:val="center"/>
            <w:hideMark/>
          </w:tcPr>
          <w:p w14:paraId="1F1D8C1C" w14:textId="77777777" w:rsidR="00962118" w:rsidRPr="00D51385" w:rsidRDefault="00962118" w:rsidP="00E92510">
            <w:pPr>
              <w:jc w:val="right"/>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205,352,115.70</w:t>
            </w:r>
          </w:p>
        </w:tc>
        <w:tc>
          <w:tcPr>
            <w:tcW w:w="807" w:type="pct"/>
            <w:tcBorders>
              <w:left w:val="single" w:sz="4" w:space="0" w:color="auto"/>
              <w:right w:val="single" w:sz="4" w:space="0" w:color="auto"/>
            </w:tcBorders>
            <w:shd w:val="clear" w:color="auto" w:fill="auto"/>
            <w:noWrap/>
            <w:vAlign w:val="center"/>
            <w:hideMark/>
          </w:tcPr>
          <w:p w14:paraId="4B94E098" w14:textId="77777777" w:rsidR="00962118" w:rsidRPr="00D51385" w:rsidRDefault="00962118" w:rsidP="00E92510">
            <w:pPr>
              <w:jc w:val="right"/>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21,625.03</w:t>
            </w:r>
          </w:p>
        </w:tc>
      </w:tr>
      <w:tr w:rsidR="00962118" w:rsidRPr="00D51385" w14:paraId="2617140C" w14:textId="77777777" w:rsidTr="00E92510">
        <w:trPr>
          <w:trHeight w:val="129"/>
        </w:trPr>
        <w:tc>
          <w:tcPr>
            <w:tcW w:w="3224" w:type="pct"/>
            <w:tcBorders>
              <w:right w:val="single" w:sz="4" w:space="0" w:color="auto"/>
            </w:tcBorders>
            <w:shd w:val="clear" w:color="auto" w:fill="auto"/>
            <w:noWrap/>
            <w:vAlign w:val="bottom"/>
            <w:hideMark/>
          </w:tcPr>
          <w:p w14:paraId="210AFB0E" w14:textId="77777777" w:rsidR="00962118" w:rsidRPr="00D51385" w:rsidRDefault="00962118" w:rsidP="00962118">
            <w:pPr>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 xml:space="preserve">Fideicomiso Irrevocable de Administración, Inversión y Fuente de Pago número 753641. </w:t>
            </w:r>
          </w:p>
        </w:tc>
        <w:tc>
          <w:tcPr>
            <w:tcW w:w="968" w:type="pct"/>
            <w:tcBorders>
              <w:left w:val="single" w:sz="4" w:space="0" w:color="auto"/>
              <w:right w:val="single" w:sz="4" w:space="0" w:color="auto"/>
            </w:tcBorders>
            <w:shd w:val="clear" w:color="auto" w:fill="auto"/>
            <w:noWrap/>
            <w:vAlign w:val="center"/>
            <w:hideMark/>
          </w:tcPr>
          <w:p w14:paraId="3D4E1796" w14:textId="77777777" w:rsidR="00962118" w:rsidRPr="00D51385" w:rsidRDefault="00962118" w:rsidP="00E92510">
            <w:pPr>
              <w:jc w:val="right"/>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381,812,357.24</w:t>
            </w:r>
          </w:p>
        </w:tc>
        <w:tc>
          <w:tcPr>
            <w:tcW w:w="807" w:type="pct"/>
            <w:tcBorders>
              <w:left w:val="single" w:sz="4" w:space="0" w:color="auto"/>
              <w:right w:val="single" w:sz="4" w:space="0" w:color="auto"/>
            </w:tcBorders>
            <w:shd w:val="clear" w:color="auto" w:fill="auto"/>
            <w:noWrap/>
            <w:vAlign w:val="center"/>
            <w:hideMark/>
          </w:tcPr>
          <w:p w14:paraId="77EBA49D" w14:textId="77777777" w:rsidR="00962118" w:rsidRPr="00D51385" w:rsidRDefault="00962118" w:rsidP="00E92510">
            <w:pPr>
              <w:jc w:val="right"/>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191,656,643.55</w:t>
            </w:r>
          </w:p>
        </w:tc>
      </w:tr>
      <w:tr w:rsidR="00962118" w:rsidRPr="00D51385" w14:paraId="4A42A35A" w14:textId="77777777" w:rsidTr="00E92510">
        <w:trPr>
          <w:trHeight w:val="103"/>
        </w:trPr>
        <w:tc>
          <w:tcPr>
            <w:tcW w:w="3224" w:type="pct"/>
            <w:tcBorders>
              <w:right w:val="single" w:sz="4" w:space="0" w:color="auto"/>
            </w:tcBorders>
            <w:shd w:val="clear" w:color="auto" w:fill="auto"/>
            <w:noWrap/>
            <w:vAlign w:val="bottom"/>
            <w:hideMark/>
          </w:tcPr>
          <w:p w14:paraId="5E68D152" w14:textId="77777777" w:rsidR="00962118" w:rsidRPr="00D51385" w:rsidRDefault="00962118" w:rsidP="00962118">
            <w:pPr>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 xml:space="preserve">Fideicomiso Irrevocable de Administración, Inversión y Fuente de Pago número 753637. </w:t>
            </w:r>
          </w:p>
        </w:tc>
        <w:tc>
          <w:tcPr>
            <w:tcW w:w="968" w:type="pct"/>
            <w:tcBorders>
              <w:left w:val="single" w:sz="4" w:space="0" w:color="auto"/>
              <w:right w:val="single" w:sz="4" w:space="0" w:color="auto"/>
            </w:tcBorders>
            <w:shd w:val="clear" w:color="auto" w:fill="auto"/>
            <w:noWrap/>
            <w:vAlign w:val="center"/>
            <w:hideMark/>
          </w:tcPr>
          <w:p w14:paraId="76332322" w14:textId="77777777" w:rsidR="00962118" w:rsidRPr="00D51385" w:rsidRDefault="00962118" w:rsidP="00E92510">
            <w:pPr>
              <w:jc w:val="right"/>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230,550,133.45</w:t>
            </w:r>
          </w:p>
        </w:tc>
        <w:tc>
          <w:tcPr>
            <w:tcW w:w="807" w:type="pct"/>
            <w:tcBorders>
              <w:left w:val="single" w:sz="4" w:space="0" w:color="auto"/>
              <w:right w:val="single" w:sz="4" w:space="0" w:color="auto"/>
            </w:tcBorders>
            <w:shd w:val="clear" w:color="auto" w:fill="auto"/>
            <w:noWrap/>
            <w:vAlign w:val="center"/>
            <w:hideMark/>
          </w:tcPr>
          <w:p w14:paraId="22D7C238" w14:textId="77777777" w:rsidR="00962118" w:rsidRPr="00D51385" w:rsidRDefault="00962118" w:rsidP="00E92510">
            <w:pPr>
              <w:jc w:val="right"/>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83,704,928.54</w:t>
            </w:r>
          </w:p>
        </w:tc>
      </w:tr>
      <w:tr w:rsidR="00962118" w:rsidRPr="00D51385" w14:paraId="6BA0956E" w14:textId="77777777" w:rsidTr="00E92510">
        <w:trPr>
          <w:trHeight w:val="191"/>
        </w:trPr>
        <w:tc>
          <w:tcPr>
            <w:tcW w:w="3224" w:type="pct"/>
            <w:tcBorders>
              <w:right w:val="single" w:sz="4" w:space="0" w:color="auto"/>
            </w:tcBorders>
            <w:shd w:val="clear" w:color="auto" w:fill="auto"/>
            <w:noWrap/>
            <w:vAlign w:val="bottom"/>
            <w:hideMark/>
          </w:tcPr>
          <w:p w14:paraId="798198B2" w14:textId="77777777" w:rsidR="00962118" w:rsidRPr="00D51385" w:rsidRDefault="00962118" w:rsidP="00962118">
            <w:pPr>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 xml:space="preserve">Fideicomiso Irrevocable de Administración, Inversión y Fuente de Pago número 753639. </w:t>
            </w:r>
          </w:p>
        </w:tc>
        <w:tc>
          <w:tcPr>
            <w:tcW w:w="968" w:type="pct"/>
            <w:tcBorders>
              <w:left w:val="single" w:sz="4" w:space="0" w:color="auto"/>
              <w:right w:val="single" w:sz="4" w:space="0" w:color="auto"/>
            </w:tcBorders>
            <w:shd w:val="clear" w:color="auto" w:fill="auto"/>
            <w:noWrap/>
            <w:vAlign w:val="center"/>
            <w:hideMark/>
          </w:tcPr>
          <w:p w14:paraId="7BCBDF2B" w14:textId="77777777" w:rsidR="00962118" w:rsidRPr="00D51385" w:rsidRDefault="00962118" w:rsidP="00E92510">
            <w:pPr>
              <w:jc w:val="right"/>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97,052,312.56</w:t>
            </w:r>
          </w:p>
        </w:tc>
        <w:tc>
          <w:tcPr>
            <w:tcW w:w="807" w:type="pct"/>
            <w:tcBorders>
              <w:left w:val="single" w:sz="4" w:space="0" w:color="auto"/>
              <w:right w:val="single" w:sz="4" w:space="0" w:color="auto"/>
            </w:tcBorders>
            <w:shd w:val="clear" w:color="auto" w:fill="auto"/>
            <w:noWrap/>
            <w:vAlign w:val="center"/>
            <w:hideMark/>
          </w:tcPr>
          <w:p w14:paraId="573D7439" w14:textId="77777777" w:rsidR="00962118" w:rsidRPr="00D51385" w:rsidRDefault="00962118" w:rsidP="00E92510">
            <w:pPr>
              <w:jc w:val="right"/>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256,680.56</w:t>
            </w:r>
          </w:p>
        </w:tc>
      </w:tr>
      <w:tr w:rsidR="00962118" w:rsidRPr="00D51385" w14:paraId="5D71A43E" w14:textId="77777777" w:rsidTr="00E92510">
        <w:trPr>
          <w:trHeight w:val="137"/>
        </w:trPr>
        <w:tc>
          <w:tcPr>
            <w:tcW w:w="3224" w:type="pct"/>
            <w:tcBorders>
              <w:right w:val="single" w:sz="4" w:space="0" w:color="auto"/>
            </w:tcBorders>
            <w:shd w:val="clear" w:color="auto" w:fill="auto"/>
            <w:noWrap/>
            <w:vAlign w:val="bottom"/>
            <w:hideMark/>
          </w:tcPr>
          <w:p w14:paraId="0A919E4A" w14:textId="77777777" w:rsidR="00962118" w:rsidRPr="00D51385" w:rsidRDefault="00962118" w:rsidP="00962118">
            <w:pPr>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Fondo de Financiamiento de Quintana Roo</w:t>
            </w:r>
          </w:p>
        </w:tc>
        <w:tc>
          <w:tcPr>
            <w:tcW w:w="968" w:type="pct"/>
            <w:tcBorders>
              <w:left w:val="single" w:sz="4" w:space="0" w:color="auto"/>
              <w:right w:val="single" w:sz="4" w:space="0" w:color="auto"/>
            </w:tcBorders>
            <w:shd w:val="clear" w:color="auto" w:fill="auto"/>
            <w:noWrap/>
            <w:vAlign w:val="center"/>
            <w:hideMark/>
          </w:tcPr>
          <w:p w14:paraId="0F724425" w14:textId="77777777" w:rsidR="00962118" w:rsidRPr="00D51385" w:rsidRDefault="00962118" w:rsidP="00E92510">
            <w:pPr>
              <w:jc w:val="right"/>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92,583,893.01</w:t>
            </w:r>
          </w:p>
        </w:tc>
        <w:tc>
          <w:tcPr>
            <w:tcW w:w="807" w:type="pct"/>
            <w:tcBorders>
              <w:left w:val="single" w:sz="4" w:space="0" w:color="auto"/>
              <w:right w:val="single" w:sz="4" w:space="0" w:color="auto"/>
            </w:tcBorders>
            <w:shd w:val="clear" w:color="auto" w:fill="auto"/>
            <w:noWrap/>
            <w:vAlign w:val="center"/>
            <w:hideMark/>
          </w:tcPr>
          <w:p w14:paraId="2DACE8F4" w14:textId="77777777" w:rsidR="00962118" w:rsidRPr="00D51385" w:rsidRDefault="00962118" w:rsidP="00E92510">
            <w:pPr>
              <w:jc w:val="right"/>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37,363,893.01</w:t>
            </w:r>
          </w:p>
        </w:tc>
      </w:tr>
      <w:tr w:rsidR="00962118" w:rsidRPr="00D51385" w14:paraId="527989E0" w14:textId="77777777" w:rsidTr="00E92510">
        <w:trPr>
          <w:trHeight w:val="239"/>
        </w:trPr>
        <w:tc>
          <w:tcPr>
            <w:tcW w:w="3224" w:type="pct"/>
            <w:tcBorders>
              <w:right w:val="single" w:sz="4" w:space="0" w:color="auto"/>
            </w:tcBorders>
            <w:shd w:val="clear" w:color="auto" w:fill="auto"/>
            <w:noWrap/>
            <w:vAlign w:val="bottom"/>
            <w:hideMark/>
          </w:tcPr>
          <w:p w14:paraId="6BB6C2ED" w14:textId="77777777" w:rsidR="00962118" w:rsidRPr="00D51385" w:rsidRDefault="00962118" w:rsidP="00962118">
            <w:pPr>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Fideicomiso para apoyar los programas y proyectos para la conservación de la Biodiversidad en el Estado de Quintana Roo N° 2460773.</w:t>
            </w:r>
          </w:p>
        </w:tc>
        <w:tc>
          <w:tcPr>
            <w:tcW w:w="968" w:type="pct"/>
            <w:tcBorders>
              <w:left w:val="single" w:sz="4" w:space="0" w:color="auto"/>
              <w:right w:val="single" w:sz="4" w:space="0" w:color="auto"/>
            </w:tcBorders>
            <w:shd w:val="clear" w:color="auto" w:fill="auto"/>
            <w:noWrap/>
            <w:vAlign w:val="center"/>
            <w:hideMark/>
          </w:tcPr>
          <w:p w14:paraId="5D60E738" w14:textId="77777777" w:rsidR="00962118" w:rsidRPr="00D51385" w:rsidRDefault="00962118" w:rsidP="00E92510">
            <w:pPr>
              <w:jc w:val="right"/>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16,899,998.67</w:t>
            </w:r>
          </w:p>
        </w:tc>
        <w:tc>
          <w:tcPr>
            <w:tcW w:w="807" w:type="pct"/>
            <w:tcBorders>
              <w:left w:val="single" w:sz="4" w:space="0" w:color="auto"/>
              <w:right w:val="single" w:sz="4" w:space="0" w:color="auto"/>
            </w:tcBorders>
            <w:shd w:val="clear" w:color="auto" w:fill="auto"/>
            <w:noWrap/>
            <w:vAlign w:val="center"/>
            <w:hideMark/>
          </w:tcPr>
          <w:p w14:paraId="6993498D" w14:textId="77777777" w:rsidR="00962118" w:rsidRPr="00D51385" w:rsidRDefault="00962118" w:rsidP="00E92510">
            <w:pPr>
              <w:jc w:val="right"/>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16,899,998.67</w:t>
            </w:r>
          </w:p>
        </w:tc>
      </w:tr>
      <w:tr w:rsidR="00962118" w:rsidRPr="00D51385" w14:paraId="465A8119" w14:textId="77777777" w:rsidTr="00E92510">
        <w:trPr>
          <w:trHeight w:val="315"/>
        </w:trPr>
        <w:tc>
          <w:tcPr>
            <w:tcW w:w="3224" w:type="pct"/>
            <w:tcBorders>
              <w:right w:val="single" w:sz="4" w:space="0" w:color="auto"/>
            </w:tcBorders>
            <w:shd w:val="clear" w:color="auto" w:fill="auto"/>
            <w:noWrap/>
            <w:vAlign w:val="bottom"/>
            <w:hideMark/>
          </w:tcPr>
          <w:p w14:paraId="1BAB468C" w14:textId="77777777" w:rsidR="00962118" w:rsidRPr="00D51385" w:rsidRDefault="00962118" w:rsidP="00962118">
            <w:pPr>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 xml:space="preserve">Fideicomiso para el Bienestar del Turismo </w:t>
            </w:r>
            <w:proofErr w:type="spellStart"/>
            <w:r w:rsidRPr="00D51385">
              <w:rPr>
                <w:rFonts w:ascii="Montserrat Medium" w:eastAsia="Times New Roman" w:hAnsi="Montserrat Medium" w:cs="Calibri"/>
                <w:color w:val="000000"/>
                <w:sz w:val="16"/>
                <w:szCs w:val="14"/>
                <w:lang w:val="es-MX" w:eastAsia="es-MX"/>
              </w:rPr>
              <w:t>Crucerista</w:t>
            </w:r>
            <w:proofErr w:type="spellEnd"/>
            <w:r w:rsidRPr="00D51385">
              <w:rPr>
                <w:rFonts w:ascii="Montserrat Medium" w:eastAsia="Times New Roman" w:hAnsi="Montserrat Medium" w:cs="Calibri"/>
                <w:color w:val="000000"/>
                <w:sz w:val="16"/>
                <w:szCs w:val="14"/>
                <w:lang w:val="es-MX" w:eastAsia="es-MX"/>
              </w:rPr>
              <w:t xml:space="preserve"> del Estado de Quintana Roo Fideicomiso 187451 </w:t>
            </w:r>
          </w:p>
        </w:tc>
        <w:tc>
          <w:tcPr>
            <w:tcW w:w="968" w:type="pct"/>
            <w:tcBorders>
              <w:left w:val="single" w:sz="4" w:space="0" w:color="auto"/>
              <w:right w:val="single" w:sz="4" w:space="0" w:color="auto"/>
            </w:tcBorders>
            <w:shd w:val="clear" w:color="auto" w:fill="auto"/>
            <w:noWrap/>
            <w:vAlign w:val="center"/>
            <w:hideMark/>
          </w:tcPr>
          <w:p w14:paraId="14BE191E" w14:textId="77777777" w:rsidR="00962118" w:rsidRPr="00D51385" w:rsidRDefault="00962118" w:rsidP="00E92510">
            <w:pPr>
              <w:jc w:val="right"/>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307,643,223.78</w:t>
            </w:r>
          </w:p>
        </w:tc>
        <w:tc>
          <w:tcPr>
            <w:tcW w:w="807" w:type="pct"/>
            <w:tcBorders>
              <w:left w:val="single" w:sz="4" w:space="0" w:color="auto"/>
              <w:right w:val="single" w:sz="4" w:space="0" w:color="auto"/>
            </w:tcBorders>
            <w:shd w:val="clear" w:color="auto" w:fill="auto"/>
            <w:noWrap/>
            <w:vAlign w:val="center"/>
            <w:hideMark/>
          </w:tcPr>
          <w:p w14:paraId="5BD64679" w14:textId="77777777" w:rsidR="00962118" w:rsidRPr="00D51385" w:rsidRDefault="00962118" w:rsidP="00E92510">
            <w:pPr>
              <w:jc w:val="right"/>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0.00</w:t>
            </w:r>
          </w:p>
        </w:tc>
      </w:tr>
      <w:tr w:rsidR="00962118" w:rsidRPr="00D51385" w14:paraId="3D9B6601" w14:textId="77777777" w:rsidTr="00E92510">
        <w:trPr>
          <w:trHeight w:val="249"/>
        </w:trPr>
        <w:tc>
          <w:tcPr>
            <w:tcW w:w="3224" w:type="pct"/>
            <w:tcBorders>
              <w:right w:val="single" w:sz="4" w:space="0" w:color="auto"/>
            </w:tcBorders>
            <w:shd w:val="clear" w:color="auto" w:fill="auto"/>
            <w:noWrap/>
            <w:vAlign w:val="bottom"/>
            <w:hideMark/>
          </w:tcPr>
          <w:p w14:paraId="19178090" w14:textId="11B7EC9F" w:rsidR="00962118" w:rsidRPr="00D51385" w:rsidRDefault="00962118" w:rsidP="00962118">
            <w:pPr>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Fideicomiso para el Fortalecimiento a la Actividad Turística en el Estado de Quintana Roo (FOATQROO)</w:t>
            </w:r>
          </w:p>
        </w:tc>
        <w:tc>
          <w:tcPr>
            <w:tcW w:w="968" w:type="pct"/>
            <w:tcBorders>
              <w:left w:val="single" w:sz="4" w:space="0" w:color="auto"/>
              <w:right w:val="single" w:sz="4" w:space="0" w:color="auto"/>
            </w:tcBorders>
            <w:shd w:val="clear" w:color="auto" w:fill="auto"/>
            <w:noWrap/>
            <w:vAlign w:val="center"/>
            <w:hideMark/>
          </w:tcPr>
          <w:p w14:paraId="35ABDE0B" w14:textId="77777777" w:rsidR="00962118" w:rsidRPr="00D51385" w:rsidRDefault="00962118" w:rsidP="00E92510">
            <w:pPr>
              <w:jc w:val="right"/>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20,000,000.00</w:t>
            </w:r>
          </w:p>
        </w:tc>
        <w:tc>
          <w:tcPr>
            <w:tcW w:w="807" w:type="pct"/>
            <w:tcBorders>
              <w:left w:val="single" w:sz="4" w:space="0" w:color="auto"/>
              <w:right w:val="single" w:sz="4" w:space="0" w:color="auto"/>
            </w:tcBorders>
            <w:shd w:val="clear" w:color="auto" w:fill="auto"/>
            <w:noWrap/>
            <w:vAlign w:val="center"/>
            <w:hideMark/>
          </w:tcPr>
          <w:p w14:paraId="1D721BA6" w14:textId="77777777" w:rsidR="00962118" w:rsidRPr="00D51385" w:rsidRDefault="00962118" w:rsidP="00E92510">
            <w:pPr>
              <w:jc w:val="right"/>
              <w:rPr>
                <w:rFonts w:ascii="Montserrat Medium" w:eastAsia="Times New Roman" w:hAnsi="Montserrat Medium" w:cs="Calibri"/>
                <w:color w:val="000000"/>
                <w:sz w:val="16"/>
                <w:szCs w:val="14"/>
                <w:lang w:val="es-MX" w:eastAsia="es-MX"/>
              </w:rPr>
            </w:pPr>
            <w:r w:rsidRPr="00D51385">
              <w:rPr>
                <w:rFonts w:ascii="Montserrat Medium" w:eastAsia="Times New Roman" w:hAnsi="Montserrat Medium" w:cs="Calibri"/>
                <w:color w:val="000000"/>
                <w:sz w:val="16"/>
                <w:szCs w:val="14"/>
                <w:lang w:val="es-MX" w:eastAsia="es-MX"/>
              </w:rPr>
              <w:t>0.00</w:t>
            </w:r>
          </w:p>
        </w:tc>
      </w:tr>
      <w:tr w:rsidR="00A76F9D" w:rsidRPr="00D51385" w14:paraId="0AF298D9" w14:textId="77777777" w:rsidTr="00E92510">
        <w:trPr>
          <w:trHeight w:val="169"/>
        </w:trPr>
        <w:tc>
          <w:tcPr>
            <w:tcW w:w="3224" w:type="pct"/>
            <w:tcBorders>
              <w:bottom w:val="single" w:sz="4" w:space="0" w:color="auto"/>
              <w:right w:val="single" w:sz="4" w:space="0" w:color="auto"/>
            </w:tcBorders>
            <w:shd w:val="clear" w:color="auto" w:fill="auto"/>
            <w:noWrap/>
            <w:vAlign w:val="bottom"/>
            <w:hideMark/>
          </w:tcPr>
          <w:p w14:paraId="0DA4FEC5" w14:textId="77777777" w:rsidR="00962118" w:rsidRPr="00D51385" w:rsidRDefault="00962118" w:rsidP="00962118">
            <w:pPr>
              <w:rPr>
                <w:rFonts w:ascii="Montserrat Medium" w:eastAsia="Times New Roman" w:hAnsi="Montserrat Medium" w:cs="Calibri"/>
                <w:b/>
                <w:color w:val="000000"/>
                <w:sz w:val="16"/>
                <w:szCs w:val="14"/>
                <w:lang w:val="es-MX" w:eastAsia="es-MX"/>
              </w:rPr>
            </w:pPr>
            <w:r w:rsidRPr="00D51385">
              <w:rPr>
                <w:rFonts w:ascii="Montserrat Medium" w:eastAsia="Times New Roman" w:hAnsi="Montserrat Medium" w:cs="Calibri"/>
                <w:b/>
                <w:color w:val="000000"/>
                <w:sz w:val="16"/>
                <w:szCs w:val="14"/>
                <w:lang w:val="es-MX" w:eastAsia="es-MX"/>
              </w:rPr>
              <w:t>Total</w:t>
            </w:r>
          </w:p>
        </w:tc>
        <w:tc>
          <w:tcPr>
            <w:tcW w:w="968" w:type="pct"/>
            <w:tcBorders>
              <w:left w:val="single" w:sz="4" w:space="0" w:color="auto"/>
              <w:bottom w:val="single" w:sz="4" w:space="0" w:color="auto"/>
              <w:right w:val="single" w:sz="4" w:space="0" w:color="auto"/>
            </w:tcBorders>
            <w:shd w:val="clear" w:color="auto" w:fill="auto"/>
            <w:noWrap/>
            <w:vAlign w:val="bottom"/>
            <w:hideMark/>
          </w:tcPr>
          <w:p w14:paraId="0DCE8D35" w14:textId="77777777" w:rsidR="00962118" w:rsidRPr="00D51385" w:rsidRDefault="00962118" w:rsidP="00962118">
            <w:pPr>
              <w:jc w:val="right"/>
              <w:rPr>
                <w:rFonts w:ascii="Montserrat Medium" w:eastAsia="Times New Roman" w:hAnsi="Montserrat Medium" w:cs="Calibri"/>
                <w:b/>
                <w:color w:val="000000"/>
                <w:sz w:val="16"/>
                <w:szCs w:val="14"/>
                <w:lang w:val="es-MX" w:eastAsia="es-MX"/>
              </w:rPr>
            </w:pPr>
            <w:r w:rsidRPr="00D51385">
              <w:rPr>
                <w:rFonts w:ascii="Montserrat Medium" w:eastAsia="Times New Roman" w:hAnsi="Montserrat Medium" w:cs="Calibri"/>
                <w:b/>
                <w:color w:val="000000"/>
                <w:sz w:val="16"/>
                <w:szCs w:val="14"/>
                <w:lang w:val="es-MX" w:eastAsia="es-MX"/>
              </w:rPr>
              <w:t>1,745,400,500.75</w:t>
            </w:r>
          </w:p>
        </w:tc>
        <w:tc>
          <w:tcPr>
            <w:tcW w:w="807" w:type="pct"/>
            <w:tcBorders>
              <w:left w:val="single" w:sz="4" w:space="0" w:color="auto"/>
              <w:bottom w:val="single" w:sz="4" w:space="0" w:color="auto"/>
              <w:right w:val="single" w:sz="4" w:space="0" w:color="auto"/>
            </w:tcBorders>
            <w:shd w:val="clear" w:color="auto" w:fill="auto"/>
            <w:noWrap/>
            <w:vAlign w:val="bottom"/>
            <w:hideMark/>
          </w:tcPr>
          <w:p w14:paraId="480BE23A" w14:textId="77777777" w:rsidR="00962118" w:rsidRPr="00D51385" w:rsidRDefault="00962118" w:rsidP="00962118">
            <w:pPr>
              <w:jc w:val="right"/>
              <w:rPr>
                <w:rFonts w:ascii="Montserrat Medium" w:eastAsia="Times New Roman" w:hAnsi="Montserrat Medium" w:cs="Calibri"/>
                <w:b/>
                <w:color w:val="000000"/>
                <w:sz w:val="16"/>
                <w:szCs w:val="14"/>
                <w:lang w:val="es-MX" w:eastAsia="es-MX"/>
              </w:rPr>
            </w:pPr>
            <w:r w:rsidRPr="00D51385">
              <w:rPr>
                <w:rFonts w:ascii="Montserrat Medium" w:eastAsia="Times New Roman" w:hAnsi="Montserrat Medium" w:cs="Calibri"/>
                <w:b/>
                <w:color w:val="000000"/>
                <w:sz w:val="16"/>
                <w:szCs w:val="14"/>
                <w:lang w:val="es-MX" w:eastAsia="es-MX"/>
              </w:rPr>
              <w:t>788,422,337.15</w:t>
            </w:r>
          </w:p>
        </w:tc>
      </w:tr>
    </w:tbl>
    <w:p w14:paraId="2C669F1F" w14:textId="77777777" w:rsidR="00962118" w:rsidRPr="00A76F9D" w:rsidRDefault="00962118" w:rsidP="00962118">
      <w:pPr>
        <w:jc w:val="both"/>
        <w:rPr>
          <w:rFonts w:ascii="Montserrat Medium" w:eastAsia="Times New Roman" w:hAnsi="Montserrat Medium" w:cs="Arial"/>
          <w:b/>
          <w:color w:val="595959"/>
          <w:lang w:eastAsia="en-US"/>
        </w:rPr>
      </w:pPr>
    </w:p>
    <w:p w14:paraId="1979BD7D" w14:textId="77777777" w:rsidR="009C733C" w:rsidRDefault="009C733C" w:rsidP="002F131C">
      <w:pPr>
        <w:jc w:val="both"/>
        <w:rPr>
          <w:rFonts w:ascii="Montserrat Medium" w:eastAsia="Times New Roman" w:hAnsi="Montserrat Medium" w:cs="Arial"/>
          <w:color w:val="595959"/>
          <w:sz w:val="22"/>
          <w:highlight w:val="yellow"/>
          <w:lang w:eastAsia="en-US"/>
        </w:rPr>
      </w:pPr>
    </w:p>
    <w:p w14:paraId="0403B64F" w14:textId="77777777" w:rsidR="00D51385" w:rsidRDefault="00D51385" w:rsidP="002F131C">
      <w:pPr>
        <w:jc w:val="both"/>
        <w:rPr>
          <w:rFonts w:ascii="Montserrat Medium" w:eastAsia="Times New Roman" w:hAnsi="Montserrat Medium" w:cs="Arial"/>
          <w:color w:val="595959"/>
          <w:sz w:val="22"/>
          <w:highlight w:val="yellow"/>
          <w:lang w:eastAsia="en-US"/>
        </w:rPr>
      </w:pPr>
    </w:p>
    <w:p w14:paraId="1D759E96" w14:textId="77777777" w:rsidR="00D51385" w:rsidRPr="004E5937" w:rsidRDefault="00D51385" w:rsidP="002F131C">
      <w:pPr>
        <w:jc w:val="both"/>
        <w:rPr>
          <w:rFonts w:ascii="Montserrat Medium" w:eastAsia="Times New Roman" w:hAnsi="Montserrat Medium" w:cs="Arial"/>
          <w:color w:val="595959"/>
          <w:sz w:val="22"/>
          <w:highlight w:val="yellow"/>
          <w:lang w:eastAsia="en-US"/>
        </w:rPr>
      </w:pPr>
    </w:p>
    <w:p w14:paraId="1EBF2DD8" w14:textId="77777777" w:rsidR="008257FE" w:rsidRPr="00A76F9D" w:rsidRDefault="008257FE" w:rsidP="002F131C">
      <w:pPr>
        <w:jc w:val="both"/>
        <w:rPr>
          <w:rFonts w:ascii="Montserrat Medium" w:eastAsia="Times New Roman" w:hAnsi="Montserrat Medium" w:cs="Arial"/>
          <w:b/>
          <w:i/>
          <w:iCs/>
          <w:color w:val="595959"/>
          <w:sz w:val="22"/>
        </w:rPr>
      </w:pPr>
      <w:r w:rsidRPr="00A76F9D">
        <w:rPr>
          <w:rFonts w:ascii="Montserrat Medium" w:eastAsia="Times New Roman" w:hAnsi="Montserrat Medium" w:cs="Arial"/>
          <w:b/>
          <w:i/>
          <w:iCs/>
          <w:color w:val="595959"/>
          <w:sz w:val="22"/>
        </w:rPr>
        <w:lastRenderedPageBreak/>
        <w:t>Fideicomisos Públicos en Proceso de Extinción</w:t>
      </w:r>
    </w:p>
    <w:tbl>
      <w:tblPr>
        <w:tblW w:w="9552" w:type="dxa"/>
        <w:jc w:val="center"/>
        <w:tblInd w:w="92" w:type="dxa"/>
        <w:tblCellMar>
          <w:left w:w="70" w:type="dxa"/>
          <w:right w:w="70" w:type="dxa"/>
        </w:tblCellMar>
        <w:tblLook w:val="04A0" w:firstRow="1" w:lastRow="0" w:firstColumn="1" w:lastColumn="0" w:noHBand="0" w:noVBand="1"/>
      </w:tblPr>
      <w:tblGrid>
        <w:gridCol w:w="873"/>
        <w:gridCol w:w="1592"/>
        <w:gridCol w:w="3680"/>
        <w:gridCol w:w="1725"/>
        <w:gridCol w:w="1682"/>
      </w:tblGrid>
      <w:tr w:rsidR="009C733C" w:rsidRPr="004E5937" w14:paraId="4352F1F9" w14:textId="77777777" w:rsidTr="006E0655">
        <w:trPr>
          <w:trHeight w:val="255"/>
          <w:tblHeader/>
          <w:jc w:val="center"/>
        </w:trPr>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A78CF48" w14:textId="77777777" w:rsidR="009C733C" w:rsidRPr="00A76F9D" w:rsidRDefault="009C733C" w:rsidP="002F131C">
            <w:pPr>
              <w:jc w:val="center"/>
              <w:rPr>
                <w:rFonts w:ascii="Montserrat Medium" w:eastAsia="Times New Roman" w:hAnsi="Montserrat Medium" w:cs="Futura Medium"/>
                <w:b/>
                <w:bCs/>
                <w:color w:val="000000"/>
                <w:sz w:val="16"/>
                <w:szCs w:val="16"/>
              </w:rPr>
            </w:pPr>
            <w:r w:rsidRPr="00A76F9D">
              <w:rPr>
                <w:rFonts w:ascii="Montserrat Medium" w:eastAsia="Times New Roman" w:hAnsi="Montserrat Medium" w:cs="Futura Medium"/>
                <w:b/>
                <w:bCs/>
                <w:color w:val="000000"/>
                <w:sz w:val="16"/>
                <w:szCs w:val="16"/>
              </w:rPr>
              <w:t>Ejercicio</w:t>
            </w:r>
          </w:p>
        </w:tc>
        <w:tc>
          <w:tcPr>
            <w:tcW w:w="159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7B4FE69" w14:textId="77777777" w:rsidR="009C733C" w:rsidRPr="00A76F9D" w:rsidRDefault="009C733C" w:rsidP="002F131C">
            <w:pPr>
              <w:jc w:val="both"/>
              <w:rPr>
                <w:rFonts w:ascii="Montserrat Medium" w:eastAsia="Times New Roman" w:hAnsi="Montserrat Medium" w:cs="Futura Medium"/>
                <w:b/>
                <w:bCs/>
                <w:color w:val="000000"/>
                <w:sz w:val="16"/>
                <w:szCs w:val="16"/>
              </w:rPr>
            </w:pPr>
            <w:r w:rsidRPr="00A76F9D">
              <w:rPr>
                <w:rFonts w:ascii="Montserrat Medium" w:eastAsia="Times New Roman" w:hAnsi="Montserrat Medium" w:cs="Futura Medium"/>
                <w:b/>
                <w:bCs/>
                <w:color w:val="000000"/>
                <w:sz w:val="16"/>
                <w:szCs w:val="16"/>
              </w:rPr>
              <w:t>Número fideicomiso y fondo público, mandato o cualquier contrato análogo (en su caso)</w:t>
            </w:r>
          </w:p>
        </w:tc>
        <w:tc>
          <w:tcPr>
            <w:tcW w:w="36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590C249" w14:textId="77777777" w:rsidR="009C733C" w:rsidRPr="00A76F9D" w:rsidRDefault="009C733C" w:rsidP="002F131C">
            <w:pPr>
              <w:jc w:val="both"/>
              <w:rPr>
                <w:rFonts w:ascii="Montserrat Medium" w:eastAsia="Times New Roman" w:hAnsi="Montserrat Medium" w:cs="Futura Medium"/>
                <w:b/>
                <w:bCs/>
                <w:color w:val="000000"/>
                <w:sz w:val="16"/>
                <w:szCs w:val="16"/>
              </w:rPr>
            </w:pPr>
            <w:r w:rsidRPr="00A76F9D">
              <w:rPr>
                <w:rFonts w:ascii="Montserrat Medium" w:eastAsia="Times New Roman" w:hAnsi="Montserrat Medium" w:cs="Futura Medium"/>
                <w:b/>
                <w:bCs/>
                <w:color w:val="000000"/>
                <w:sz w:val="16"/>
                <w:szCs w:val="16"/>
              </w:rPr>
              <w:t>Denominación del fideicomiso y fondo público mandato o cualquier contrato análogo</w:t>
            </w:r>
          </w:p>
        </w:tc>
        <w:tc>
          <w:tcPr>
            <w:tcW w:w="172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D7A3095" w14:textId="77777777" w:rsidR="009C733C" w:rsidRPr="00A76F9D" w:rsidRDefault="009C733C" w:rsidP="002F131C">
            <w:pPr>
              <w:jc w:val="both"/>
              <w:rPr>
                <w:rFonts w:ascii="Montserrat Medium" w:eastAsia="Times New Roman" w:hAnsi="Montserrat Medium" w:cs="Futura Medium"/>
                <w:b/>
                <w:bCs/>
                <w:color w:val="000000"/>
                <w:sz w:val="16"/>
                <w:szCs w:val="16"/>
              </w:rPr>
            </w:pPr>
            <w:r w:rsidRPr="00A76F9D">
              <w:rPr>
                <w:rFonts w:ascii="Montserrat Medium" w:eastAsia="Times New Roman" w:hAnsi="Montserrat Medium" w:cs="Futura Medium"/>
                <w:b/>
                <w:bCs/>
                <w:color w:val="000000"/>
                <w:sz w:val="16"/>
                <w:szCs w:val="16"/>
              </w:rPr>
              <w:t>Nombre o denominación del Fideicomitente</w:t>
            </w:r>
          </w:p>
        </w:tc>
        <w:tc>
          <w:tcPr>
            <w:tcW w:w="16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3A6713D" w14:textId="77777777" w:rsidR="009C733C" w:rsidRPr="00A76F9D" w:rsidRDefault="009C733C" w:rsidP="002F131C">
            <w:pPr>
              <w:jc w:val="both"/>
              <w:rPr>
                <w:rFonts w:ascii="Montserrat Medium" w:eastAsia="Times New Roman" w:hAnsi="Montserrat Medium" w:cs="Futura Medium"/>
                <w:b/>
                <w:bCs/>
                <w:color w:val="000000"/>
                <w:sz w:val="16"/>
                <w:szCs w:val="16"/>
              </w:rPr>
            </w:pPr>
            <w:r w:rsidRPr="00A76F9D">
              <w:rPr>
                <w:rFonts w:ascii="Montserrat Medium" w:eastAsia="Times New Roman" w:hAnsi="Montserrat Medium" w:cs="Futura Medium"/>
                <w:b/>
                <w:bCs/>
                <w:color w:val="000000"/>
                <w:sz w:val="16"/>
                <w:szCs w:val="16"/>
              </w:rPr>
              <w:t>Nombre o denominación de la Institución</w:t>
            </w:r>
          </w:p>
        </w:tc>
      </w:tr>
      <w:tr w:rsidR="009C733C" w:rsidRPr="004E5937" w14:paraId="59CC67A8" w14:textId="77777777" w:rsidTr="006E0655">
        <w:trPr>
          <w:trHeight w:val="44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9BBDD" w14:textId="77777777" w:rsidR="009C733C" w:rsidRPr="00A76F9D" w:rsidRDefault="009C733C" w:rsidP="002F131C">
            <w:pPr>
              <w:jc w:val="center"/>
              <w:rPr>
                <w:rFonts w:ascii="Montserrat Medium" w:eastAsia="Times New Roman" w:hAnsi="Montserrat Medium" w:cs="Futura Medium"/>
                <w:sz w:val="15"/>
                <w:szCs w:val="15"/>
              </w:rPr>
            </w:pPr>
            <w:r w:rsidRPr="00A76F9D">
              <w:rPr>
                <w:rFonts w:ascii="Montserrat Medium" w:eastAsia="Times New Roman" w:hAnsi="Montserrat Medium" w:cs="Futura Medium"/>
                <w:sz w:val="15"/>
                <w:szCs w:val="15"/>
              </w:rPr>
              <w:t>2025</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90864" w14:textId="77777777" w:rsidR="009C733C" w:rsidRPr="00A76F9D" w:rsidRDefault="009C733C"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31603661-6 (160366-1)</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3CEE0" w14:textId="77777777" w:rsidR="009C733C" w:rsidRPr="00A76F9D" w:rsidRDefault="009C733C"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Fideicomiso de Promoción Turística del Municipio de Benito Juárez</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44C74" w14:textId="77777777" w:rsidR="009C733C" w:rsidRPr="00A76F9D" w:rsidRDefault="009C733C"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Gobierno del Estado de Quintana Roo (SEFIPLAN)</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5D941" w14:textId="77777777" w:rsidR="009C733C" w:rsidRPr="00A76F9D" w:rsidRDefault="009C733C"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BANAMEX, S.A.</w:t>
            </w:r>
          </w:p>
        </w:tc>
      </w:tr>
      <w:tr w:rsidR="009C733C" w:rsidRPr="004E5937" w14:paraId="0BFBD5B1" w14:textId="77777777" w:rsidTr="006E0655">
        <w:trPr>
          <w:trHeight w:val="784"/>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17818" w14:textId="77777777" w:rsidR="009C733C" w:rsidRPr="00A76F9D" w:rsidRDefault="009C733C" w:rsidP="002F131C">
            <w:pPr>
              <w:jc w:val="center"/>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sz w:val="15"/>
                <w:szCs w:val="15"/>
              </w:rPr>
              <w:t>2025</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14:paraId="6058DEF3" w14:textId="77777777" w:rsidR="009C733C" w:rsidRPr="00A76F9D" w:rsidRDefault="009C733C"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F/B50/489 (100927)</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4C6DECE3" w14:textId="77777777" w:rsidR="009C733C" w:rsidRPr="00A76F9D" w:rsidRDefault="009C733C"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Fideicomiso de Promoción Turística del Municipio de Solidaridad</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3025ADC9" w14:textId="77777777" w:rsidR="009C733C" w:rsidRPr="00A76F9D" w:rsidRDefault="009C733C"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Gobierno del Estado de Quintana Roo (SEFIPLAN)</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3088D262" w14:textId="77777777" w:rsidR="009C733C" w:rsidRPr="00A76F9D" w:rsidRDefault="009C733C"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HSBC México, S.A.</w:t>
            </w:r>
          </w:p>
        </w:tc>
      </w:tr>
      <w:tr w:rsidR="009C733C" w:rsidRPr="004E5937" w14:paraId="455A02EA" w14:textId="77777777" w:rsidTr="006E0655">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1A3D7" w14:textId="77777777" w:rsidR="009C733C" w:rsidRPr="00A76F9D" w:rsidRDefault="009C733C" w:rsidP="002F131C">
            <w:pPr>
              <w:jc w:val="center"/>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sz w:val="15"/>
                <w:szCs w:val="15"/>
              </w:rPr>
              <w:t>2025</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14:paraId="0C376652" w14:textId="77777777" w:rsidR="009C733C" w:rsidRPr="00A76F9D" w:rsidRDefault="009C733C"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F/B50/490 (100935)</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445D0AE4" w14:textId="77777777" w:rsidR="009C733C" w:rsidRPr="00A76F9D" w:rsidRDefault="009C733C"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Fideicomiso de Promoción Turística del Municipio de Othón P. Blanco</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4077A206" w14:textId="77777777" w:rsidR="009C733C" w:rsidRPr="00A76F9D" w:rsidRDefault="009C733C"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Gobierno del Estado de Quintana Roo (SEFIPLAN)</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488F87D0" w14:textId="77777777" w:rsidR="009C733C" w:rsidRPr="00A76F9D" w:rsidRDefault="009C733C"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HSBC México, S.A.</w:t>
            </w:r>
          </w:p>
        </w:tc>
      </w:tr>
      <w:tr w:rsidR="009C733C" w:rsidRPr="004E5937" w14:paraId="2DDE3681" w14:textId="77777777" w:rsidTr="006E0655">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EA85F" w14:textId="77777777" w:rsidR="009C733C" w:rsidRPr="00A76F9D" w:rsidRDefault="009C733C" w:rsidP="002F131C">
            <w:pPr>
              <w:jc w:val="center"/>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sz w:val="15"/>
                <w:szCs w:val="15"/>
              </w:rPr>
              <w:t>2025</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14:paraId="7DFE046C" w14:textId="77777777" w:rsidR="009C733C" w:rsidRPr="00A76F9D" w:rsidRDefault="009C733C"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160994-5</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4FCA11E" w14:textId="77777777" w:rsidR="009C733C" w:rsidRPr="00A76F9D" w:rsidRDefault="009C733C"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Fideicomiso Irrevocable Traslativo de Dominio (Desarrollador: Ingeniería y construcciones del Caribe, S.A. de C.V.)</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3ABDB55E" w14:textId="77777777" w:rsidR="009C733C" w:rsidRPr="00A76F9D" w:rsidRDefault="009C733C"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Gobierno del Estado de Quintana Roo (SEFIPLAN)</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1AE3BD34" w14:textId="77777777" w:rsidR="009C733C" w:rsidRPr="00A76F9D" w:rsidRDefault="009C733C"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BANAMEX, S.A.</w:t>
            </w:r>
          </w:p>
        </w:tc>
      </w:tr>
      <w:tr w:rsidR="009C733C" w:rsidRPr="004E5937" w14:paraId="20B6DFA1" w14:textId="77777777" w:rsidTr="006E0655">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DB8B2" w14:textId="77777777" w:rsidR="009C733C" w:rsidRPr="00A76F9D" w:rsidRDefault="009C733C" w:rsidP="002F131C">
            <w:pPr>
              <w:jc w:val="center"/>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sz w:val="15"/>
                <w:szCs w:val="15"/>
              </w:rPr>
              <w:t>2025</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14:paraId="15036998" w14:textId="77777777" w:rsidR="009C733C" w:rsidRPr="00A76F9D" w:rsidRDefault="009C733C"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b/>
                <w:color w:val="000000"/>
                <w:sz w:val="15"/>
                <w:szCs w:val="15"/>
              </w:rPr>
              <w:t xml:space="preserve">*** </w:t>
            </w:r>
            <w:r w:rsidRPr="00A76F9D">
              <w:rPr>
                <w:rFonts w:ascii="Montserrat Medium" w:eastAsia="Times New Roman" w:hAnsi="Montserrat Medium" w:cs="Futura Medium"/>
                <w:color w:val="000000"/>
                <w:sz w:val="15"/>
                <w:szCs w:val="15"/>
              </w:rPr>
              <w:t>15448-10 233</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3EF6B965" w14:textId="77777777" w:rsidR="009C733C" w:rsidRPr="00A76F9D" w:rsidRDefault="009C733C"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Fideicomiso Irrevocable Traslativo de Dominio (Desarrollador: Ingeniería y Desarrollo Inmobiliario de México, S.A. de C.V.)</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1A3334FB" w14:textId="77777777" w:rsidR="009C733C" w:rsidRPr="00A76F9D" w:rsidRDefault="009C733C"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Gobierno del Estado de Quintana Roo (SEFIPLAN)</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39843A21" w14:textId="77777777" w:rsidR="009C733C" w:rsidRPr="00A76F9D" w:rsidRDefault="009C733C"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Banco del Bajío, S.A.</w:t>
            </w:r>
          </w:p>
        </w:tc>
      </w:tr>
      <w:tr w:rsidR="009C733C" w:rsidRPr="004E5937" w14:paraId="2E736DF4" w14:textId="77777777" w:rsidTr="006E0655">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DDC96" w14:textId="77777777" w:rsidR="009C733C" w:rsidRPr="00A76F9D" w:rsidRDefault="009C733C" w:rsidP="002F131C">
            <w:pPr>
              <w:jc w:val="center"/>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sz w:val="15"/>
                <w:szCs w:val="15"/>
              </w:rPr>
              <w:t>2025</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14:paraId="02F429B5" w14:textId="77777777" w:rsidR="009C733C" w:rsidRPr="00A76F9D" w:rsidRDefault="009C733C"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b/>
                <w:color w:val="000000"/>
                <w:sz w:val="15"/>
                <w:szCs w:val="15"/>
              </w:rPr>
              <w:t xml:space="preserve">*** </w:t>
            </w:r>
            <w:r w:rsidRPr="00A76F9D">
              <w:rPr>
                <w:rFonts w:ascii="Montserrat Medium" w:eastAsia="Times New Roman" w:hAnsi="Montserrat Medium" w:cs="Futura Medium"/>
                <w:color w:val="000000"/>
                <w:sz w:val="15"/>
                <w:szCs w:val="15"/>
              </w:rPr>
              <w:t>15440-10-23</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6BF0B59B" w14:textId="77777777" w:rsidR="009C733C" w:rsidRPr="00A76F9D" w:rsidRDefault="009C733C"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 xml:space="preserve">Fideicomiso Irrevocable Traslativo de Dominio (Desarrollador: Inmobiliaria </w:t>
            </w:r>
            <w:proofErr w:type="spellStart"/>
            <w:r w:rsidRPr="00A76F9D">
              <w:rPr>
                <w:rFonts w:ascii="Montserrat Medium" w:eastAsia="Times New Roman" w:hAnsi="Montserrat Medium" w:cs="Futura Medium"/>
                <w:color w:val="000000"/>
                <w:sz w:val="15"/>
                <w:szCs w:val="15"/>
              </w:rPr>
              <w:t>Vercun</w:t>
            </w:r>
            <w:proofErr w:type="spellEnd"/>
            <w:r w:rsidRPr="00A76F9D">
              <w:rPr>
                <w:rFonts w:ascii="Montserrat Medium" w:eastAsia="Times New Roman" w:hAnsi="Montserrat Medium" w:cs="Futura Medium"/>
                <w:color w:val="000000"/>
                <w:sz w:val="15"/>
                <w:szCs w:val="15"/>
              </w:rPr>
              <w:t>, S.A. de C.V.)</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0C73E5A3" w14:textId="77777777" w:rsidR="009C733C" w:rsidRPr="00A76F9D" w:rsidRDefault="009C733C"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Gobierno del Estado de Quintana Roo (SEFIPLAN)</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553D5F07" w14:textId="77777777" w:rsidR="009C733C" w:rsidRPr="00A76F9D" w:rsidRDefault="009C733C"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Banco del Bajío, S.A.</w:t>
            </w:r>
          </w:p>
        </w:tc>
      </w:tr>
      <w:tr w:rsidR="009C733C" w:rsidRPr="004E5937" w14:paraId="2693BC3D" w14:textId="77777777" w:rsidTr="006E0655">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DFE63" w14:textId="77777777" w:rsidR="009C733C" w:rsidRPr="00A76F9D" w:rsidRDefault="009C733C" w:rsidP="002F131C">
            <w:pPr>
              <w:jc w:val="center"/>
              <w:rPr>
                <w:rFonts w:ascii="Montserrat Medium" w:eastAsia="Times New Roman" w:hAnsi="Montserrat Medium" w:cs="Futura Medium"/>
                <w:sz w:val="15"/>
                <w:szCs w:val="15"/>
              </w:rPr>
            </w:pPr>
            <w:r w:rsidRPr="00A76F9D">
              <w:rPr>
                <w:rFonts w:ascii="Montserrat Medium" w:eastAsia="Times New Roman" w:hAnsi="Montserrat Medium" w:cs="Futura Medium"/>
                <w:sz w:val="15"/>
                <w:szCs w:val="15"/>
              </w:rPr>
              <w:t>2025</w:t>
            </w:r>
          </w:p>
        </w:tc>
        <w:tc>
          <w:tcPr>
            <w:tcW w:w="1592" w:type="dxa"/>
            <w:tcBorders>
              <w:top w:val="single" w:sz="4" w:space="0" w:color="auto"/>
              <w:left w:val="nil"/>
              <w:bottom w:val="single" w:sz="4" w:space="0" w:color="auto"/>
              <w:right w:val="single" w:sz="4" w:space="0" w:color="auto"/>
            </w:tcBorders>
            <w:shd w:val="clear" w:color="auto" w:fill="auto"/>
            <w:noWrap/>
            <w:vAlign w:val="center"/>
          </w:tcPr>
          <w:p w14:paraId="5424E026" w14:textId="77777777" w:rsidR="009C733C" w:rsidRPr="00A76F9D" w:rsidRDefault="009C733C" w:rsidP="002F131C">
            <w:pPr>
              <w:jc w:val="both"/>
              <w:rPr>
                <w:rFonts w:ascii="Montserrat Medium" w:eastAsia="Times New Roman" w:hAnsi="Montserrat Medium" w:cs="Futura Medium"/>
                <w:b/>
                <w:color w:val="000000"/>
                <w:sz w:val="15"/>
                <w:szCs w:val="15"/>
              </w:rPr>
            </w:pPr>
            <w:r w:rsidRPr="00A76F9D">
              <w:rPr>
                <w:rFonts w:ascii="Montserrat Medium" w:eastAsia="Times New Roman" w:hAnsi="Montserrat Medium" w:cs="Futura Medium"/>
                <w:color w:val="000000"/>
                <w:sz w:val="15"/>
                <w:szCs w:val="15"/>
              </w:rPr>
              <w:t>160830-2</w:t>
            </w:r>
          </w:p>
        </w:tc>
        <w:tc>
          <w:tcPr>
            <w:tcW w:w="3680" w:type="dxa"/>
            <w:tcBorders>
              <w:top w:val="single" w:sz="4" w:space="0" w:color="auto"/>
              <w:left w:val="nil"/>
              <w:bottom w:val="single" w:sz="4" w:space="0" w:color="auto"/>
              <w:right w:val="single" w:sz="4" w:space="0" w:color="auto"/>
            </w:tcBorders>
            <w:shd w:val="clear" w:color="auto" w:fill="auto"/>
            <w:vAlign w:val="center"/>
          </w:tcPr>
          <w:p w14:paraId="25B7F6E3" w14:textId="77777777" w:rsidR="009C733C" w:rsidRPr="00A76F9D" w:rsidRDefault="009C733C"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 xml:space="preserve">Fideicomiso para la Restauración, Recuperación, Sostenimiento y Mantenimiento de la Zona Federal Marítimo Terrestre del Estado de Quintana Roo </w:t>
            </w:r>
          </w:p>
        </w:tc>
        <w:tc>
          <w:tcPr>
            <w:tcW w:w="1725" w:type="dxa"/>
            <w:tcBorders>
              <w:top w:val="single" w:sz="4" w:space="0" w:color="auto"/>
              <w:left w:val="nil"/>
              <w:bottom w:val="single" w:sz="4" w:space="0" w:color="auto"/>
              <w:right w:val="single" w:sz="4" w:space="0" w:color="auto"/>
            </w:tcBorders>
            <w:shd w:val="clear" w:color="auto" w:fill="auto"/>
            <w:vAlign w:val="center"/>
          </w:tcPr>
          <w:p w14:paraId="1D871737" w14:textId="77777777" w:rsidR="009C733C" w:rsidRPr="00A76F9D" w:rsidRDefault="009C733C"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Gobierno del Estado de Quintana Roo (SEFIPLAN)</w:t>
            </w:r>
          </w:p>
        </w:tc>
        <w:tc>
          <w:tcPr>
            <w:tcW w:w="1682" w:type="dxa"/>
            <w:tcBorders>
              <w:top w:val="single" w:sz="4" w:space="0" w:color="auto"/>
              <w:left w:val="nil"/>
              <w:bottom w:val="single" w:sz="4" w:space="0" w:color="auto"/>
              <w:right w:val="single" w:sz="4" w:space="0" w:color="auto"/>
            </w:tcBorders>
            <w:shd w:val="clear" w:color="auto" w:fill="auto"/>
            <w:vAlign w:val="center"/>
          </w:tcPr>
          <w:p w14:paraId="62926E06" w14:textId="77777777" w:rsidR="009C733C" w:rsidRPr="00A76F9D" w:rsidRDefault="009C733C"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BANAMEX, S.A.</w:t>
            </w:r>
          </w:p>
        </w:tc>
      </w:tr>
    </w:tbl>
    <w:p w14:paraId="4275CBB4" w14:textId="77777777" w:rsidR="006E0655" w:rsidRDefault="006E0655" w:rsidP="002F131C">
      <w:pPr>
        <w:jc w:val="both"/>
        <w:rPr>
          <w:rFonts w:ascii="Montserrat" w:eastAsia="Times New Roman" w:hAnsi="Montserrat" w:cs="Futura Medium"/>
          <w:color w:val="000000"/>
          <w:sz w:val="12"/>
          <w:szCs w:val="12"/>
          <w:lang w:eastAsia="en-US"/>
        </w:rPr>
      </w:pPr>
      <w:r w:rsidRPr="00A76F9D">
        <w:rPr>
          <w:rFonts w:ascii="Montserrat" w:eastAsia="Times New Roman" w:hAnsi="Montserrat" w:cs="Futura Medium"/>
          <w:color w:val="000000"/>
          <w:sz w:val="12"/>
          <w:szCs w:val="12"/>
          <w:lang w:eastAsia="en-US"/>
        </w:rPr>
        <w:t>**** Fideicomisos sin movimiento, únicamente cuentan con el contrato de fideicomiso; la Fiduciaria no tiene reconocido al Gobierno del Estado como Fideicomisario y/o Fideicomitente en Primer Lugar.</w:t>
      </w:r>
    </w:p>
    <w:p w14:paraId="4451A893" w14:textId="77777777" w:rsidR="00D51385" w:rsidRPr="00A76F9D" w:rsidRDefault="00D51385" w:rsidP="002F131C">
      <w:pPr>
        <w:jc w:val="both"/>
        <w:rPr>
          <w:rFonts w:ascii="Montserrat" w:eastAsia="Times New Roman" w:hAnsi="Montserrat" w:cs="Futura Medium"/>
          <w:color w:val="000000"/>
          <w:sz w:val="12"/>
          <w:szCs w:val="12"/>
          <w:lang w:eastAsia="en-US"/>
        </w:rPr>
      </w:pPr>
    </w:p>
    <w:p w14:paraId="0CB13D32" w14:textId="64540CE1" w:rsidR="005E3343" w:rsidRPr="00A76F9D" w:rsidRDefault="008257FE" w:rsidP="002F131C">
      <w:pPr>
        <w:rPr>
          <w:rFonts w:ascii="Montserrat Medium" w:eastAsia="Times New Roman" w:hAnsi="Montserrat Medium" w:cs="Arial"/>
          <w:b/>
          <w:i/>
          <w:iCs/>
          <w:color w:val="595959"/>
          <w:sz w:val="22"/>
        </w:rPr>
      </w:pPr>
      <w:r w:rsidRPr="00A76F9D">
        <w:rPr>
          <w:rFonts w:ascii="Montserrat Medium" w:eastAsia="Times New Roman" w:hAnsi="Montserrat Medium" w:cs="Arial"/>
          <w:b/>
          <w:i/>
          <w:iCs/>
          <w:color w:val="595959"/>
          <w:sz w:val="22"/>
        </w:rPr>
        <w:t>Fideicomisos sin movimientos</w:t>
      </w:r>
      <w:r w:rsidR="00952407" w:rsidRPr="00A76F9D">
        <w:rPr>
          <w:rFonts w:ascii="Montserrat Medium" w:eastAsia="Times New Roman" w:hAnsi="Montserrat Medium" w:cs="Arial"/>
          <w:b/>
          <w:i/>
          <w:iCs/>
          <w:color w:val="595959"/>
          <w:sz w:val="22"/>
        </w:rPr>
        <w:t xml:space="preserve"> </w:t>
      </w:r>
    </w:p>
    <w:tbl>
      <w:tblPr>
        <w:tblpPr w:leftFromText="141" w:rightFromText="141" w:vertAnchor="text" w:horzAnchor="margin" w:tblpXSpec="center" w:tblpY="235"/>
        <w:tblW w:w="9568" w:type="dxa"/>
        <w:jc w:val="center"/>
        <w:tblCellMar>
          <w:left w:w="70" w:type="dxa"/>
          <w:right w:w="70" w:type="dxa"/>
        </w:tblCellMar>
        <w:tblLook w:val="04A0" w:firstRow="1" w:lastRow="0" w:firstColumn="1" w:lastColumn="0" w:noHBand="0" w:noVBand="1"/>
      </w:tblPr>
      <w:tblGrid>
        <w:gridCol w:w="897"/>
        <w:gridCol w:w="1583"/>
        <w:gridCol w:w="3704"/>
        <w:gridCol w:w="1683"/>
        <w:gridCol w:w="1701"/>
      </w:tblGrid>
      <w:tr w:rsidR="006E0655" w:rsidRPr="004E5937" w14:paraId="6965E27C" w14:textId="77777777" w:rsidTr="006E0655">
        <w:trPr>
          <w:trHeight w:val="255"/>
          <w:tblHeader/>
          <w:jc w:val="center"/>
        </w:trPr>
        <w:tc>
          <w:tcPr>
            <w:tcW w:w="89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163681A" w14:textId="77777777" w:rsidR="006E0655" w:rsidRPr="00A76F9D" w:rsidRDefault="006E0655" w:rsidP="002F131C">
            <w:pPr>
              <w:jc w:val="center"/>
              <w:rPr>
                <w:rFonts w:ascii="Montserrat Medium" w:eastAsia="Times New Roman" w:hAnsi="Montserrat Medium" w:cs="Futura Medium"/>
                <w:b/>
                <w:bCs/>
                <w:color w:val="000000"/>
                <w:sz w:val="16"/>
                <w:szCs w:val="16"/>
              </w:rPr>
            </w:pPr>
            <w:r w:rsidRPr="00A76F9D">
              <w:rPr>
                <w:rFonts w:ascii="Montserrat Medium" w:eastAsia="Times New Roman" w:hAnsi="Montserrat Medium" w:cs="Futura Medium"/>
                <w:b/>
                <w:bCs/>
                <w:color w:val="000000"/>
                <w:sz w:val="16"/>
                <w:szCs w:val="16"/>
              </w:rPr>
              <w:t>Ejercicio</w:t>
            </w:r>
          </w:p>
        </w:tc>
        <w:tc>
          <w:tcPr>
            <w:tcW w:w="158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D9D76E1" w14:textId="77777777" w:rsidR="006E0655" w:rsidRPr="00A76F9D" w:rsidRDefault="006E0655" w:rsidP="002F131C">
            <w:pPr>
              <w:jc w:val="center"/>
              <w:rPr>
                <w:rFonts w:ascii="Montserrat Medium" w:eastAsia="Times New Roman" w:hAnsi="Montserrat Medium" w:cs="Futura Medium"/>
                <w:b/>
                <w:bCs/>
                <w:color w:val="000000"/>
                <w:sz w:val="16"/>
                <w:szCs w:val="16"/>
              </w:rPr>
            </w:pPr>
            <w:r w:rsidRPr="00A76F9D">
              <w:rPr>
                <w:rFonts w:ascii="Montserrat Medium" w:eastAsia="Times New Roman" w:hAnsi="Montserrat Medium" w:cs="Futura Medium"/>
                <w:b/>
                <w:bCs/>
                <w:color w:val="000000"/>
                <w:sz w:val="16"/>
                <w:szCs w:val="16"/>
              </w:rPr>
              <w:t>Número fideicomiso y fondo público, mandato o cualquier contrato análogo (en su caso)</w:t>
            </w:r>
          </w:p>
        </w:tc>
        <w:tc>
          <w:tcPr>
            <w:tcW w:w="370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CE64984" w14:textId="77777777" w:rsidR="006E0655" w:rsidRPr="00A76F9D" w:rsidRDefault="006E0655" w:rsidP="002F131C">
            <w:pPr>
              <w:jc w:val="center"/>
              <w:rPr>
                <w:rFonts w:ascii="Montserrat Medium" w:eastAsia="Times New Roman" w:hAnsi="Montserrat Medium" w:cs="Futura Medium"/>
                <w:b/>
                <w:bCs/>
                <w:color w:val="000000"/>
                <w:sz w:val="16"/>
                <w:szCs w:val="16"/>
              </w:rPr>
            </w:pPr>
            <w:r w:rsidRPr="00A76F9D">
              <w:rPr>
                <w:rFonts w:ascii="Montserrat Medium" w:eastAsia="Times New Roman" w:hAnsi="Montserrat Medium" w:cs="Futura Medium"/>
                <w:b/>
                <w:bCs/>
                <w:color w:val="000000"/>
                <w:sz w:val="16"/>
                <w:szCs w:val="16"/>
              </w:rPr>
              <w:t>Denominación del fideicomiso y fondo público mandato o cualquier contrato análogo</w:t>
            </w:r>
          </w:p>
        </w:tc>
        <w:tc>
          <w:tcPr>
            <w:tcW w:w="168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99F1422" w14:textId="77777777" w:rsidR="006E0655" w:rsidRPr="00A76F9D" w:rsidRDefault="006E0655" w:rsidP="002F131C">
            <w:pPr>
              <w:jc w:val="center"/>
              <w:rPr>
                <w:rFonts w:ascii="Montserrat Medium" w:eastAsia="Times New Roman" w:hAnsi="Montserrat Medium" w:cs="Futura Medium"/>
                <w:b/>
                <w:bCs/>
                <w:color w:val="000000"/>
                <w:sz w:val="16"/>
                <w:szCs w:val="16"/>
              </w:rPr>
            </w:pPr>
            <w:r w:rsidRPr="00A76F9D">
              <w:rPr>
                <w:rFonts w:ascii="Montserrat Medium" w:eastAsia="Times New Roman" w:hAnsi="Montserrat Medium" w:cs="Futura Medium"/>
                <w:b/>
                <w:bCs/>
                <w:color w:val="000000"/>
                <w:sz w:val="16"/>
                <w:szCs w:val="16"/>
              </w:rPr>
              <w:t>Nombre o denominación del Fideicomitente</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6D44B9F" w14:textId="77777777" w:rsidR="006E0655" w:rsidRPr="00A76F9D" w:rsidRDefault="006E0655" w:rsidP="002F131C">
            <w:pPr>
              <w:jc w:val="center"/>
              <w:rPr>
                <w:rFonts w:ascii="Montserrat Medium" w:eastAsia="Times New Roman" w:hAnsi="Montserrat Medium" w:cs="Futura Medium"/>
                <w:b/>
                <w:bCs/>
                <w:color w:val="000000"/>
                <w:sz w:val="16"/>
                <w:szCs w:val="16"/>
              </w:rPr>
            </w:pPr>
            <w:r w:rsidRPr="00A76F9D">
              <w:rPr>
                <w:rFonts w:ascii="Montserrat Medium" w:eastAsia="Times New Roman" w:hAnsi="Montserrat Medium" w:cs="Futura Medium"/>
                <w:b/>
                <w:bCs/>
                <w:color w:val="000000"/>
                <w:sz w:val="16"/>
                <w:szCs w:val="16"/>
              </w:rPr>
              <w:t>Nombre o denominación de la Institución</w:t>
            </w:r>
          </w:p>
        </w:tc>
      </w:tr>
      <w:tr w:rsidR="006E0655" w:rsidRPr="004E5937" w14:paraId="0314EE70" w14:textId="77777777" w:rsidTr="006E0655">
        <w:trPr>
          <w:trHeight w:val="622"/>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4AE9315" w14:textId="77777777" w:rsidR="006E0655" w:rsidRPr="00A76F9D" w:rsidRDefault="006E0655" w:rsidP="002F131C">
            <w:pPr>
              <w:jc w:val="center"/>
              <w:rPr>
                <w:rFonts w:ascii="Montserrat Medium" w:hAnsi="Montserrat Medium" w:cs="Futura Medium"/>
                <w:sz w:val="15"/>
                <w:szCs w:val="15"/>
              </w:rPr>
            </w:pPr>
            <w:r w:rsidRPr="00A76F9D">
              <w:rPr>
                <w:rFonts w:ascii="Montserrat Medium" w:eastAsia="Times New Roman" w:hAnsi="Montserrat Medium" w:cs="Futura Medium"/>
                <w:sz w:val="15"/>
                <w:szCs w:val="15"/>
              </w:rPr>
              <w:t>2025</w:t>
            </w:r>
          </w:p>
        </w:tc>
        <w:tc>
          <w:tcPr>
            <w:tcW w:w="1583" w:type="dxa"/>
            <w:tcBorders>
              <w:top w:val="single" w:sz="4" w:space="0" w:color="auto"/>
              <w:left w:val="nil"/>
              <w:bottom w:val="single" w:sz="4" w:space="0" w:color="auto"/>
              <w:right w:val="single" w:sz="4" w:space="0" w:color="auto"/>
            </w:tcBorders>
            <w:shd w:val="clear" w:color="auto" w:fill="auto"/>
            <w:vAlign w:val="center"/>
          </w:tcPr>
          <w:p w14:paraId="384D2C8D" w14:textId="77777777" w:rsidR="006E0655" w:rsidRPr="00A76F9D" w:rsidRDefault="006E0655" w:rsidP="002F131C">
            <w:pPr>
              <w:jc w:val="center"/>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10106</w:t>
            </w:r>
          </w:p>
        </w:tc>
        <w:tc>
          <w:tcPr>
            <w:tcW w:w="3704" w:type="dxa"/>
            <w:tcBorders>
              <w:top w:val="single" w:sz="4" w:space="0" w:color="auto"/>
              <w:left w:val="nil"/>
              <w:bottom w:val="single" w:sz="4" w:space="0" w:color="auto"/>
              <w:right w:val="single" w:sz="4" w:space="0" w:color="auto"/>
            </w:tcBorders>
            <w:shd w:val="clear" w:color="auto" w:fill="auto"/>
            <w:vAlign w:val="center"/>
          </w:tcPr>
          <w:p w14:paraId="03B2DF3D" w14:textId="77777777" w:rsidR="006E0655" w:rsidRPr="00A76F9D" w:rsidRDefault="006E0655"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Fideicomiso Fondo de Fomento para el Desarrollo Rural del Estado de Quintana Roo</w:t>
            </w:r>
          </w:p>
        </w:tc>
        <w:tc>
          <w:tcPr>
            <w:tcW w:w="1683" w:type="dxa"/>
            <w:tcBorders>
              <w:top w:val="single" w:sz="4" w:space="0" w:color="auto"/>
              <w:left w:val="nil"/>
              <w:bottom w:val="single" w:sz="4" w:space="0" w:color="auto"/>
              <w:right w:val="single" w:sz="4" w:space="0" w:color="auto"/>
            </w:tcBorders>
            <w:shd w:val="clear" w:color="auto" w:fill="auto"/>
            <w:vAlign w:val="center"/>
          </w:tcPr>
          <w:p w14:paraId="002ADB9D" w14:textId="77777777" w:rsidR="006E0655" w:rsidRPr="00A76F9D" w:rsidRDefault="006E0655" w:rsidP="002F131C">
            <w:pPr>
              <w:jc w:val="center"/>
              <w:rPr>
                <w:rFonts w:ascii="Montserrat Medium" w:hAnsi="Montserrat Medium" w:cs="Futura Medium"/>
                <w:sz w:val="15"/>
                <w:szCs w:val="15"/>
              </w:rPr>
            </w:pPr>
            <w:r w:rsidRPr="00A76F9D">
              <w:rPr>
                <w:rFonts w:ascii="Montserrat Medium" w:eastAsia="Times New Roman" w:hAnsi="Montserrat Medium"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37CF36" w14:textId="77777777" w:rsidR="006E0655" w:rsidRPr="00A76F9D" w:rsidRDefault="006E0655" w:rsidP="002F131C">
            <w:pPr>
              <w:jc w:val="center"/>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Banco del Ahorro Nacional y Servicios Financieros, S.N.C.</w:t>
            </w:r>
          </w:p>
        </w:tc>
      </w:tr>
      <w:tr w:rsidR="006E0655" w:rsidRPr="004E5937" w14:paraId="166D9642" w14:textId="77777777" w:rsidTr="006E0655">
        <w:trPr>
          <w:trHeight w:val="688"/>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550BF9CC" w14:textId="77777777" w:rsidR="006E0655" w:rsidRPr="00A76F9D" w:rsidRDefault="006E0655" w:rsidP="002F131C">
            <w:pPr>
              <w:jc w:val="center"/>
              <w:rPr>
                <w:rFonts w:ascii="Montserrat Medium" w:eastAsia="Times New Roman" w:hAnsi="Montserrat Medium" w:cs="Futura Medium"/>
                <w:sz w:val="15"/>
                <w:szCs w:val="15"/>
              </w:rPr>
            </w:pPr>
            <w:r w:rsidRPr="00A76F9D">
              <w:rPr>
                <w:rFonts w:ascii="Montserrat Medium" w:eastAsia="Times New Roman" w:hAnsi="Montserrat Medium" w:cs="Futura Medium"/>
                <w:sz w:val="15"/>
                <w:szCs w:val="15"/>
              </w:rPr>
              <w:t>2025</w:t>
            </w:r>
          </w:p>
        </w:tc>
        <w:tc>
          <w:tcPr>
            <w:tcW w:w="1583" w:type="dxa"/>
            <w:tcBorders>
              <w:top w:val="single" w:sz="4" w:space="0" w:color="auto"/>
              <w:left w:val="nil"/>
              <w:bottom w:val="single" w:sz="4" w:space="0" w:color="auto"/>
              <w:right w:val="single" w:sz="4" w:space="0" w:color="auto"/>
            </w:tcBorders>
            <w:shd w:val="clear" w:color="auto" w:fill="auto"/>
            <w:vAlign w:val="center"/>
          </w:tcPr>
          <w:p w14:paraId="477ADDC2" w14:textId="77777777" w:rsidR="006E0655" w:rsidRPr="00A76F9D" w:rsidRDefault="006E0655" w:rsidP="002F131C">
            <w:pPr>
              <w:jc w:val="center"/>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3181</w:t>
            </w:r>
          </w:p>
        </w:tc>
        <w:tc>
          <w:tcPr>
            <w:tcW w:w="3704" w:type="dxa"/>
            <w:tcBorders>
              <w:top w:val="single" w:sz="4" w:space="0" w:color="auto"/>
              <w:left w:val="nil"/>
              <w:bottom w:val="single" w:sz="4" w:space="0" w:color="auto"/>
              <w:right w:val="single" w:sz="4" w:space="0" w:color="auto"/>
            </w:tcBorders>
            <w:shd w:val="clear" w:color="auto" w:fill="auto"/>
            <w:vAlign w:val="center"/>
          </w:tcPr>
          <w:p w14:paraId="4F9A2C79" w14:textId="77777777" w:rsidR="006E0655" w:rsidRPr="00A76F9D" w:rsidRDefault="006E0655"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Fideicomiso Irrevocable de Inversión, Garantía Líquida y Fuente Alterna de Pago “Fondo de Garantía líquida o Fuente Alterna”.</w:t>
            </w:r>
          </w:p>
        </w:tc>
        <w:tc>
          <w:tcPr>
            <w:tcW w:w="1683" w:type="dxa"/>
            <w:tcBorders>
              <w:top w:val="single" w:sz="4" w:space="0" w:color="auto"/>
              <w:left w:val="nil"/>
              <w:bottom w:val="single" w:sz="4" w:space="0" w:color="auto"/>
              <w:right w:val="single" w:sz="4" w:space="0" w:color="auto"/>
            </w:tcBorders>
            <w:shd w:val="clear" w:color="auto" w:fill="auto"/>
            <w:vAlign w:val="center"/>
          </w:tcPr>
          <w:p w14:paraId="68A9055B" w14:textId="77777777" w:rsidR="006E0655" w:rsidRPr="00A76F9D" w:rsidRDefault="006E0655" w:rsidP="002F131C">
            <w:pPr>
              <w:jc w:val="center"/>
              <w:rPr>
                <w:rFonts w:ascii="Montserrat Medium" w:hAnsi="Montserrat Medium" w:cs="Futura Medium"/>
                <w:sz w:val="15"/>
                <w:szCs w:val="15"/>
              </w:rPr>
            </w:pPr>
            <w:r w:rsidRPr="00A76F9D">
              <w:rPr>
                <w:rFonts w:ascii="Montserrat Medium" w:eastAsia="Times New Roman" w:hAnsi="Montserrat Medium"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3F6760" w14:textId="77777777" w:rsidR="006E0655" w:rsidRPr="00A76F9D" w:rsidRDefault="006E0655" w:rsidP="002F131C">
            <w:pPr>
              <w:jc w:val="center"/>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Banco Mercantil del Norte S.A.</w:t>
            </w:r>
          </w:p>
        </w:tc>
      </w:tr>
      <w:tr w:rsidR="006E0655" w:rsidRPr="004E5937" w14:paraId="64FD3521" w14:textId="77777777" w:rsidTr="006E0655">
        <w:trPr>
          <w:trHeight w:val="698"/>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52A274A" w14:textId="77777777" w:rsidR="006E0655" w:rsidRPr="00A76F9D" w:rsidRDefault="006E0655" w:rsidP="002F131C">
            <w:pPr>
              <w:jc w:val="center"/>
              <w:rPr>
                <w:rFonts w:ascii="Montserrat Medium" w:eastAsia="Times New Roman" w:hAnsi="Montserrat Medium" w:cs="Futura Medium"/>
                <w:sz w:val="15"/>
                <w:szCs w:val="15"/>
              </w:rPr>
            </w:pPr>
            <w:r w:rsidRPr="00A76F9D">
              <w:rPr>
                <w:rFonts w:ascii="Montserrat Medium" w:eastAsia="Times New Roman" w:hAnsi="Montserrat Medium" w:cs="Futura Medium"/>
                <w:sz w:val="15"/>
                <w:szCs w:val="15"/>
              </w:rPr>
              <w:t>2025</w:t>
            </w:r>
          </w:p>
        </w:tc>
        <w:tc>
          <w:tcPr>
            <w:tcW w:w="1583" w:type="dxa"/>
            <w:tcBorders>
              <w:top w:val="single" w:sz="4" w:space="0" w:color="auto"/>
              <w:left w:val="nil"/>
              <w:bottom w:val="single" w:sz="4" w:space="0" w:color="auto"/>
              <w:right w:val="single" w:sz="4" w:space="0" w:color="auto"/>
            </w:tcBorders>
            <w:shd w:val="clear" w:color="auto" w:fill="auto"/>
            <w:vAlign w:val="center"/>
          </w:tcPr>
          <w:p w14:paraId="3D31F609" w14:textId="77777777" w:rsidR="006E0655" w:rsidRPr="00A76F9D" w:rsidRDefault="006E0655" w:rsidP="002F131C">
            <w:pPr>
              <w:jc w:val="center"/>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1019</w:t>
            </w:r>
          </w:p>
        </w:tc>
        <w:tc>
          <w:tcPr>
            <w:tcW w:w="3704" w:type="dxa"/>
            <w:tcBorders>
              <w:top w:val="single" w:sz="4" w:space="0" w:color="auto"/>
              <w:left w:val="nil"/>
              <w:bottom w:val="single" w:sz="4" w:space="0" w:color="auto"/>
              <w:right w:val="single" w:sz="4" w:space="0" w:color="auto"/>
            </w:tcBorders>
            <w:shd w:val="clear" w:color="auto" w:fill="auto"/>
            <w:vAlign w:val="center"/>
          </w:tcPr>
          <w:p w14:paraId="40B87AEE" w14:textId="77777777" w:rsidR="006E0655" w:rsidRPr="00A76F9D" w:rsidRDefault="006E0655"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Fideicomiso Irrevocable de Administración e Inversión “Fondo de Fomento Agropecuario del Estado de Quintana Roo”. (FOFAQROO)</w:t>
            </w:r>
          </w:p>
        </w:tc>
        <w:tc>
          <w:tcPr>
            <w:tcW w:w="1683" w:type="dxa"/>
            <w:tcBorders>
              <w:top w:val="single" w:sz="4" w:space="0" w:color="auto"/>
              <w:left w:val="nil"/>
              <w:bottom w:val="single" w:sz="4" w:space="0" w:color="auto"/>
              <w:right w:val="single" w:sz="4" w:space="0" w:color="auto"/>
            </w:tcBorders>
            <w:shd w:val="clear" w:color="auto" w:fill="auto"/>
            <w:vAlign w:val="center"/>
          </w:tcPr>
          <w:p w14:paraId="0050D721" w14:textId="77777777" w:rsidR="006E0655" w:rsidRPr="00A76F9D" w:rsidRDefault="006E0655" w:rsidP="002F131C">
            <w:pPr>
              <w:jc w:val="center"/>
              <w:rPr>
                <w:rFonts w:ascii="Montserrat Medium" w:hAnsi="Montserrat Medium" w:cs="Futura Medium"/>
                <w:sz w:val="15"/>
                <w:szCs w:val="15"/>
              </w:rPr>
            </w:pPr>
            <w:r w:rsidRPr="00A76F9D">
              <w:rPr>
                <w:rFonts w:ascii="Montserrat Medium" w:eastAsia="Times New Roman" w:hAnsi="Montserrat Medium"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tcPr>
          <w:p w14:paraId="3859B839" w14:textId="77777777" w:rsidR="006E0655" w:rsidRPr="00A76F9D" w:rsidRDefault="006E0655" w:rsidP="002F131C">
            <w:pPr>
              <w:jc w:val="center"/>
              <w:rPr>
                <w:rFonts w:ascii="Montserrat Medium" w:eastAsia="Times New Roman" w:hAnsi="Montserrat Medium" w:cs="Futura Medium"/>
                <w:color w:val="000000"/>
                <w:sz w:val="15"/>
                <w:szCs w:val="15"/>
              </w:rPr>
            </w:pPr>
            <w:proofErr w:type="spellStart"/>
            <w:r w:rsidRPr="00A76F9D">
              <w:rPr>
                <w:rFonts w:ascii="Montserrat Medium" w:eastAsia="Times New Roman" w:hAnsi="Montserrat Medium" w:cs="Futura Medium"/>
                <w:color w:val="000000"/>
                <w:sz w:val="15"/>
                <w:szCs w:val="15"/>
              </w:rPr>
              <w:t>Bursametrica</w:t>
            </w:r>
            <w:proofErr w:type="spellEnd"/>
            <w:r w:rsidRPr="00A76F9D">
              <w:rPr>
                <w:rFonts w:ascii="Montserrat Medium" w:eastAsia="Times New Roman" w:hAnsi="Montserrat Medium" w:cs="Futura Medium"/>
                <w:color w:val="000000"/>
                <w:sz w:val="15"/>
                <w:szCs w:val="15"/>
              </w:rPr>
              <w:t>, S.A.</w:t>
            </w:r>
          </w:p>
        </w:tc>
      </w:tr>
      <w:tr w:rsidR="006E0655" w:rsidRPr="004E5937" w14:paraId="42E59729" w14:textId="77777777" w:rsidTr="006E0655">
        <w:trPr>
          <w:trHeight w:val="823"/>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60EC13B8" w14:textId="77777777" w:rsidR="006E0655" w:rsidRPr="00A76F9D" w:rsidRDefault="006E0655" w:rsidP="002F131C">
            <w:pPr>
              <w:jc w:val="center"/>
              <w:rPr>
                <w:rFonts w:ascii="Montserrat Medium" w:eastAsia="Times New Roman" w:hAnsi="Montserrat Medium" w:cs="Futura Medium"/>
                <w:sz w:val="15"/>
                <w:szCs w:val="15"/>
              </w:rPr>
            </w:pPr>
            <w:r w:rsidRPr="00A76F9D">
              <w:rPr>
                <w:rFonts w:ascii="Montserrat Medium" w:eastAsia="Times New Roman" w:hAnsi="Montserrat Medium" w:cs="Futura Medium"/>
                <w:sz w:val="15"/>
                <w:szCs w:val="15"/>
              </w:rPr>
              <w:t>2025</w:t>
            </w:r>
          </w:p>
        </w:tc>
        <w:tc>
          <w:tcPr>
            <w:tcW w:w="1583" w:type="dxa"/>
            <w:tcBorders>
              <w:top w:val="single" w:sz="4" w:space="0" w:color="auto"/>
              <w:left w:val="nil"/>
              <w:bottom w:val="single" w:sz="4" w:space="0" w:color="auto"/>
              <w:right w:val="single" w:sz="4" w:space="0" w:color="auto"/>
            </w:tcBorders>
            <w:shd w:val="clear" w:color="auto" w:fill="auto"/>
            <w:vAlign w:val="center"/>
          </w:tcPr>
          <w:p w14:paraId="5BBD66CA" w14:textId="77777777" w:rsidR="006E0655" w:rsidRPr="00A76F9D" w:rsidRDefault="006E0655" w:rsidP="002F131C">
            <w:pPr>
              <w:jc w:val="center"/>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F/2003408 -1</w:t>
            </w:r>
          </w:p>
          <w:p w14:paraId="0C1D3145" w14:textId="77777777" w:rsidR="006E0655" w:rsidRPr="00A76F9D" w:rsidRDefault="006E0655" w:rsidP="002F131C">
            <w:pPr>
              <w:jc w:val="center"/>
              <w:rPr>
                <w:rFonts w:ascii="Montserrat Medium" w:eastAsia="Times New Roman" w:hAnsi="Montserrat Medium" w:cs="Futura Medium"/>
                <w:color w:val="000000"/>
                <w:sz w:val="15"/>
                <w:szCs w:val="15"/>
              </w:rPr>
            </w:pPr>
          </w:p>
        </w:tc>
        <w:tc>
          <w:tcPr>
            <w:tcW w:w="3704" w:type="dxa"/>
            <w:tcBorders>
              <w:top w:val="single" w:sz="4" w:space="0" w:color="auto"/>
              <w:left w:val="nil"/>
              <w:bottom w:val="single" w:sz="4" w:space="0" w:color="auto"/>
              <w:right w:val="single" w:sz="4" w:space="0" w:color="auto"/>
            </w:tcBorders>
            <w:shd w:val="clear" w:color="auto" w:fill="auto"/>
            <w:vAlign w:val="center"/>
          </w:tcPr>
          <w:p w14:paraId="56F7EE65" w14:textId="77777777" w:rsidR="006E0655" w:rsidRPr="00A76F9D" w:rsidRDefault="006E0655"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Fideicomiso Irrevocable de Inversión y Administración para la Operación del Programa de Tecnologías Educativas y de la Información para el Magisterio de Educación Básica del Estado de Quintana Roo. (PROTEINQROO)</w:t>
            </w:r>
          </w:p>
        </w:tc>
        <w:tc>
          <w:tcPr>
            <w:tcW w:w="1683" w:type="dxa"/>
            <w:tcBorders>
              <w:top w:val="single" w:sz="4" w:space="0" w:color="auto"/>
              <w:left w:val="nil"/>
              <w:bottom w:val="single" w:sz="4" w:space="0" w:color="auto"/>
              <w:right w:val="single" w:sz="4" w:space="0" w:color="auto"/>
            </w:tcBorders>
            <w:shd w:val="clear" w:color="auto" w:fill="auto"/>
            <w:vAlign w:val="center"/>
          </w:tcPr>
          <w:p w14:paraId="008179BA" w14:textId="77777777" w:rsidR="006E0655" w:rsidRPr="00A76F9D" w:rsidRDefault="006E0655" w:rsidP="002F131C">
            <w:pPr>
              <w:jc w:val="center"/>
              <w:rPr>
                <w:rFonts w:ascii="Montserrat Medium" w:hAnsi="Montserrat Medium" w:cs="Futura Medium"/>
                <w:sz w:val="15"/>
                <w:szCs w:val="15"/>
              </w:rPr>
            </w:pPr>
            <w:r w:rsidRPr="00A76F9D">
              <w:rPr>
                <w:rFonts w:ascii="Montserrat Medium" w:eastAsia="Times New Roman" w:hAnsi="Montserrat Medium"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2790AB" w14:textId="77777777" w:rsidR="006E0655" w:rsidRPr="00A76F9D" w:rsidRDefault="006E0655" w:rsidP="002F131C">
            <w:pPr>
              <w:jc w:val="center"/>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Banco Santander (México</w:t>
            </w:r>
          </w:p>
        </w:tc>
      </w:tr>
      <w:tr w:rsidR="006E0655" w:rsidRPr="004E5937" w14:paraId="4C3A65FB" w14:textId="77777777" w:rsidTr="006E0655">
        <w:trPr>
          <w:trHeight w:val="589"/>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7CE4D738" w14:textId="77777777" w:rsidR="006E0655" w:rsidRPr="00A76F9D" w:rsidRDefault="006E0655" w:rsidP="002F131C">
            <w:pPr>
              <w:jc w:val="center"/>
              <w:rPr>
                <w:rFonts w:ascii="Montserrat Medium" w:eastAsia="Times New Roman" w:hAnsi="Montserrat Medium" w:cs="Futura Medium"/>
                <w:sz w:val="15"/>
                <w:szCs w:val="15"/>
              </w:rPr>
            </w:pPr>
            <w:r w:rsidRPr="00A76F9D">
              <w:rPr>
                <w:rFonts w:ascii="Montserrat Medium" w:eastAsia="Times New Roman" w:hAnsi="Montserrat Medium" w:cs="Futura Medium"/>
                <w:sz w:val="15"/>
                <w:szCs w:val="15"/>
              </w:rPr>
              <w:t>2025</w:t>
            </w:r>
          </w:p>
        </w:tc>
        <w:tc>
          <w:tcPr>
            <w:tcW w:w="1583" w:type="dxa"/>
            <w:tcBorders>
              <w:top w:val="single" w:sz="4" w:space="0" w:color="auto"/>
              <w:left w:val="nil"/>
              <w:bottom w:val="single" w:sz="4" w:space="0" w:color="auto"/>
              <w:right w:val="single" w:sz="4" w:space="0" w:color="auto"/>
            </w:tcBorders>
            <w:shd w:val="clear" w:color="auto" w:fill="auto"/>
            <w:vAlign w:val="center"/>
          </w:tcPr>
          <w:p w14:paraId="72217055" w14:textId="77777777" w:rsidR="006E0655" w:rsidRPr="00A76F9D" w:rsidRDefault="006E0655" w:rsidP="002F131C">
            <w:pPr>
              <w:jc w:val="center"/>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160436-6</w:t>
            </w:r>
          </w:p>
        </w:tc>
        <w:tc>
          <w:tcPr>
            <w:tcW w:w="3704" w:type="dxa"/>
            <w:tcBorders>
              <w:top w:val="single" w:sz="4" w:space="0" w:color="auto"/>
              <w:left w:val="nil"/>
              <w:bottom w:val="single" w:sz="4" w:space="0" w:color="auto"/>
              <w:right w:val="single" w:sz="4" w:space="0" w:color="auto"/>
            </w:tcBorders>
            <w:shd w:val="clear" w:color="auto" w:fill="auto"/>
            <w:vAlign w:val="center"/>
          </w:tcPr>
          <w:p w14:paraId="07DF69CA" w14:textId="77777777" w:rsidR="006E0655" w:rsidRPr="00A76F9D" w:rsidRDefault="006E0655"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Fideicomiso de Inversión y Administración “Fondo de Apoyo a la Hotelería del Sur de Quintana Roo”.</w:t>
            </w:r>
          </w:p>
        </w:tc>
        <w:tc>
          <w:tcPr>
            <w:tcW w:w="1683" w:type="dxa"/>
            <w:tcBorders>
              <w:top w:val="single" w:sz="4" w:space="0" w:color="auto"/>
              <w:left w:val="nil"/>
              <w:bottom w:val="single" w:sz="4" w:space="0" w:color="auto"/>
              <w:right w:val="single" w:sz="4" w:space="0" w:color="auto"/>
            </w:tcBorders>
            <w:shd w:val="clear" w:color="auto" w:fill="auto"/>
            <w:vAlign w:val="center"/>
          </w:tcPr>
          <w:p w14:paraId="20EA1611" w14:textId="77777777" w:rsidR="006E0655" w:rsidRPr="00A76F9D" w:rsidRDefault="006E0655" w:rsidP="002F131C">
            <w:pPr>
              <w:jc w:val="center"/>
              <w:rPr>
                <w:rFonts w:ascii="Montserrat Medium" w:hAnsi="Montserrat Medium" w:cs="Futura Medium"/>
                <w:sz w:val="15"/>
                <w:szCs w:val="15"/>
              </w:rPr>
            </w:pPr>
            <w:r w:rsidRPr="00A76F9D">
              <w:rPr>
                <w:rFonts w:ascii="Montserrat Medium" w:eastAsia="Times New Roman" w:hAnsi="Montserrat Medium"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5D600B" w14:textId="77777777" w:rsidR="006E0655" w:rsidRPr="00A76F9D" w:rsidRDefault="006E0655" w:rsidP="002F131C">
            <w:pPr>
              <w:jc w:val="center"/>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Banco Nacional de México, S.A.</w:t>
            </w:r>
          </w:p>
        </w:tc>
      </w:tr>
      <w:tr w:rsidR="006E0655" w:rsidRPr="004E5937" w14:paraId="6465C752" w14:textId="77777777" w:rsidTr="006E0655">
        <w:trPr>
          <w:trHeight w:val="823"/>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77671BCE" w14:textId="77777777" w:rsidR="006E0655" w:rsidRPr="00A76F9D" w:rsidRDefault="006E0655" w:rsidP="002F131C">
            <w:pPr>
              <w:jc w:val="center"/>
              <w:rPr>
                <w:rFonts w:ascii="Montserrat Medium" w:eastAsia="Times New Roman" w:hAnsi="Montserrat Medium" w:cs="Futura Medium"/>
                <w:sz w:val="15"/>
                <w:szCs w:val="15"/>
              </w:rPr>
            </w:pPr>
            <w:r w:rsidRPr="00A76F9D">
              <w:rPr>
                <w:rFonts w:ascii="Montserrat Medium" w:eastAsia="Times New Roman" w:hAnsi="Montserrat Medium" w:cs="Futura Medium"/>
                <w:sz w:val="15"/>
                <w:szCs w:val="15"/>
              </w:rPr>
              <w:lastRenderedPageBreak/>
              <w:t>2025</w:t>
            </w:r>
          </w:p>
        </w:tc>
        <w:tc>
          <w:tcPr>
            <w:tcW w:w="1583" w:type="dxa"/>
            <w:tcBorders>
              <w:top w:val="single" w:sz="4" w:space="0" w:color="auto"/>
              <w:left w:val="nil"/>
              <w:bottom w:val="single" w:sz="4" w:space="0" w:color="auto"/>
              <w:right w:val="single" w:sz="4" w:space="0" w:color="auto"/>
            </w:tcBorders>
            <w:shd w:val="clear" w:color="auto" w:fill="auto"/>
            <w:vAlign w:val="center"/>
          </w:tcPr>
          <w:p w14:paraId="49A2B4EE" w14:textId="77777777" w:rsidR="006E0655" w:rsidRPr="00A76F9D" w:rsidRDefault="006E0655" w:rsidP="002F131C">
            <w:pPr>
              <w:jc w:val="center"/>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2460127</w:t>
            </w:r>
          </w:p>
          <w:p w14:paraId="0203FB7C" w14:textId="77777777" w:rsidR="006E0655" w:rsidRPr="00A76F9D" w:rsidRDefault="006E0655" w:rsidP="002F131C">
            <w:pPr>
              <w:jc w:val="center"/>
              <w:rPr>
                <w:rFonts w:ascii="Montserrat Medium" w:eastAsia="Times New Roman" w:hAnsi="Montserrat Medium" w:cs="Futura Medium"/>
                <w:color w:val="FF0000"/>
                <w:sz w:val="15"/>
                <w:szCs w:val="15"/>
              </w:rPr>
            </w:pPr>
          </w:p>
        </w:tc>
        <w:tc>
          <w:tcPr>
            <w:tcW w:w="3704" w:type="dxa"/>
            <w:tcBorders>
              <w:top w:val="single" w:sz="4" w:space="0" w:color="auto"/>
              <w:left w:val="nil"/>
              <w:bottom w:val="single" w:sz="4" w:space="0" w:color="auto"/>
              <w:right w:val="single" w:sz="4" w:space="0" w:color="auto"/>
            </w:tcBorders>
            <w:shd w:val="clear" w:color="auto" w:fill="auto"/>
            <w:vAlign w:val="center"/>
          </w:tcPr>
          <w:p w14:paraId="6DD38289" w14:textId="77777777" w:rsidR="006E0655" w:rsidRPr="00A76F9D" w:rsidRDefault="006E0655"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Fideicomiso de Inversión y Administración para la Operación del Programa “Fondo de Apoyo al Programa Especial de Financiamiento a la Vivienda para el Magisterio del Estado de Quintana Roo” (FOVIMQROO).</w:t>
            </w:r>
          </w:p>
        </w:tc>
        <w:tc>
          <w:tcPr>
            <w:tcW w:w="1683" w:type="dxa"/>
            <w:tcBorders>
              <w:top w:val="single" w:sz="4" w:space="0" w:color="auto"/>
              <w:left w:val="nil"/>
              <w:bottom w:val="single" w:sz="4" w:space="0" w:color="auto"/>
              <w:right w:val="single" w:sz="4" w:space="0" w:color="auto"/>
            </w:tcBorders>
            <w:shd w:val="clear" w:color="auto" w:fill="auto"/>
            <w:vAlign w:val="center"/>
          </w:tcPr>
          <w:p w14:paraId="6643AE57" w14:textId="77777777" w:rsidR="006E0655" w:rsidRPr="00A76F9D" w:rsidRDefault="006E0655" w:rsidP="002F131C">
            <w:pPr>
              <w:jc w:val="center"/>
              <w:rPr>
                <w:rFonts w:ascii="Montserrat Medium" w:hAnsi="Montserrat Medium" w:cs="Futura Medium"/>
                <w:sz w:val="15"/>
                <w:szCs w:val="15"/>
              </w:rPr>
            </w:pPr>
            <w:r w:rsidRPr="00A76F9D">
              <w:rPr>
                <w:rFonts w:ascii="Montserrat Medium" w:eastAsia="Times New Roman" w:hAnsi="Montserrat Medium"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tcPr>
          <w:p w14:paraId="4D843804" w14:textId="77777777" w:rsidR="006E0655" w:rsidRPr="00A76F9D" w:rsidRDefault="006E0655" w:rsidP="002F131C">
            <w:pPr>
              <w:jc w:val="center"/>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Banco Santander México, S.A., Institución de Banca Múltiple, Grupo Financiero Santander México</w:t>
            </w:r>
          </w:p>
        </w:tc>
      </w:tr>
      <w:tr w:rsidR="006E0655" w:rsidRPr="004E5937" w14:paraId="159C0A63" w14:textId="77777777" w:rsidTr="006E0655">
        <w:trPr>
          <w:trHeight w:val="557"/>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2F9C74C6" w14:textId="77777777" w:rsidR="006E0655" w:rsidRPr="00A76F9D" w:rsidRDefault="006E0655" w:rsidP="002F131C">
            <w:pPr>
              <w:jc w:val="center"/>
              <w:rPr>
                <w:rFonts w:ascii="Montserrat Medium" w:eastAsia="Times New Roman" w:hAnsi="Montserrat Medium" w:cs="Futura Medium"/>
                <w:sz w:val="15"/>
                <w:szCs w:val="15"/>
              </w:rPr>
            </w:pPr>
            <w:r w:rsidRPr="00A76F9D">
              <w:rPr>
                <w:rFonts w:ascii="Montserrat Medium" w:eastAsia="Times New Roman" w:hAnsi="Montserrat Medium" w:cs="Futura Medium"/>
                <w:sz w:val="15"/>
                <w:szCs w:val="15"/>
              </w:rPr>
              <w:t>2025</w:t>
            </w:r>
          </w:p>
        </w:tc>
        <w:tc>
          <w:tcPr>
            <w:tcW w:w="1583" w:type="dxa"/>
            <w:tcBorders>
              <w:top w:val="single" w:sz="4" w:space="0" w:color="auto"/>
              <w:left w:val="nil"/>
              <w:bottom w:val="single" w:sz="4" w:space="0" w:color="auto"/>
              <w:right w:val="single" w:sz="4" w:space="0" w:color="auto"/>
            </w:tcBorders>
            <w:shd w:val="clear" w:color="auto" w:fill="auto"/>
            <w:vAlign w:val="center"/>
          </w:tcPr>
          <w:p w14:paraId="20389D8F" w14:textId="77777777" w:rsidR="006E0655" w:rsidRPr="00A76F9D" w:rsidRDefault="006E0655" w:rsidP="002F131C">
            <w:pPr>
              <w:jc w:val="center"/>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160830-2</w:t>
            </w:r>
          </w:p>
        </w:tc>
        <w:tc>
          <w:tcPr>
            <w:tcW w:w="3704" w:type="dxa"/>
            <w:tcBorders>
              <w:top w:val="single" w:sz="4" w:space="0" w:color="auto"/>
              <w:left w:val="nil"/>
              <w:bottom w:val="single" w:sz="4" w:space="0" w:color="auto"/>
              <w:right w:val="single" w:sz="4" w:space="0" w:color="auto"/>
            </w:tcBorders>
            <w:shd w:val="clear" w:color="auto" w:fill="auto"/>
            <w:vAlign w:val="center"/>
          </w:tcPr>
          <w:p w14:paraId="37013152" w14:textId="77777777" w:rsidR="006E0655" w:rsidRPr="00A76F9D" w:rsidRDefault="006E0655"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Fideicomiso Público de Inversión y Administración “Fideicomiso para la Restauración, Recuperación, Sostenimiento y Mantenimiento de la Zona Federal Marítimo Terrestre del Estado de Quintana Roo”. (SEMA)</w:t>
            </w:r>
          </w:p>
        </w:tc>
        <w:tc>
          <w:tcPr>
            <w:tcW w:w="1683" w:type="dxa"/>
            <w:tcBorders>
              <w:top w:val="single" w:sz="4" w:space="0" w:color="auto"/>
              <w:left w:val="nil"/>
              <w:bottom w:val="single" w:sz="4" w:space="0" w:color="auto"/>
              <w:right w:val="single" w:sz="4" w:space="0" w:color="auto"/>
            </w:tcBorders>
            <w:shd w:val="clear" w:color="auto" w:fill="auto"/>
            <w:vAlign w:val="center"/>
          </w:tcPr>
          <w:p w14:paraId="43CDDD5F" w14:textId="77777777" w:rsidR="006E0655" w:rsidRPr="00A76F9D" w:rsidRDefault="006E0655" w:rsidP="002F131C">
            <w:pPr>
              <w:jc w:val="center"/>
              <w:rPr>
                <w:rFonts w:ascii="Montserrat Medium" w:hAnsi="Montserrat Medium" w:cs="Futura Medium"/>
                <w:sz w:val="15"/>
                <w:szCs w:val="15"/>
              </w:rPr>
            </w:pPr>
            <w:r w:rsidRPr="00A76F9D">
              <w:rPr>
                <w:rFonts w:ascii="Montserrat Medium" w:eastAsia="Times New Roman" w:hAnsi="Montserrat Medium"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B26365" w14:textId="77777777" w:rsidR="006E0655" w:rsidRPr="00A76F9D" w:rsidRDefault="006E0655" w:rsidP="002F131C">
            <w:pPr>
              <w:jc w:val="center"/>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Banco Nacional de México, S.A.</w:t>
            </w:r>
          </w:p>
        </w:tc>
      </w:tr>
      <w:tr w:rsidR="006E0655" w:rsidRPr="004E5937" w14:paraId="398F251C" w14:textId="77777777" w:rsidTr="006E0655">
        <w:trPr>
          <w:trHeight w:val="593"/>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1E4732A3" w14:textId="77777777" w:rsidR="006E0655" w:rsidRPr="00A76F9D" w:rsidRDefault="006E0655" w:rsidP="002F131C">
            <w:pPr>
              <w:jc w:val="center"/>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2025</w:t>
            </w:r>
          </w:p>
        </w:tc>
        <w:tc>
          <w:tcPr>
            <w:tcW w:w="1583" w:type="dxa"/>
            <w:tcBorders>
              <w:top w:val="single" w:sz="4" w:space="0" w:color="auto"/>
              <w:left w:val="nil"/>
              <w:bottom w:val="single" w:sz="4" w:space="0" w:color="auto"/>
              <w:right w:val="single" w:sz="4" w:space="0" w:color="auto"/>
            </w:tcBorders>
            <w:shd w:val="clear" w:color="auto" w:fill="auto"/>
            <w:vAlign w:val="center"/>
          </w:tcPr>
          <w:p w14:paraId="2C6E534F" w14:textId="77777777" w:rsidR="006E0655" w:rsidRPr="00A76F9D" w:rsidRDefault="006E0655" w:rsidP="002F131C">
            <w:pPr>
              <w:jc w:val="center"/>
              <w:rPr>
                <w:rFonts w:ascii="Montserrat Medium" w:eastAsia="Times New Roman" w:hAnsi="Montserrat Medium" w:cs="Futura Medium"/>
                <w:color w:val="000000"/>
                <w:sz w:val="15"/>
                <w:szCs w:val="15"/>
                <w:lang w:eastAsia="en-US"/>
              </w:rPr>
            </w:pPr>
            <w:r w:rsidRPr="00A76F9D">
              <w:rPr>
                <w:rFonts w:ascii="Montserrat Medium" w:eastAsia="Times New Roman" w:hAnsi="Montserrat Medium" w:cs="Futura Medium"/>
                <w:color w:val="000000"/>
                <w:sz w:val="15"/>
                <w:szCs w:val="15"/>
                <w:lang w:eastAsia="en-US"/>
              </w:rPr>
              <w:t>F/5029</w:t>
            </w:r>
          </w:p>
          <w:p w14:paraId="1F7ECB1A" w14:textId="77777777" w:rsidR="006E0655" w:rsidRPr="00A76F9D" w:rsidRDefault="006E0655" w:rsidP="002F131C">
            <w:pPr>
              <w:jc w:val="center"/>
              <w:rPr>
                <w:rFonts w:ascii="Montserrat Medium" w:eastAsia="Times New Roman" w:hAnsi="Montserrat Medium" w:cs="Futura Medium"/>
                <w:color w:val="000000"/>
                <w:sz w:val="15"/>
                <w:szCs w:val="15"/>
                <w:lang w:eastAsia="en-US"/>
              </w:rPr>
            </w:pPr>
            <w:r w:rsidRPr="00A76F9D">
              <w:rPr>
                <w:rFonts w:ascii="Montserrat Medium" w:eastAsia="Times New Roman" w:hAnsi="Montserrat Medium" w:cs="Futura Medium"/>
                <w:color w:val="000000"/>
                <w:sz w:val="15"/>
                <w:szCs w:val="15"/>
                <w:lang w:eastAsia="en-US"/>
              </w:rPr>
              <w:t>Constituido 03 marzo 2020</w:t>
            </w:r>
          </w:p>
        </w:tc>
        <w:tc>
          <w:tcPr>
            <w:tcW w:w="3704" w:type="dxa"/>
            <w:tcBorders>
              <w:top w:val="single" w:sz="4" w:space="0" w:color="auto"/>
              <w:left w:val="nil"/>
              <w:bottom w:val="single" w:sz="4" w:space="0" w:color="auto"/>
              <w:right w:val="single" w:sz="4" w:space="0" w:color="auto"/>
            </w:tcBorders>
            <w:shd w:val="clear" w:color="auto" w:fill="auto"/>
            <w:vAlign w:val="center"/>
          </w:tcPr>
          <w:p w14:paraId="5E427045" w14:textId="77777777" w:rsidR="006E0655" w:rsidRPr="00A76F9D" w:rsidRDefault="006E0655"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Fideicomiso para el Fomento Logístico, Industrial, Tecnológico y de Comercio Exterior del Estado de Quintana Roo (FIFOLINCE).</w:t>
            </w:r>
          </w:p>
        </w:tc>
        <w:tc>
          <w:tcPr>
            <w:tcW w:w="1683" w:type="dxa"/>
            <w:tcBorders>
              <w:top w:val="single" w:sz="4" w:space="0" w:color="auto"/>
              <w:left w:val="nil"/>
              <w:bottom w:val="single" w:sz="4" w:space="0" w:color="auto"/>
              <w:right w:val="single" w:sz="4" w:space="0" w:color="auto"/>
            </w:tcBorders>
            <w:shd w:val="clear" w:color="auto" w:fill="auto"/>
            <w:vAlign w:val="center"/>
          </w:tcPr>
          <w:p w14:paraId="35DA0060" w14:textId="77777777" w:rsidR="006E0655" w:rsidRPr="00A76F9D" w:rsidRDefault="006E0655"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4D3FA4" w14:textId="77777777" w:rsidR="006E0655" w:rsidRPr="00A76F9D" w:rsidRDefault="006E0655" w:rsidP="002F131C">
            <w:pPr>
              <w:jc w:val="center"/>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 xml:space="preserve">Banca </w:t>
            </w:r>
            <w:proofErr w:type="spellStart"/>
            <w:r w:rsidRPr="00A76F9D">
              <w:rPr>
                <w:rFonts w:ascii="Montserrat Medium" w:eastAsia="Times New Roman" w:hAnsi="Montserrat Medium" w:cs="Futura Medium"/>
                <w:color w:val="000000"/>
                <w:sz w:val="15"/>
                <w:szCs w:val="15"/>
              </w:rPr>
              <w:t>Mifel</w:t>
            </w:r>
            <w:proofErr w:type="spellEnd"/>
            <w:r w:rsidRPr="00A76F9D">
              <w:rPr>
                <w:rFonts w:ascii="Montserrat Medium" w:eastAsia="Times New Roman" w:hAnsi="Montserrat Medium" w:cs="Futura Medium"/>
                <w:color w:val="000000"/>
                <w:sz w:val="15"/>
                <w:szCs w:val="15"/>
              </w:rPr>
              <w:t xml:space="preserve">, Sociedad Anónima Institución de Banca Múltiple, Grupo Financiero </w:t>
            </w:r>
            <w:proofErr w:type="spellStart"/>
            <w:r w:rsidRPr="00A76F9D">
              <w:rPr>
                <w:rFonts w:ascii="Montserrat Medium" w:eastAsia="Times New Roman" w:hAnsi="Montserrat Medium" w:cs="Futura Medium"/>
                <w:color w:val="000000"/>
                <w:sz w:val="15"/>
                <w:szCs w:val="15"/>
              </w:rPr>
              <w:t>Mifel</w:t>
            </w:r>
            <w:proofErr w:type="spellEnd"/>
          </w:p>
        </w:tc>
      </w:tr>
      <w:tr w:rsidR="006E0655" w:rsidRPr="006E0655" w14:paraId="3F72CD33" w14:textId="77777777" w:rsidTr="006E0655">
        <w:trPr>
          <w:trHeight w:val="593"/>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438F754B" w14:textId="77777777" w:rsidR="006E0655" w:rsidRPr="00A76F9D" w:rsidRDefault="006E0655" w:rsidP="002F131C">
            <w:pPr>
              <w:jc w:val="center"/>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2025</w:t>
            </w:r>
          </w:p>
        </w:tc>
        <w:tc>
          <w:tcPr>
            <w:tcW w:w="1583" w:type="dxa"/>
            <w:tcBorders>
              <w:top w:val="single" w:sz="4" w:space="0" w:color="auto"/>
              <w:left w:val="nil"/>
              <w:bottom w:val="single" w:sz="4" w:space="0" w:color="auto"/>
              <w:right w:val="single" w:sz="4" w:space="0" w:color="auto"/>
            </w:tcBorders>
            <w:shd w:val="clear" w:color="auto" w:fill="auto"/>
            <w:vAlign w:val="center"/>
          </w:tcPr>
          <w:p w14:paraId="71939B14" w14:textId="77777777" w:rsidR="006E0655" w:rsidRPr="00A76F9D" w:rsidRDefault="006E0655" w:rsidP="002F131C">
            <w:pPr>
              <w:jc w:val="center"/>
              <w:rPr>
                <w:rFonts w:ascii="Montserrat Medium" w:eastAsia="Times New Roman" w:hAnsi="Montserrat Medium" w:cs="Futura Medium"/>
                <w:color w:val="000000"/>
                <w:sz w:val="15"/>
                <w:szCs w:val="15"/>
                <w:lang w:eastAsia="en-US"/>
              </w:rPr>
            </w:pPr>
            <w:r w:rsidRPr="00A76F9D">
              <w:rPr>
                <w:rFonts w:ascii="Montserrat Medium" w:eastAsia="Times New Roman" w:hAnsi="Montserrat Medium" w:cs="Futura Medium"/>
                <w:color w:val="000000"/>
                <w:sz w:val="15"/>
                <w:szCs w:val="15"/>
                <w:lang w:eastAsia="en-US"/>
              </w:rPr>
              <w:t>753380</w:t>
            </w:r>
          </w:p>
        </w:tc>
        <w:tc>
          <w:tcPr>
            <w:tcW w:w="3704" w:type="dxa"/>
            <w:tcBorders>
              <w:top w:val="single" w:sz="4" w:space="0" w:color="auto"/>
              <w:left w:val="nil"/>
              <w:bottom w:val="single" w:sz="4" w:space="0" w:color="auto"/>
              <w:right w:val="single" w:sz="4" w:space="0" w:color="auto"/>
            </w:tcBorders>
            <w:shd w:val="clear" w:color="auto" w:fill="auto"/>
            <w:vAlign w:val="center"/>
          </w:tcPr>
          <w:p w14:paraId="46B1507E" w14:textId="77777777" w:rsidR="006E0655" w:rsidRPr="00A76F9D" w:rsidRDefault="006E0655"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Fideicomiso Irrevocable de Administración e Inversión Denominado “Fideicomiso de Promoción Turística del estado de Quintana Roo”.</w:t>
            </w:r>
          </w:p>
        </w:tc>
        <w:tc>
          <w:tcPr>
            <w:tcW w:w="1683" w:type="dxa"/>
            <w:tcBorders>
              <w:top w:val="single" w:sz="4" w:space="0" w:color="auto"/>
              <w:left w:val="nil"/>
              <w:bottom w:val="single" w:sz="4" w:space="0" w:color="auto"/>
              <w:right w:val="single" w:sz="4" w:space="0" w:color="auto"/>
            </w:tcBorders>
            <w:shd w:val="clear" w:color="auto" w:fill="auto"/>
            <w:vAlign w:val="center"/>
          </w:tcPr>
          <w:p w14:paraId="1B69BFED" w14:textId="77777777" w:rsidR="006E0655" w:rsidRPr="00A76F9D" w:rsidRDefault="006E0655" w:rsidP="002F131C">
            <w:pPr>
              <w:jc w:val="both"/>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F4ABE2" w14:textId="77777777" w:rsidR="006E0655" w:rsidRPr="00A76F9D" w:rsidRDefault="006E0655" w:rsidP="002F131C">
            <w:pPr>
              <w:jc w:val="center"/>
              <w:rPr>
                <w:rFonts w:ascii="Montserrat Medium" w:eastAsia="Times New Roman" w:hAnsi="Montserrat Medium" w:cs="Futura Medium"/>
                <w:color w:val="000000"/>
                <w:sz w:val="15"/>
                <w:szCs w:val="15"/>
              </w:rPr>
            </w:pPr>
            <w:r w:rsidRPr="00A76F9D">
              <w:rPr>
                <w:rFonts w:ascii="Montserrat Medium" w:eastAsia="Times New Roman" w:hAnsi="Montserrat Medium" w:cs="Futura Medium"/>
                <w:color w:val="000000"/>
                <w:sz w:val="15"/>
                <w:szCs w:val="15"/>
              </w:rPr>
              <w:t>Banco Mercantil del Norte S.A.</w:t>
            </w:r>
          </w:p>
        </w:tc>
      </w:tr>
    </w:tbl>
    <w:p w14:paraId="499FB8DB" w14:textId="77777777" w:rsidR="006E0655" w:rsidRDefault="006E0655" w:rsidP="002F131C">
      <w:pPr>
        <w:rPr>
          <w:rFonts w:ascii="Montserrat Medium" w:eastAsia="Times New Roman" w:hAnsi="Montserrat Medium" w:cs="Arial"/>
          <w:b/>
          <w:i/>
          <w:iCs/>
          <w:color w:val="595959"/>
          <w:sz w:val="22"/>
        </w:rPr>
      </w:pPr>
    </w:p>
    <w:p w14:paraId="5B890238" w14:textId="77777777" w:rsidR="008257FE" w:rsidRPr="00D56579" w:rsidRDefault="00FD7EFA" w:rsidP="002F131C">
      <w:pPr>
        <w:keepNext/>
        <w:keepLines/>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4.</w:t>
      </w:r>
      <w:r w:rsidR="008257FE" w:rsidRPr="00D56579">
        <w:rPr>
          <w:rFonts w:ascii="Montserrat Medium" w:eastAsia="Times New Roman" w:hAnsi="Montserrat Medium" w:cs="Arial"/>
          <w:b/>
          <w:i/>
          <w:iCs/>
          <w:color w:val="595959"/>
          <w:sz w:val="22"/>
        </w:rPr>
        <w:t xml:space="preserve"> Bases de Preparación de los Estados Financieros</w:t>
      </w:r>
    </w:p>
    <w:p w14:paraId="32270A9E" w14:textId="77777777" w:rsidR="008257FE" w:rsidRPr="00D56579" w:rsidRDefault="008257FE" w:rsidP="002F131C">
      <w:pPr>
        <w:keepNext/>
        <w:keepLines/>
        <w:jc w:val="both"/>
        <w:outlineLvl w:val="6"/>
        <w:rPr>
          <w:rFonts w:ascii="Montserrat Medium" w:eastAsia="Times New Roman" w:hAnsi="Montserrat Medium" w:cs="Arial"/>
          <w:b/>
          <w:i/>
          <w:iCs/>
          <w:color w:val="595959"/>
          <w:sz w:val="22"/>
        </w:rPr>
      </w:pPr>
    </w:p>
    <w:p w14:paraId="1ECF14EF" w14:textId="77777777" w:rsidR="00FD7EFA" w:rsidRPr="00D56579" w:rsidRDefault="00FD7EFA" w:rsidP="002F131C">
      <w:pPr>
        <w:pStyle w:val="Prrafodelista"/>
        <w:numPr>
          <w:ilvl w:val="0"/>
          <w:numId w:val="25"/>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Para la emisión de los Estados Financieros se utiliz</w:t>
      </w:r>
      <w:r w:rsidR="009343D5" w:rsidRPr="00D56579">
        <w:rPr>
          <w:rFonts w:ascii="Montserrat Medium" w:eastAsia="Times New Roman" w:hAnsi="Montserrat Medium" w:cs="Arial"/>
          <w:color w:val="595959"/>
          <w:sz w:val="22"/>
          <w:lang w:eastAsia="en-US"/>
        </w:rPr>
        <w:t>a</w:t>
      </w:r>
      <w:r w:rsidRPr="00D56579">
        <w:rPr>
          <w:rFonts w:ascii="Montserrat Medium" w:eastAsia="Times New Roman" w:hAnsi="Montserrat Medium" w:cs="Arial"/>
          <w:color w:val="595959"/>
          <w:sz w:val="22"/>
          <w:lang w:eastAsia="en-US"/>
        </w:rPr>
        <w:t xml:space="preserve"> el Plan de Cuentas emitido por el Consejo Nacional de Armonización Contable (CONAC) para dar cumplimiento a la integración automática del ejercicio presupuestario con la operación contable; las Guías contabilizadoras con el propósito de que los registros de las operaciones contables se ordenen por proceso administrativo/financiero y se muestren en forma secuencial los asientos contables en sus principales etapas. </w:t>
      </w:r>
    </w:p>
    <w:p w14:paraId="0962DDE2" w14:textId="77777777" w:rsidR="00FD7EFA" w:rsidRPr="00D56579" w:rsidRDefault="00FD7EFA" w:rsidP="002F131C">
      <w:pPr>
        <w:pStyle w:val="Prrafodelista"/>
        <w:spacing w:after="200"/>
        <w:jc w:val="both"/>
        <w:rPr>
          <w:rFonts w:ascii="Montserrat Medium" w:eastAsia="Times New Roman" w:hAnsi="Montserrat Medium" w:cs="Arial"/>
          <w:color w:val="595959"/>
          <w:sz w:val="22"/>
          <w:lang w:eastAsia="en-US"/>
        </w:rPr>
      </w:pPr>
    </w:p>
    <w:p w14:paraId="30E6DE66" w14:textId="77777777" w:rsidR="008257FE" w:rsidRPr="00D56579" w:rsidRDefault="008257FE" w:rsidP="002F131C">
      <w:pPr>
        <w:pStyle w:val="Prrafodelista"/>
        <w:numPr>
          <w:ilvl w:val="0"/>
          <w:numId w:val="25"/>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Los Estados Financieros correspondientes a la Administración Pública Central, se elaboran en apego al Capítulo VII del Manual de Contabilidad Gubernamental (Reformado DOF 31-01-2018); así como lo estipula el artículo 46 de la Ley General de Contabilidad Gubernamental.</w:t>
      </w:r>
    </w:p>
    <w:p w14:paraId="23EECAD8" w14:textId="77777777" w:rsidR="00FD7EFA" w:rsidRPr="00D56579" w:rsidRDefault="00FD7EFA" w:rsidP="002F131C">
      <w:pPr>
        <w:pStyle w:val="Prrafodelista"/>
        <w:spacing w:after="200"/>
        <w:ind w:left="0"/>
        <w:jc w:val="both"/>
        <w:rPr>
          <w:rFonts w:ascii="Montserrat Medium" w:eastAsia="Times New Roman" w:hAnsi="Montserrat Medium" w:cs="Arial"/>
          <w:color w:val="595959"/>
          <w:sz w:val="22"/>
          <w:lang w:eastAsia="en-US"/>
        </w:rPr>
      </w:pPr>
    </w:p>
    <w:p w14:paraId="1AE88781" w14:textId="77777777" w:rsidR="008257FE" w:rsidRPr="00D56579" w:rsidRDefault="008257FE" w:rsidP="002F131C">
      <w:pPr>
        <w:pStyle w:val="Prrafodelista"/>
        <w:numPr>
          <w:ilvl w:val="0"/>
          <w:numId w:val="25"/>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Los Postulados Básicos de Contabilidad Gubernamental (PBCG), son el fundamento de la normatividad y la base para establecer criterios, reglas, métodos y procedimientos contables. Los PBCG representan el marco de referencia que garantiza la uniformidad de la práctica contable gubernamental, permitiendo organizar y mantener la sistematización y control de los elementos financieros para la generación de informes, que por su integridad y comparabilidad resultan indispensables para la</w:t>
      </w:r>
      <w:r w:rsidRPr="00D56579">
        <w:rPr>
          <w:rFonts w:ascii="Montserrat Medium" w:hAnsi="Montserrat Medium"/>
          <w:sz w:val="22"/>
        </w:rPr>
        <w:t xml:space="preserve"> </w:t>
      </w:r>
      <w:r w:rsidRPr="00D56579">
        <w:rPr>
          <w:rFonts w:ascii="Montserrat Medium" w:eastAsia="Times New Roman" w:hAnsi="Montserrat Medium" w:cs="Arial"/>
          <w:color w:val="595959"/>
          <w:sz w:val="22"/>
          <w:lang w:eastAsia="en-US"/>
        </w:rPr>
        <w:t>correcta contabilización de las operaciones. Los PBCG aplicados en nuestros estados financieros son:</w:t>
      </w:r>
    </w:p>
    <w:p w14:paraId="65A31AD4" w14:textId="77777777" w:rsidR="008257FE" w:rsidRPr="00D56579" w:rsidRDefault="008257FE" w:rsidP="002F131C">
      <w:pPr>
        <w:pStyle w:val="Prrafodelista"/>
        <w:rPr>
          <w:rFonts w:ascii="Montserrat Medium" w:eastAsia="Times New Roman" w:hAnsi="Montserrat Medium" w:cs="Arial"/>
          <w:color w:val="595959"/>
          <w:sz w:val="22"/>
          <w:lang w:eastAsia="en-US"/>
        </w:rPr>
      </w:pPr>
    </w:p>
    <w:p w14:paraId="3D493558" w14:textId="77777777" w:rsidR="008257FE" w:rsidRPr="00D56579" w:rsidRDefault="008257FE" w:rsidP="002F131C">
      <w:pPr>
        <w:pStyle w:val="Prrafodelista"/>
        <w:numPr>
          <w:ilvl w:val="0"/>
          <w:numId w:val="26"/>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Sustancia Económica</w:t>
      </w:r>
    </w:p>
    <w:p w14:paraId="3C905440" w14:textId="77777777" w:rsidR="008257FE" w:rsidRPr="00D56579" w:rsidRDefault="008257FE" w:rsidP="002F131C">
      <w:pPr>
        <w:pStyle w:val="Prrafodelista"/>
        <w:numPr>
          <w:ilvl w:val="0"/>
          <w:numId w:val="26"/>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Entes Públicos</w:t>
      </w:r>
    </w:p>
    <w:p w14:paraId="07FCE894" w14:textId="77777777" w:rsidR="008257FE" w:rsidRPr="00D56579" w:rsidRDefault="008257FE" w:rsidP="002F131C">
      <w:pPr>
        <w:pStyle w:val="Prrafodelista"/>
        <w:numPr>
          <w:ilvl w:val="0"/>
          <w:numId w:val="26"/>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Existencia Permanente</w:t>
      </w:r>
    </w:p>
    <w:p w14:paraId="0C733AA1" w14:textId="77777777" w:rsidR="008257FE" w:rsidRPr="00D56579" w:rsidRDefault="008257FE" w:rsidP="002F131C">
      <w:pPr>
        <w:pStyle w:val="Prrafodelista"/>
        <w:numPr>
          <w:ilvl w:val="0"/>
          <w:numId w:val="26"/>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Revelación Suficiente</w:t>
      </w:r>
    </w:p>
    <w:p w14:paraId="3B9CE331" w14:textId="77777777" w:rsidR="008257FE" w:rsidRPr="00D56579" w:rsidRDefault="008257FE" w:rsidP="002F131C">
      <w:pPr>
        <w:pStyle w:val="Prrafodelista"/>
        <w:numPr>
          <w:ilvl w:val="0"/>
          <w:numId w:val="26"/>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Importancia Relativa</w:t>
      </w:r>
    </w:p>
    <w:p w14:paraId="0CC4AB31" w14:textId="77777777" w:rsidR="008257FE" w:rsidRPr="00D56579" w:rsidRDefault="008257FE" w:rsidP="002F131C">
      <w:pPr>
        <w:pStyle w:val="Prrafodelista"/>
        <w:numPr>
          <w:ilvl w:val="0"/>
          <w:numId w:val="26"/>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lastRenderedPageBreak/>
        <w:t>Registro e Integración Presupuestaria</w:t>
      </w:r>
    </w:p>
    <w:p w14:paraId="6FE828DA" w14:textId="77777777" w:rsidR="008257FE" w:rsidRPr="00D56579" w:rsidRDefault="008257FE" w:rsidP="002F131C">
      <w:pPr>
        <w:pStyle w:val="Prrafodelista"/>
        <w:numPr>
          <w:ilvl w:val="0"/>
          <w:numId w:val="26"/>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Consolidación de la Información Financiera</w:t>
      </w:r>
    </w:p>
    <w:p w14:paraId="387419EC" w14:textId="77777777" w:rsidR="008257FE" w:rsidRPr="00D56579" w:rsidRDefault="008257FE" w:rsidP="002F131C">
      <w:pPr>
        <w:pStyle w:val="Prrafodelista"/>
        <w:numPr>
          <w:ilvl w:val="0"/>
          <w:numId w:val="26"/>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Devengo Contable</w:t>
      </w:r>
    </w:p>
    <w:p w14:paraId="59134DC5" w14:textId="77777777" w:rsidR="008257FE" w:rsidRPr="00D56579" w:rsidRDefault="008257FE" w:rsidP="002F131C">
      <w:pPr>
        <w:pStyle w:val="Prrafodelista"/>
        <w:numPr>
          <w:ilvl w:val="0"/>
          <w:numId w:val="26"/>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Valuación</w:t>
      </w:r>
    </w:p>
    <w:p w14:paraId="549B7301" w14:textId="77777777" w:rsidR="008257FE" w:rsidRPr="00D56579" w:rsidRDefault="008257FE" w:rsidP="002F131C">
      <w:pPr>
        <w:pStyle w:val="Prrafodelista"/>
        <w:numPr>
          <w:ilvl w:val="0"/>
          <w:numId w:val="26"/>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Dualidad Económica</w:t>
      </w:r>
    </w:p>
    <w:p w14:paraId="6A97D18A" w14:textId="77777777" w:rsidR="008257FE" w:rsidRPr="00D56579" w:rsidRDefault="008257FE" w:rsidP="002F131C">
      <w:pPr>
        <w:pStyle w:val="Prrafodelista"/>
        <w:numPr>
          <w:ilvl w:val="0"/>
          <w:numId w:val="26"/>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Consistencia</w:t>
      </w:r>
    </w:p>
    <w:p w14:paraId="5D4E95B7" w14:textId="77777777" w:rsidR="008257FE" w:rsidRPr="00D56579" w:rsidRDefault="008257FE" w:rsidP="002F131C">
      <w:pPr>
        <w:pStyle w:val="Prrafodelista"/>
        <w:spacing w:after="200"/>
        <w:ind w:left="1492"/>
        <w:jc w:val="both"/>
        <w:rPr>
          <w:rFonts w:ascii="Montserrat Medium" w:eastAsia="Times New Roman" w:hAnsi="Montserrat Medium" w:cs="Arial"/>
          <w:color w:val="595959"/>
          <w:sz w:val="22"/>
          <w:lang w:eastAsia="en-US"/>
        </w:rPr>
      </w:pPr>
    </w:p>
    <w:p w14:paraId="2AD26D9D" w14:textId="7BD22C7E" w:rsidR="008257FE" w:rsidRPr="00D56579" w:rsidRDefault="008257FE" w:rsidP="002F131C">
      <w:pPr>
        <w:pStyle w:val="Prrafodelista"/>
        <w:numPr>
          <w:ilvl w:val="0"/>
          <w:numId w:val="25"/>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Los Estados Financieros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w:t>
      </w:r>
      <w:r w:rsidR="00DA1E3E">
        <w:rPr>
          <w:rFonts w:ascii="Montserrat Medium" w:eastAsia="Times New Roman" w:hAnsi="Montserrat Medium" w:cs="Arial"/>
          <w:color w:val="595959"/>
          <w:sz w:val="22"/>
          <w:lang w:eastAsia="en-US"/>
        </w:rPr>
        <w:t>0</w:t>
      </w:r>
      <w:r w:rsidR="00A4586C" w:rsidRPr="00D56579">
        <w:rPr>
          <w:rFonts w:ascii="Montserrat Medium" w:eastAsia="Times New Roman" w:hAnsi="Montserrat Medium" w:cs="Arial"/>
          <w:color w:val="595959"/>
          <w:sz w:val="22"/>
          <w:lang w:eastAsia="en-US"/>
        </w:rPr>
        <w:t xml:space="preserve"> de </w:t>
      </w:r>
      <w:r w:rsidR="00DA1E3E">
        <w:rPr>
          <w:rFonts w:ascii="Montserrat Medium" w:eastAsia="Times New Roman" w:hAnsi="Montserrat Medium" w:cs="Arial"/>
          <w:color w:val="595959"/>
          <w:sz w:val="22"/>
          <w:lang w:eastAsia="en-US"/>
        </w:rPr>
        <w:t>junio</w:t>
      </w:r>
      <w:r w:rsidR="0009236A">
        <w:rPr>
          <w:rFonts w:ascii="Montserrat Medium" w:eastAsia="Times New Roman" w:hAnsi="Montserrat Medium" w:cs="Arial"/>
          <w:color w:val="595959"/>
          <w:sz w:val="22"/>
          <w:lang w:eastAsia="en-US"/>
        </w:rPr>
        <w:t xml:space="preserve"> de 2025 </w:t>
      </w:r>
      <w:r w:rsidRPr="00D56579">
        <w:rPr>
          <w:rFonts w:ascii="Montserrat Medium" w:eastAsia="Times New Roman" w:hAnsi="Montserrat Medium" w:cs="Arial"/>
          <w:color w:val="595959"/>
          <w:sz w:val="22"/>
          <w:lang w:eastAsia="en-US"/>
        </w:rPr>
        <w:t xml:space="preserve">y </w:t>
      </w:r>
      <w:r w:rsidR="00434BD5" w:rsidRPr="00D56579">
        <w:rPr>
          <w:rFonts w:ascii="Montserrat Medium" w:eastAsia="Times New Roman" w:hAnsi="Montserrat Medium" w:cs="Arial"/>
          <w:color w:val="595959"/>
          <w:sz w:val="22"/>
          <w:lang w:eastAsia="en-US"/>
        </w:rPr>
        <w:t>ejercicio fiscal 202</w:t>
      </w:r>
      <w:r w:rsidR="0009236A">
        <w:rPr>
          <w:rFonts w:ascii="Montserrat Medium" w:eastAsia="Times New Roman" w:hAnsi="Montserrat Medium" w:cs="Arial"/>
          <w:color w:val="595959"/>
          <w:sz w:val="22"/>
          <w:lang w:eastAsia="en-US"/>
        </w:rPr>
        <w:t>4</w:t>
      </w:r>
      <w:r w:rsidRPr="00D56579">
        <w:rPr>
          <w:rFonts w:ascii="Montserrat Medium" w:eastAsia="Times New Roman" w:hAnsi="Montserrat Medium" w:cs="Arial"/>
          <w:color w:val="595959"/>
          <w:sz w:val="22"/>
          <w:lang w:eastAsia="en-US"/>
        </w:rPr>
        <w:t xml:space="preserve">, se presentan comparativos, han sido elaborados con base a la Ley General de Contabilidad Gubernamental, la Normatividad emitida por el Consejo Nacional de Armonización Contable, la Ley de </w:t>
      </w:r>
      <w:r w:rsidR="008936CB" w:rsidRPr="00D56579">
        <w:rPr>
          <w:rFonts w:ascii="Montserrat Medium" w:eastAsia="Times New Roman" w:hAnsi="Montserrat Medium" w:cs="Arial"/>
          <w:color w:val="595959"/>
          <w:sz w:val="22"/>
          <w:lang w:eastAsia="en-US"/>
        </w:rPr>
        <w:t>P</w:t>
      </w:r>
      <w:r w:rsidRPr="00D56579">
        <w:rPr>
          <w:rFonts w:ascii="Montserrat Medium" w:eastAsia="Times New Roman" w:hAnsi="Montserrat Medium" w:cs="Arial"/>
          <w:color w:val="595959"/>
          <w:sz w:val="22"/>
          <w:lang w:eastAsia="en-US"/>
        </w:rPr>
        <w:t>resupuesto, Contabilidad y Gasto Público del Estado de Quintana Roo, la Ley de Fiscalización y Rendición de Cuentas del Estado de Quintana Roo, así como en apego al Decreto del Presupuesto de Egresos y la Ley de Ingresos, de los eje</w:t>
      </w:r>
      <w:r w:rsidR="00A11C3D" w:rsidRPr="00D56579">
        <w:rPr>
          <w:rFonts w:ascii="Montserrat Medium" w:eastAsia="Times New Roman" w:hAnsi="Montserrat Medium" w:cs="Arial"/>
          <w:color w:val="595959"/>
          <w:sz w:val="22"/>
          <w:lang w:eastAsia="en-US"/>
        </w:rPr>
        <w:t>rcicios fiscales 202</w:t>
      </w:r>
      <w:r w:rsidR="0009236A">
        <w:rPr>
          <w:rFonts w:ascii="Montserrat Medium" w:eastAsia="Times New Roman" w:hAnsi="Montserrat Medium" w:cs="Arial"/>
          <w:color w:val="595959"/>
          <w:sz w:val="22"/>
          <w:lang w:eastAsia="en-US"/>
        </w:rPr>
        <w:t>5</w:t>
      </w:r>
      <w:r w:rsidRPr="00D56579">
        <w:rPr>
          <w:rFonts w:ascii="Montserrat Medium" w:eastAsia="Times New Roman" w:hAnsi="Montserrat Medium" w:cs="Arial"/>
          <w:color w:val="595959"/>
          <w:sz w:val="22"/>
          <w:lang w:eastAsia="en-US"/>
        </w:rPr>
        <w:t xml:space="preserve"> y 202</w:t>
      </w:r>
      <w:r w:rsidR="0009236A">
        <w:rPr>
          <w:rFonts w:ascii="Montserrat Medium" w:eastAsia="Times New Roman" w:hAnsi="Montserrat Medium" w:cs="Arial"/>
          <w:color w:val="595959"/>
          <w:sz w:val="22"/>
          <w:lang w:eastAsia="en-US"/>
        </w:rPr>
        <w:t>4</w:t>
      </w:r>
      <w:r w:rsidRPr="00D56579">
        <w:rPr>
          <w:rFonts w:ascii="Montserrat Medium" w:eastAsia="Times New Roman" w:hAnsi="Montserrat Medium" w:cs="Arial"/>
          <w:color w:val="595959"/>
          <w:sz w:val="22"/>
          <w:lang w:eastAsia="en-US"/>
        </w:rPr>
        <w:t xml:space="preserve"> y las demás disposiciones normativas y jurídicas vigentes para el Estado de Quintana Roo.</w:t>
      </w:r>
    </w:p>
    <w:p w14:paraId="2A97F513" w14:textId="77777777" w:rsidR="00DB61F1" w:rsidRDefault="008257FE" w:rsidP="002F131C">
      <w:pPr>
        <w:pStyle w:val="Prrafodelista"/>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Los Estados Financieros contables </w:t>
      </w:r>
      <w:r w:rsidR="00FC1B55" w:rsidRPr="00D56579">
        <w:rPr>
          <w:rFonts w:ascii="Montserrat Medium" w:eastAsia="Times New Roman" w:hAnsi="Montserrat Medium" w:cs="Arial"/>
          <w:color w:val="595959"/>
          <w:sz w:val="22"/>
          <w:lang w:eastAsia="en-US"/>
        </w:rPr>
        <w:t>y</w:t>
      </w:r>
      <w:r w:rsidRPr="00D56579">
        <w:rPr>
          <w:rFonts w:ascii="Montserrat Medium" w:eastAsia="Times New Roman" w:hAnsi="Montserrat Medium" w:cs="Arial"/>
          <w:color w:val="595959"/>
          <w:sz w:val="22"/>
          <w:lang w:eastAsia="en-US"/>
        </w:rPr>
        <w:t xml:space="preserve"> presupuestarios presentan únicamente la información de la Administración Pública Central.</w:t>
      </w:r>
    </w:p>
    <w:p w14:paraId="5D9BC4E6" w14:textId="77777777" w:rsidR="00D56579" w:rsidRDefault="00D56579" w:rsidP="002F131C">
      <w:pPr>
        <w:pStyle w:val="Prrafodelista"/>
        <w:jc w:val="both"/>
        <w:rPr>
          <w:rFonts w:ascii="Montserrat Medium" w:eastAsia="Times New Roman" w:hAnsi="Montserrat Medium" w:cs="Arial"/>
          <w:color w:val="595959"/>
          <w:sz w:val="22"/>
          <w:lang w:eastAsia="en-US"/>
        </w:rPr>
      </w:pPr>
    </w:p>
    <w:p w14:paraId="534FC80F" w14:textId="2543AE14" w:rsidR="00F918AE" w:rsidRPr="00D56579" w:rsidRDefault="004A477A" w:rsidP="002F131C">
      <w:pPr>
        <w:pStyle w:val="Prrafodelista"/>
        <w:numPr>
          <w:ilvl w:val="0"/>
          <w:numId w:val="25"/>
        </w:numPr>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La Entidad no es de nueva creación, por lo que este inciso no es aplicable.</w:t>
      </w:r>
    </w:p>
    <w:p w14:paraId="17F8222C" w14:textId="77777777" w:rsidR="005F6D8D" w:rsidRPr="00D56579" w:rsidRDefault="005F6D8D" w:rsidP="002F131C">
      <w:pPr>
        <w:pStyle w:val="Prrafodelista"/>
        <w:rPr>
          <w:rFonts w:ascii="Montserrat Medium" w:eastAsia="Times New Roman" w:hAnsi="Montserrat Medium" w:cs="Arial"/>
          <w:color w:val="595959"/>
          <w:sz w:val="22"/>
          <w:lang w:eastAsia="en-US"/>
        </w:rPr>
      </w:pPr>
    </w:p>
    <w:p w14:paraId="3739B2AD" w14:textId="77777777" w:rsidR="008257FE" w:rsidRDefault="00FD7EFA" w:rsidP="002F131C">
      <w:pPr>
        <w:keepNext/>
        <w:keepLines/>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5</w:t>
      </w:r>
      <w:r w:rsidR="008257FE" w:rsidRPr="00D56579">
        <w:rPr>
          <w:rFonts w:ascii="Montserrat Medium" w:eastAsia="Times New Roman" w:hAnsi="Montserrat Medium" w:cs="Arial"/>
          <w:b/>
          <w:i/>
          <w:iCs/>
          <w:color w:val="595959"/>
          <w:sz w:val="22"/>
        </w:rPr>
        <w:t>. Políticas de Contabilidad Significativas</w:t>
      </w:r>
    </w:p>
    <w:p w14:paraId="434DAC5D" w14:textId="77777777" w:rsidR="00E92510" w:rsidRPr="00D56579" w:rsidRDefault="00E92510" w:rsidP="002F131C">
      <w:pPr>
        <w:keepNext/>
        <w:keepLines/>
        <w:jc w:val="both"/>
        <w:outlineLvl w:val="6"/>
        <w:rPr>
          <w:rFonts w:ascii="Montserrat Medium" w:eastAsia="Times New Roman" w:hAnsi="Montserrat Medium" w:cs="Arial"/>
          <w:b/>
          <w:i/>
          <w:iCs/>
          <w:color w:val="595959"/>
          <w:sz w:val="22"/>
        </w:rPr>
      </w:pPr>
    </w:p>
    <w:p w14:paraId="78588FA5" w14:textId="77777777" w:rsidR="008257FE" w:rsidRPr="00D56579" w:rsidRDefault="008257FE" w:rsidP="002F131C">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Las políticas de contabilidad adoptadas por la Administración Pública Central, para la elaboración de sus estados financieros están de acuerdo con las disposiciones establecidas en la Ley General de Contabilidad Gubernamental y la normatividad emitida por el Consejo Nacional de Armonización Contable. </w:t>
      </w:r>
    </w:p>
    <w:p w14:paraId="788BB5FB" w14:textId="381F1FF4" w:rsidR="006008EB" w:rsidRPr="00D56579" w:rsidRDefault="006008EB" w:rsidP="002F131C">
      <w:pPr>
        <w:rPr>
          <w:rFonts w:ascii="Montserrat Medium" w:eastAsia="Times New Roman" w:hAnsi="Montserrat Medium" w:cs="Arial"/>
          <w:color w:val="595959"/>
          <w:sz w:val="22"/>
          <w:lang w:eastAsia="en-US"/>
        </w:rPr>
      </w:pPr>
    </w:p>
    <w:p w14:paraId="22D166EE" w14:textId="77777777" w:rsidR="00C50F12" w:rsidRPr="00D56579" w:rsidRDefault="0017148F" w:rsidP="002F131C">
      <w:pPr>
        <w:numPr>
          <w:ilvl w:val="0"/>
          <w:numId w:val="23"/>
        </w:num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lang w:eastAsia="en-US"/>
        </w:rPr>
        <w:t xml:space="preserve">Actualización: </w:t>
      </w:r>
    </w:p>
    <w:p w14:paraId="56667EF8" w14:textId="0C4BEFB0" w:rsidR="0017148F" w:rsidRPr="00D56579" w:rsidRDefault="0017148F" w:rsidP="002F131C">
      <w:pPr>
        <w:ind w:left="928"/>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 xml:space="preserve">Los bienes muebles se encuentran registrados a su costo de adquisición e incluye el Impuesto al Valor Agregado como parte del mismo. Se deprecian en línea recta considerando las tasas de depreciación que se muestran en el numeral 7 Reporte analítico del activo de este apartado de notas. </w:t>
      </w:r>
    </w:p>
    <w:p w14:paraId="3521C703" w14:textId="77777777" w:rsidR="00C50F12" w:rsidRPr="00D56579" w:rsidRDefault="00C50F12" w:rsidP="002F131C">
      <w:pPr>
        <w:ind w:left="928"/>
        <w:contextualSpacing/>
        <w:jc w:val="both"/>
        <w:rPr>
          <w:rFonts w:ascii="Montserrat Medium" w:eastAsia="Times New Roman" w:hAnsi="Montserrat Medium" w:cs="Arial"/>
          <w:color w:val="595959"/>
          <w:sz w:val="22"/>
        </w:rPr>
      </w:pPr>
    </w:p>
    <w:p w14:paraId="296CFD42" w14:textId="77777777" w:rsidR="00D81B5E" w:rsidRPr="00D56579" w:rsidRDefault="00D81B5E" w:rsidP="002F131C">
      <w:pPr>
        <w:numPr>
          <w:ilvl w:val="0"/>
          <w:numId w:val="23"/>
        </w:num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Operaciones en el extranjero:</w:t>
      </w:r>
    </w:p>
    <w:p w14:paraId="6BDC8C8A" w14:textId="77777777" w:rsidR="00DB61F1" w:rsidRPr="00D56579" w:rsidRDefault="00DB61F1" w:rsidP="002F131C">
      <w:pPr>
        <w:ind w:left="928"/>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A la fecha de presentación de los Estados Financieros, no existen registros de operaciones realizadas en el extranjero que pudieran tener efectos en la información financiera gubernamental. </w:t>
      </w:r>
    </w:p>
    <w:p w14:paraId="07086ACB" w14:textId="77777777" w:rsidR="00955A98" w:rsidRPr="00D56579" w:rsidRDefault="00955A98" w:rsidP="002F131C">
      <w:pPr>
        <w:ind w:left="928"/>
        <w:jc w:val="both"/>
        <w:rPr>
          <w:rFonts w:ascii="Montserrat Medium" w:eastAsia="Times New Roman" w:hAnsi="Montserrat Medium" w:cs="Arial"/>
          <w:color w:val="595959"/>
          <w:sz w:val="22"/>
          <w:lang w:eastAsia="en-US"/>
        </w:rPr>
      </w:pPr>
    </w:p>
    <w:p w14:paraId="009AE6CB" w14:textId="6AEF6B09" w:rsidR="00D81B5E" w:rsidRPr="00D56579" w:rsidRDefault="00D81B5E" w:rsidP="002F131C">
      <w:pPr>
        <w:numPr>
          <w:ilvl w:val="0"/>
          <w:numId w:val="23"/>
        </w:num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lang w:eastAsia="en-US"/>
        </w:rPr>
        <w:t>Método de valuación de la inversión en acciones de Compañías subsidiarias no consolidadas y asociadas</w:t>
      </w:r>
      <w:r w:rsidR="00636952">
        <w:rPr>
          <w:rFonts w:ascii="Montserrat Medium" w:eastAsia="Times New Roman" w:hAnsi="Montserrat Medium" w:cs="Arial"/>
          <w:color w:val="595959"/>
          <w:sz w:val="22"/>
          <w:lang w:eastAsia="en-US"/>
        </w:rPr>
        <w:t>:</w:t>
      </w:r>
    </w:p>
    <w:p w14:paraId="68F5AD82" w14:textId="77777777" w:rsidR="00504A13" w:rsidRPr="00D56579" w:rsidRDefault="00504A13" w:rsidP="002F131C">
      <w:pPr>
        <w:ind w:left="928"/>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Las inversiones en empresas de participación estatal, representan la participación del Gobierno en el capital social de empresas en las cuales es accionista, las acciones se encuentran valuadas de acuerdo al método de participación.</w:t>
      </w:r>
    </w:p>
    <w:p w14:paraId="340E442C" w14:textId="77777777" w:rsidR="00955A98" w:rsidRPr="00D56579" w:rsidRDefault="00955A98" w:rsidP="002F131C">
      <w:pPr>
        <w:pStyle w:val="Prrafodelista"/>
        <w:rPr>
          <w:rFonts w:ascii="Montserrat Medium" w:eastAsia="Times New Roman" w:hAnsi="Montserrat Medium" w:cs="Arial"/>
          <w:color w:val="595959"/>
          <w:sz w:val="22"/>
        </w:rPr>
      </w:pPr>
    </w:p>
    <w:p w14:paraId="225A0DB3" w14:textId="77777777" w:rsidR="00504A13" w:rsidRDefault="00504A13" w:rsidP="002F131C">
      <w:pPr>
        <w:ind w:left="928"/>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lastRenderedPageBreak/>
        <w:t xml:space="preserve">En el año fiscal de 2021, el cálculo del método de participación se determinó considerando el resultado de actividades del año en curso de las empresas en las que el Gobierno es accionista mayoritario, el efecto del cálculo se registró en el estado de actividades. </w:t>
      </w:r>
    </w:p>
    <w:p w14:paraId="4A0463E4" w14:textId="77777777" w:rsidR="00CC759C" w:rsidRPr="00D56579" w:rsidRDefault="00CC759C" w:rsidP="002F131C">
      <w:pPr>
        <w:ind w:left="928"/>
        <w:contextualSpacing/>
        <w:jc w:val="both"/>
        <w:rPr>
          <w:rFonts w:ascii="Montserrat Medium" w:eastAsia="Times New Roman" w:hAnsi="Montserrat Medium" w:cs="Arial"/>
          <w:color w:val="595959"/>
          <w:sz w:val="22"/>
        </w:rPr>
      </w:pPr>
    </w:p>
    <w:p w14:paraId="7F64D5BF" w14:textId="56F1BD5D" w:rsidR="00630636" w:rsidRPr="00D56579" w:rsidRDefault="00630636" w:rsidP="002F131C">
      <w:pPr>
        <w:numPr>
          <w:ilvl w:val="0"/>
          <w:numId w:val="23"/>
        </w:num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Sistema y método de valuación de in</w:t>
      </w:r>
      <w:r w:rsidR="00636952">
        <w:rPr>
          <w:rFonts w:ascii="Montserrat Medium" w:eastAsia="Times New Roman" w:hAnsi="Montserrat Medium" w:cs="Arial"/>
          <w:color w:val="595959"/>
          <w:sz w:val="22"/>
        </w:rPr>
        <w:t>ventarios y costo de lo vendido:</w:t>
      </w:r>
    </w:p>
    <w:p w14:paraId="5A68EF81" w14:textId="77777777" w:rsidR="00025F56" w:rsidRPr="00D56579" w:rsidRDefault="00025F56" w:rsidP="002F131C">
      <w:pPr>
        <w:ind w:left="928"/>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Los inventarios se encuentran valuados a su costo de adquisición atendiendo lo que se señala en las Principales Reglas de Registro y Valoración del Patrimonio (Elementos Generales) emitidas por el Consejo Nacional de Armonización Contable (CONAC).</w:t>
      </w:r>
    </w:p>
    <w:p w14:paraId="06B91018" w14:textId="77777777" w:rsidR="00025F56" w:rsidRPr="00D56579" w:rsidRDefault="00025F56" w:rsidP="002F131C">
      <w:pPr>
        <w:ind w:left="928"/>
        <w:contextualSpacing/>
        <w:jc w:val="both"/>
        <w:rPr>
          <w:rFonts w:ascii="Montserrat Medium" w:eastAsia="Times New Roman" w:hAnsi="Montserrat Medium" w:cs="Arial"/>
          <w:color w:val="595959"/>
          <w:sz w:val="22"/>
        </w:rPr>
      </w:pPr>
    </w:p>
    <w:p w14:paraId="2A2F8495" w14:textId="77777777" w:rsidR="00D81B5E" w:rsidRPr="00D56579" w:rsidRDefault="00D81B5E" w:rsidP="002F131C">
      <w:pPr>
        <w:numPr>
          <w:ilvl w:val="0"/>
          <w:numId w:val="23"/>
        </w:num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Beneficios a empleados:</w:t>
      </w:r>
    </w:p>
    <w:p w14:paraId="04AB0F3C" w14:textId="77777777" w:rsidR="0017148F" w:rsidRPr="00D56579" w:rsidRDefault="0017148F" w:rsidP="002F131C">
      <w:pPr>
        <w:ind w:left="928"/>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 xml:space="preserve">Los beneficios por causas distintas al retiro, a que tienen derecho los trabajadores, que derivan de la antigüedad del trabajador por sus servicios prestados, como son los quinquenios, estímulo por quince años de servicios y el estímulo de antigüedad por más de </w:t>
      </w:r>
      <w:r w:rsidR="00DA7525" w:rsidRPr="00D56579">
        <w:rPr>
          <w:rFonts w:ascii="Montserrat Medium" w:eastAsia="Times New Roman" w:hAnsi="Montserrat Medium" w:cs="Arial"/>
          <w:color w:val="595959"/>
          <w:sz w:val="22"/>
        </w:rPr>
        <w:t>veinte</w:t>
      </w:r>
      <w:r w:rsidRPr="00D56579">
        <w:rPr>
          <w:rFonts w:ascii="Montserrat Medium" w:eastAsia="Times New Roman" w:hAnsi="Montserrat Medium" w:cs="Arial"/>
          <w:color w:val="595959"/>
          <w:sz w:val="22"/>
        </w:rPr>
        <w:t xml:space="preserve"> años de servicios, se reconocen como gastos al momento de realizar el pago al trabajador cumplidos los años de servicios.</w:t>
      </w:r>
    </w:p>
    <w:p w14:paraId="31743236" w14:textId="77777777" w:rsidR="0017148F" w:rsidRPr="00D56579" w:rsidRDefault="0017148F" w:rsidP="002F131C">
      <w:pPr>
        <w:ind w:left="927"/>
        <w:contextualSpacing/>
        <w:jc w:val="both"/>
        <w:rPr>
          <w:rFonts w:ascii="Montserrat Medium" w:eastAsia="Times New Roman" w:hAnsi="Montserrat Medium" w:cs="Arial"/>
          <w:color w:val="595959"/>
          <w:sz w:val="22"/>
        </w:rPr>
      </w:pPr>
    </w:p>
    <w:p w14:paraId="51B70B0C" w14:textId="77777777" w:rsidR="0017148F" w:rsidRPr="00D56579" w:rsidRDefault="0017148F" w:rsidP="002F131C">
      <w:pPr>
        <w:ind w:left="927"/>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 xml:space="preserve">Según pronunciamientos de las Reglas Específicas del Registro y Valorización del Patrimonio en su numeral 12.4, por lo que se refiere al reconocimiento de un pasivo o una estimación por beneficios a los empleados, el Consejo Nacional de Armonización Contable emitirá las normas contables y de emisión de información, en virtud de que se deberá analizar, revisar, evaluar y determinar el alcance del impacto en la información financiera. </w:t>
      </w:r>
    </w:p>
    <w:p w14:paraId="762FA57F" w14:textId="77777777" w:rsidR="00955A98" w:rsidRPr="00D56579" w:rsidRDefault="00955A98" w:rsidP="002F131C">
      <w:pPr>
        <w:ind w:left="927"/>
        <w:contextualSpacing/>
        <w:jc w:val="both"/>
        <w:rPr>
          <w:rFonts w:ascii="Montserrat Medium" w:eastAsia="Times New Roman" w:hAnsi="Montserrat Medium" w:cs="Arial"/>
          <w:color w:val="595959"/>
          <w:sz w:val="22"/>
        </w:rPr>
      </w:pPr>
    </w:p>
    <w:p w14:paraId="0D33EEBE" w14:textId="77777777" w:rsidR="00D81B5E" w:rsidRPr="00D56579" w:rsidRDefault="00D81B5E" w:rsidP="002F131C">
      <w:pPr>
        <w:numPr>
          <w:ilvl w:val="0"/>
          <w:numId w:val="23"/>
        </w:num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Provisiones:</w:t>
      </w:r>
    </w:p>
    <w:p w14:paraId="1C5A9EC1" w14:textId="77777777" w:rsidR="00D81B5E" w:rsidRPr="00D56579" w:rsidRDefault="00D81B5E" w:rsidP="002F131C">
      <w:pPr>
        <w:ind w:left="928"/>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De conformidad a las Reglas Específicas del Registro y Valoración del Patrimonio, en específico al numeral “12. Provisiones para demandas, juicios y contingencias.” Establece que “Representa el monto de las obligaciones a cargo del ente público, originadas en circunstancias ciertas, cuya exactitud del valor depende de un hecho futuro; estas obligaciones deben ser justificables y su medición monetaria debe ser confiable”. </w:t>
      </w:r>
    </w:p>
    <w:p w14:paraId="5B8920A3" w14:textId="77777777" w:rsidR="00D81B5E" w:rsidRPr="00D56579" w:rsidRDefault="00D81B5E" w:rsidP="002F131C">
      <w:pPr>
        <w:ind w:left="928"/>
        <w:jc w:val="both"/>
        <w:rPr>
          <w:rFonts w:ascii="Montserrat Medium" w:eastAsia="Times New Roman" w:hAnsi="Montserrat Medium" w:cs="Arial"/>
          <w:color w:val="595959"/>
          <w:sz w:val="22"/>
          <w:lang w:eastAsia="en-US"/>
        </w:rPr>
      </w:pPr>
    </w:p>
    <w:p w14:paraId="36B5F4D7" w14:textId="77777777" w:rsidR="00D81B5E" w:rsidRDefault="00D81B5E" w:rsidP="002F131C">
      <w:pPr>
        <w:ind w:left="928"/>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En este sentido, la Administración Pública Central no tiene registros de provisiones.  </w:t>
      </w:r>
    </w:p>
    <w:p w14:paraId="05A2BEA5" w14:textId="77777777" w:rsidR="006E0655" w:rsidRDefault="006E0655" w:rsidP="002F131C">
      <w:pPr>
        <w:ind w:left="928"/>
        <w:jc w:val="both"/>
        <w:rPr>
          <w:rFonts w:ascii="Montserrat Medium" w:eastAsia="Times New Roman" w:hAnsi="Montserrat Medium" w:cs="Arial"/>
          <w:color w:val="595959"/>
          <w:sz w:val="22"/>
          <w:lang w:eastAsia="en-US"/>
        </w:rPr>
      </w:pPr>
    </w:p>
    <w:p w14:paraId="024A68C1" w14:textId="77777777" w:rsidR="00D81B5E" w:rsidRPr="006E0655" w:rsidRDefault="00D81B5E" w:rsidP="002F131C">
      <w:pPr>
        <w:numPr>
          <w:ilvl w:val="0"/>
          <w:numId w:val="23"/>
        </w:numPr>
        <w:contextualSpacing/>
        <w:jc w:val="both"/>
        <w:rPr>
          <w:rFonts w:ascii="Montserrat Medium" w:eastAsia="Times New Roman" w:hAnsi="Montserrat Medium" w:cs="Arial"/>
          <w:color w:val="595959"/>
          <w:sz w:val="22"/>
        </w:rPr>
      </w:pPr>
      <w:r w:rsidRPr="006E0655">
        <w:rPr>
          <w:rFonts w:ascii="Montserrat Medium" w:eastAsia="Times New Roman" w:hAnsi="Montserrat Medium" w:cs="Arial"/>
          <w:color w:val="595959"/>
          <w:sz w:val="22"/>
        </w:rPr>
        <w:t>Reservas:</w:t>
      </w:r>
    </w:p>
    <w:p w14:paraId="7BA15441" w14:textId="77777777" w:rsidR="00D81B5E" w:rsidRDefault="00D81B5E" w:rsidP="002F131C">
      <w:pPr>
        <w:ind w:left="928"/>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El Estado constituirá el Fondo de Reserva para garantizar el pago principal e intereses de las obligaciones a su cargo, el cual se constituirá en la Cuenta Individual que el Fiduciario abra y mantenga respecto del Crédito. Las cantidades que se tienen a la presente fecha son las siguientes:</w:t>
      </w:r>
    </w:p>
    <w:p w14:paraId="3F8EB9A7" w14:textId="77777777" w:rsidR="006E0655" w:rsidRDefault="006E0655" w:rsidP="002F131C">
      <w:pPr>
        <w:ind w:left="928"/>
        <w:jc w:val="both"/>
        <w:rPr>
          <w:rFonts w:ascii="Montserrat Medium" w:eastAsia="Times New Roman" w:hAnsi="Montserrat Medium" w:cs="Arial"/>
          <w:color w:val="595959"/>
          <w:sz w:val="22"/>
          <w:lang w:eastAsia="en-US"/>
        </w:rPr>
      </w:pPr>
    </w:p>
    <w:tbl>
      <w:tblPr>
        <w:tblW w:w="0" w:type="auto"/>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31"/>
        <w:gridCol w:w="2375"/>
      </w:tblGrid>
      <w:tr w:rsidR="006E0655" w:rsidRPr="00B52292" w14:paraId="5B59B0BF" w14:textId="77777777" w:rsidTr="00782EB0">
        <w:trPr>
          <w:tblHeader/>
          <w:jc w:val="center"/>
        </w:trPr>
        <w:tc>
          <w:tcPr>
            <w:tcW w:w="7650" w:type="dxa"/>
            <w:gridSpan w:val="3"/>
            <w:shd w:val="clear" w:color="auto" w:fill="A6A6A6"/>
          </w:tcPr>
          <w:p w14:paraId="62E3D81D" w14:textId="77777777" w:rsidR="006E0655" w:rsidRPr="00B52292" w:rsidRDefault="006E0655" w:rsidP="002F131C">
            <w:pPr>
              <w:jc w:val="center"/>
              <w:rPr>
                <w:rFonts w:ascii="Montserrat Medium" w:eastAsia="Times New Roman" w:hAnsi="Montserrat Medium" w:cs="Futura Medium"/>
                <w:b/>
                <w:sz w:val="17"/>
                <w:szCs w:val="17"/>
                <w:lang w:val="es-MX" w:eastAsia="es-MX"/>
              </w:rPr>
            </w:pPr>
            <w:r w:rsidRPr="00B52292">
              <w:rPr>
                <w:rFonts w:ascii="Montserrat Medium" w:eastAsia="Times New Roman" w:hAnsi="Montserrat Medium" w:cs="Futura Medium"/>
                <w:b/>
                <w:sz w:val="17"/>
                <w:szCs w:val="17"/>
                <w:lang w:val="es-MX" w:eastAsia="es-MX"/>
              </w:rPr>
              <w:lastRenderedPageBreak/>
              <w:t xml:space="preserve">GOBIERNO DEL ESTADO </w:t>
            </w:r>
            <w:r w:rsidRPr="00B52292">
              <w:rPr>
                <w:rFonts w:ascii="Montserrat Medium" w:hAnsi="Montserrat Medium" w:cs="Futura Medium"/>
                <w:b/>
                <w:bCs/>
                <w:sz w:val="17"/>
                <w:szCs w:val="17"/>
              </w:rPr>
              <w:t>LIBRE</w:t>
            </w:r>
            <w:r w:rsidRPr="00B52292">
              <w:rPr>
                <w:rFonts w:ascii="Montserrat Medium" w:eastAsia="Times New Roman" w:hAnsi="Montserrat Medium" w:cs="Futura Medium"/>
                <w:b/>
                <w:sz w:val="17"/>
                <w:szCs w:val="17"/>
                <w:lang w:val="es-MX" w:eastAsia="es-MX"/>
              </w:rPr>
              <w:t xml:space="preserve"> Y SOBERANO DE QUINTANA ROO</w:t>
            </w:r>
          </w:p>
          <w:p w14:paraId="59E6BC95" w14:textId="77777777" w:rsidR="006E0655" w:rsidRPr="00B52292" w:rsidRDefault="006E0655" w:rsidP="002F131C">
            <w:pPr>
              <w:jc w:val="center"/>
              <w:rPr>
                <w:rFonts w:ascii="Montserrat Medium" w:eastAsia="Times New Roman" w:hAnsi="Montserrat Medium" w:cs="Futura Medium"/>
                <w:b/>
                <w:sz w:val="17"/>
                <w:szCs w:val="17"/>
                <w:lang w:val="es-MX" w:eastAsia="es-MX"/>
              </w:rPr>
            </w:pPr>
            <w:r w:rsidRPr="00B52292">
              <w:rPr>
                <w:rFonts w:ascii="Montserrat Medium" w:eastAsia="Times New Roman" w:hAnsi="Montserrat Medium" w:cs="Futura Medium"/>
                <w:b/>
                <w:sz w:val="17"/>
                <w:szCs w:val="17"/>
                <w:lang w:val="es-MX" w:eastAsia="es-MX"/>
              </w:rPr>
              <w:t>Fondo de Reserva</w:t>
            </w:r>
          </w:p>
          <w:p w14:paraId="03DD7720" w14:textId="3E0882B0" w:rsidR="006E0655" w:rsidRPr="00B52292" w:rsidRDefault="006E0655" w:rsidP="002F131C">
            <w:pPr>
              <w:jc w:val="center"/>
              <w:rPr>
                <w:rFonts w:ascii="Montserrat Medium" w:eastAsia="Times New Roman" w:hAnsi="Montserrat Medium" w:cs="Futura Medium"/>
                <w:b/>
                <w:sz w:val="17"/>
                <w:szCs w:val="17"/>
                <w:lang w:val="es-MX" w:eastAsia="es-MX"/>
              </w:rPr>
            </w:pPr>
            <w:r w:rsidRPr="00B52292">
              <w:rPr>
                <w:rFonts w:ascii="Montserrat Medium" w:eastAsia="Times New Roman" w:hAnsi="Montserrat Medium" w:cs="Futura Medium"/>
                <w:b/>
                <w:sz w:val="17"/>
                <w:szCs w:val="17"/>
                <w:lang w:val="es-MX" w:eastAsia="es-MX"/>
              </w:rPr>
              <w:t>Al 3</w:t>
            </w:r>
            <w:r w:rsidR="00DF2312">
              <w:rPr>
                <w:rFonts w:ascii="Montserrat Medium" w:eastAsia="Times New Roman" w:hAnsi="Montserrat Medium" w:cs="Futura Medium"/>
                <w:b/>
                <w:sz w:val="17"/>
                <w:szCs w:val="17"/>
                <w:lang w:val="es-MX" w:eastAsia="es-MX"/>
              </w:rPr>
              <w:t>0</w:t>
            </w:r>
            <w:r w:rsidRPr="00B52292">
              <w:rPr>
                <w:rFonts w:ascii="Montserrat Medium" w:eastAsia="Times New Roman" w:hAnsi="Montserrat Medium" w:cs="Futura Medium"/>
                <w:b/>
                <w:sz w:val="17"/>
                <w:szCs w:val="17"/>
                <w:lang w:val="es-MX" w:eastAsia="es-MX"/>
              </w:rPr>
              <w:t xml:space="preserve"> de </w:t>
            </w:r>
            <w:r w:rsidR="00DF2312">
              <w:rPr>
                <w:rFonts w:ascii="Montserrat Medium" w:eastAsia="Times New Roman" w:hAnsi="Montserrat Medium" w:cs="Futura Medium"/>
                <w:b/>
                <w:sz w:val="17"/>
                <w:szCs w:val="17"/>
                <w:lang w:val="es-MX" w:eastAsia="es-MX"/>
              </w:rPr>
              <w:t>junio</w:t>
            </w:r>
            <w:r w:rsidRPr="00B52292">
              <w:rPr>
                <w:rFonts w:ascii="Montserrat Medium" w:eastAsia="Times New Roman" w:hAnsi="Montserrat Medium" w:cs="Futura Medium"/>
                <w:b/>
                <w:sz w:val="17"/>
                <w:szCs w:val="17"/>
                <w:lang w:val="es-MX" w:eastAsia="es-MX"/>
              </w:rPr>
              <w:t xml:space="preserve"> de 2025</w:t>
            </w:r>
          </w:p>
          <w:p w14:paraId="622FB5AE" w14:textId="77777777" w:rsidR="006E0655" w:rsidRPr="00B52292" w:rsidRDefault="006E0655" w:rsidP="002F131C">
            <w:pPr>
              <w:jc w:val="center"/>
              <w:rPr>
                <w:rFonts w:ascii="Montserrat Medium" w:eastAsia="Times New Roman" w:hAnsi="Montserrat Medium" w:cs="Futura Medium"/>
                <w:sz w:val="22"/>
                <w:szCs w:val="22"/>
                <w:lang w:val="es-MX" w:eastAsia="es-MX"/>
              </w:rPr>
            </w:pPr>
            <w:r w:rsidRPr="00B52292">
              <w:rPr>
                <w:rFonts w:ascii="Montserrat Medium" w:eastAsia="Times New Roman" w:hAnsi="Montserrat Medium" w:cs="Futura Medium"/>
                <w:sz w:val="17"/>
                <w:szCs w:val="17"/>
                <w:lang w:val="es-MX" w:eastAsia="es-MX"/>
              </w:rPr>
              <w:t>(Cifras en Pesos)</w:t>
            </w:r>
          </w:p>
        </w:tc>
      </w:tr>
      <w:tr w:rsidR="006E0655" w:rsidRPr="00B52292" w14:paraId="3850EB99" w14:textId="77777777" w:rsidTr="00782EB0">
        <w:trPr>
          <w:jc w:val="center"/>
        </w:trPr>
        <w:tc>
          <w:tcPr>
            <w:tcW w:w="3544" w:type="dxa"/>
            <w:tcBorders>
              <w:bottom w:val="single" w:sz="4" w:space="0" w:color="auto"/>
            </w:tcBorders>
            <w:shd w:val="clear" w:color="auto" w:fill="D9D9D9"/>
            <w:vAlign w:val="center"/>
          </w:tcPr>
          <w:p w14:paraId="1ADE75BE" w14:textId="77777777" w:rsidR="006E0655" w:rsidRPr="00B52292" w:rsidRDefault="006E0655" w:rsidP="002F131C">
            <w:pPr>
              <w:jc w:val="center"/>
              <w:rPr>
                <w:rFonts w:ascii="Montserrat Medium" w:eastAsia="Times New Roman" w:hAnsi="Montserrat Medium" w:cs="Futura Medium"/>
                <w:sz w:val="17"/>
                <w:szCs w:val="17"/>
                <w:lang w:val="es-MX" w:eastAsia="es-MX"/>
              </w:rPr>
            </w:pPr>
            <w:r w:rsidRPr="00B52292">
              <w:rPr>
                <w:rFonts w:ascii="Montserrat Medium" w:eastAsia="Times New Roman" w:hAnsi="Montserrat Medium" w:cs="Futura Medium"/>
                <w:sz w:val="17"/>
                <w:szCs w:val="17"/>
                <w:lang w:val="es-MX" w:eastAsia="es-MX"/>
              </w:rPr>
              <w:t>Institución Bancaria</w:t>
            </w:r>
          </w:p>
        </w:tc>
        <w:tc>
          <w:tcPr>
            <w:tcW w:w="1731" w:type="dxa"/>
            <w:tcBorders>
              <w:bottom w:val="single" w:sz="4" w:space="0" w:color="auto"/>
            </w:tcBorders>
            <w:shd w:val="clear" w:color="auto" w:fill="D9D9D9"/>
            <w:vAlign w:val="center"/>
          </w:tcPr>
          <w:p w14:paraId="6357B225" w14:textId="77777777" w:rsidR="006E0655" w:rsidRPr="00B52292" w:rsidRDefault="006E0655" w:rsidP="002F131C">
            <w:pPr>
              <w:jc w:val="center"/>
              <w:rPr>
                <w:rFonts w:ascii="Montserrat Medium" w:eastAsia="Times New Roman" w:hAnsi="Montserrat Medium" w:cs="Futura Medium"/>
                <w:sz w:val="17"/>
                <w:szCs w:val="17"/>
                <w:lang w:val="es-MX" w:eastAsia="es-MX"/>
              </w:rPr>
            </w:pPr>
            <w:r w:rsidRPr="00B52292">
              <w:rPr>
                <w:rFonts w:ascii="Montserrat Medium" w:eastAsia="Times New Roman" w:hAnsi="Montserrat Medium" w:cs="Futura Medium"/>
                <w:sz w:val="17"/>
                <w:szCs w:val="17"/>
                <w:lang w:val="es-MX" w:eastAsia="es-MX"/>
              </w:rPr>
              <w:t>Importe Contratado</w:t>
            </w:r>
          </w:p>
        </w:tc>
        <w:tc>
          <w:tcPr>
            <w:tcW w:w="2375" w:type="dxa"/>
            <w:tcBorders>
              <w:bottom w:val="single" w:sz="4" w:space="0" w:color="auto"/>
            </w:tcBorders>
            <w:shd w:val="clear" w:color="auto" w:fill="D9D9D9"/>
          </w:tcPr>
          <w:p w14:paraId="365A1128" w14:textId="65E9547F" w:rsidR="006E0655" w:rsidRPr="00B52292" w:rsidRDefault="006E0655" w:rsidP="002F131C">
            <w:pPr>
              <w:jc w:val="center"/>
              <w:rPr>
                <w:rFonts w:ascii="Montserrat Medium" w:eastAsia="Times New Roman" w:hAnsi="Montserrat Medium" w:cs="Futura Medium"/>
                <w:sz w:val="17"/>
                <w:szCs w:val="17"/>
                <w:lang w:val="es-MX" w:eastAsia="es-MX"/>
              </w:rPr>
            </w:pPr>
            <w:r w:rsidRPr="00B52292">
              <w:rPr>
                <w:rFonts w:ascii="Montserrat Medium" w:eastAsia="Times New Roman" w:hAnsi="Montserrat Medium" w:cs="Futura Medium"/>
                <w:sz w:val="17"/>
                <w:szCs w:val="17"/>
                <w:lang w:val="es-MX" w:eastAsia="es-MX"/>
              </w:rPr>
              <w:t>Fondo de Reserva  al 3</w:t>
            </w:r>
            <w:r w:rsidR="00DF2312">
              <w:rPr>
                <w:rFonts w:ascii="Montserrat Medium" w:eastAsia="Times New Roman" w:hAnsi="Montserrat Medium" w:cs="Futura Medium"/>
                <w:sz w:val="17"/>
                <w:szCs w:val="17"/>
                <w:lang w:val="es-MX" w:eastAsia="es-MX"/>
              </w:rPr>
              <w:t>0</w:t>
            </w:r>
            <w:r w:rsidRPr="00B52292">
              <w:rPr>
                <w:rFonts w:ascii="Montserrat Medium" w:eastAsia="Times New Roman" w:hAnsi="Montserrat Medium" w:cs="Futura Medium"/>
                <w:sz w:val="17"/>
                <w:szCs w:val="17"/>
                <w:lang w:val="es-MX" w:eastAsia="es-MX"/>
              </w:rPr>
              <w:t xml:space="preserve"> de </w:t>
            </w:r>
            <w:r w:rsidR="00DF2312">
              <w:rPr>
                <w:rFonts w:ascii="Montserrat Medium" w:eastAsia="Times New Roman" w:hAnsi="Montserrat Medium" w:cs="Futura Medium"/>
                <w:sz w:val="17"/>
                <w:szCs w:val="17"/>
                <w:lang w:val="es-MX" w:eastAsia="es-MX"/>
              </w:rPr>
              <w:t>junio</w:t>
            </w:r>
            <w:r w:rsidRPr="00B52292">
              <w:rPr>
                <w:rFonts w:ascii="Montserrat Medium" w:eastAsia="Times New Roman" w:hAnsi="Montserrat Medium" w:cs="Futura Medium"/>
                <w:sz w:val="17"/>
                <w:szCs w:val="17"/>
                <w:lang w:val="es-MX" w:eastAsia="es-MX"/>
              </w:rPr>
              <w:t xml:space="preserve"> de 2025</w:t>
            </w:r>
          </w:p>
        </w:tc>
      </w:tr>
      <w:tr w:rsidR="00DF2312" w:rsidRPr="00B52292" w14:paraId="0EE18353" w14:textId="77777777" w:rsidTr="0037070D">
        <w:trPr>
          <w:jc w:val="center"/>
        </w:trPr>
        <w:tc>
          <w:tcPr>
            <w:tcW w:w="3544" w:type="dxa"/>
            <w:tcBorders>
              <w:bottom w:val="nil"/>
              <w:right w:val="single" w:sz="4" w:space="0" w:color="auto"/>
            </w:tcBorders>
            <w:shd w:val="clear" w:color="auto" w:fill="auto"/>
          </w:tcPr>
          <w:p w14:paraId="136B0BAD" w14:textId="77777777" w:rsidR="00DF2312" w:rsidRPr="00B52292" w:rsidRDefault="00DF2312" w:rsidP="002F131C">
            <w:pPr>
              <w:jc w:val="both"/>
              <w:rPr>
                <w:rFonts w:ascii="Montserrat Medium" w:eastAsia="Times New Roman" w:hAnsi="Montserrat Medium" w:cs="Futura Medium"/>
                <w:sz w:val="16"/>
                <w:szCs w:val="16"/>
                <w:lang w:val="es-MX" w:eastAsia="es-MX"/>
              </w:rPr>
            </w:pPr>
            <w:r w:rsidRPr="00B52292">
              <w:rPr>
                <w:rFonts w:ascii="Montserrat Medium" w:hAnsi="Montserrat Medium" w:cs="Futura Medium"/>
                <w:sz w:val="16"/>
                <w:szCs w:val="16"/>
              </w:rPr>
              <w:t>BANORTE, S.A. (3,000 MDP)</w:t>
            </w:r>
          </w:p>
        </w:tc>
        <w:tc>
          <w:tcPr>
            <w:tcW w:w="1731" w:type="dxa"/>
            <w:tcBorders>
              <w:left w:val="single" w:sz="4" w:space="0" w:color="auto"/>
              <w:bottom w:val="nil"/>
              <w:right w:val="single" w:sz="4" w:space="0" w:color="auto"/>
            </w:tcBorders>
            <w:shd w:val="clear" w:color="auto" w:fill="auto"/>
            <w:vAlign w:val="center"/>
          </w:tcPr>
          <w:p w14:paraId="0CAB9D14" w14:textId="77777777" w:rsidR="00DF2312" w:rsidRPr="00B52292" w:rsidRDefault="00DF2312" w:rsidP="002F131C">
            <w:pPr>
              <w:jc w:val="right"/>
              <w:rPr>
                <w:rFonts w:ascii="Montserrat Medium" w:eastAsia="Times New Roman" w:hAnsi="Montserrat Medium" w:cs="Futura Medium"/>
                <w:iCs/>
                <w:sz w:val="16"/>
                <w:szCs w:val="16"/>
              </w:rPr>
            </w:pPr>
            <w:r w:rsidRPr="00B52292">
              <w:rPr>
                <w:rFonts w:ascii="Montserrat Medium" w:eastAsia="Times New Roman" w:hAnsi="Montserrat Medium" w:cs="Futura Medium"/>
                <w:iCs/>
                <w:sz w:val="16"/>
                <w:szCs w:val="16"/>
              </w:rPr>
              <w:t>3,000,000,000.00</w:t>
            </w:r>
          </w:p>
        </w:tc>
        <w:tc>
          <w:tcPr>
            <w:tcW w:w="2375" w:type="dxa"/>
            <w:tcBorders>
              <w:left w:val="single" w:sz="4" w:space="0" w:color="auto"/>
              <w:bottom w:val="nil"/>
            </w:tcBorders>
            <w:shd w:val="clear" w:color="auto" w:fill="auto"/>
            <w:vAlign w:val="center"/>
          </w:tcPr>
          <w:p w14:paraId="2EB5C8B5" w14:textId="5D177CAB" w:rsidR="00DF2312" w:rsidRPr="00B52292" w:rsidRDefault="00DF2312" w:rsidP="002F131C">
            <w:pPr>
              <w:jc w:val="right"/>
              <w:rPr>
                <w:rFonts w:ascii="Montserrat Medium" w:eastAsia="Times New Roman" w:hAnsi="Montserrat Medium" w:cs="Futura Medium"/>
                <w:iCs/>
                <w:sz w:val="16"/>
                <w:szCs w:val="16"/>
              </w:rPr>
            </w:pPr>
            <w:r>
              <w:rPr>
                <w:rFonts w:ascii="Montserrat Medium" w:hAnsi="Montserrat Medium" w:cs="Calibri"/>
                <w:color w:val="000000"/>
                <w:sz w:val="16"/>
                <w:szCs w:val="16"/>
              </w:rPr>
              <w:t>48,095,476.22</w:t>
            </w:r>
          </w:p>
        </w:tc>
      </w:tr>
      <w:tr w:rsidR="00DF2312" w:rsidRPr="00B52292" w14:paraId="57BC6296" w14:textId="77777777" w:rsidTr="0037070D">
        <w:trPr>
          <w:jc w:val="center"/>
        </w:trPr>
        <w:tc>
          <w:tcPr>
            <w:tcW w:w="3544" w:type="dxa"/>
            <w:tcBorders>
              <w:top w:val="nil"/>
              <w:bottom w:val="nil"/>
              <w:right w:val="single" w:sz="4" w:space="0" w:color="auto"/>
            </w:tcBorders>
            <w:shd w:val="clear" w:color="auto" w:fill="auto"/>
          </w:tcPr>
          <w:p w14:paraId="7C77CA23" w14:textId="77777777" w:rsidR="00DF2312" w:rsidRPr="00B52292" w:rsidRDefault="00DF2312" w:rsidP="002F131C">
            <w:pPr>
              <w:jc w:val="both"/>
              <w:rPr>
                <w:rFonts w:ascii="Montserrat Medium" w:eastAsia="Times New Roman" w:hAnsi="Montserrat Medium" w:cs="Futura Medium"/>
                <w:sz w:val="16"/>
                <w:szCs w:val="16"/>
                <w:lang w:val="es-MX" w:eastAsia="es-MX"/>
              </w:rPr>
            </w:pPr>
            <w:r w:rsidRPr="00B52292">
              <w:rPr>
                <w:rFonts w:ascii="Montserrat Medium" w:hAnsi="Montserrat Medium" w:cs="Futura Medium"/>
                <w:sz w:val="16"/>
                <w:szCs w:val="16"/>
              </w:rPr>
              <w:t>BANORTE, S.A. (3,300 MDP)</w:t>
            </w:r>
          </w:p>
        </w:tc>
        <w:tc>
          <w:tcPr>
            <w:tcW w:w="1731" w:type="dxa"/>
            <w:tcBorders>
              <w:top w:val="nil"/>
              <w:left w:val="single" w:sz="4" w:space="0" w:color="auto"/>
              <w:bottom w:val="nil"/>
              <w:right w:val="single" w:sz="4" w:space="0" w:color="auto"/>
            </w:tcBorders>
            <w:shd w:val="clear" w:color="auto" w:fill="auto"/>
            <w:vAlign w:val="center"/>
          </w:tcPr>
          <w:p w14:paraId="1A928964" w14:textId="77777777" w:rsidR="00DF2312" w:rsidRPr="00B52292" w:rsidRDefault="00DF2312" w:rsidP="002F131C">
            <w:pPr>
              <w:jc w:val="right"/>
              <w:rPr>
                <w:rFonts w:ascii="Montserrat Medium" w:eastAsia="Times New Roman" w:hAnsi="Montserrat Medium" w:cs="Futura Medium"/>
                <w:iCs/>
                <w:sz w:val="16"/>
                <w:szCs w:val="16"/>
              </w:rPr>
            </w:pPr>
            <w:r w:rsidRPr="00B52292">
              <w:rPr>
                <w:rFonts w:ascii="Montserrat Medium" w:eastAsia="Times New Roman" w:hAnsi="Montserrat Medium" w:cs="Futura Medium"/>
                <w:iCs/>
                <w:sz w:val="16"/>
                <w:szCs w:val="16"/>
              </w:rPr>
              <w:t>3,300,000,000.00</w:t>
            </w:r>
          </w:p>
        </w:tc>
        <w:tc>
          <w:tcPr>
            <w:tcW w:w="2375" w:type="dxa"/>
            <w:tcBorders>
              <w:top w:val="nil"/>
              <w:left w:val="single" w:sz="4" w:space="0" w:color="auto"/>
              <w:bottom w:val="nil"/>
            </w:tcBorders>
            <w:shd w:val="clear" w:color="auto" w:fill="auto"/>
            <w:vAlign w:val="center"/>
          </w:tcPr>
          <w:p w14:paraId="02AD91BB" w14:textId="24794DDD" w:rsidR="00DF2312" w:rsidRPr="00B52292" w:rsidRDefault="00DF2312" w:rsidP="002F131C">
            <w:pPr>
              <w:jc w:val="right"/>
              <w:rPr>
                <w:rFonts w:ascii="Montserrat Medium" w:eastAsia="Times New Roman" w:hAnsi="Montserrat Medium" w:cs="Futura Medium"/>
                <w:iCs/>
                <w:sz w:val="16"/>
                <w:szCs w:val="16"/>
              </w:rPr>
            </w:pPr>
            <w:r>
              <w:rPr>
                <w:rFonts w:ascii="Montserrat Medium" w:hAnsi="Montserrat Medium" w:cs="Calibri"/>
                <w:color w:val="000000"/>
                <w:sz w:val="16"/>
                <w:szCs w:val="16"/>
              </w:rPr>
              <w:t>53,069,302.62</w:t>
            </w:r>
          </w:p>
        </w:tc>
      </w:tr>
      <w:tr w:rsidR="00DF2312" w:rsidRPr="00B52292" w14:paraId="54611DE8" w14:textId="77777777" w:rsidTr="0037070D">
        <w:trPr>
          <w:jc w:val="center"/>
        </w:trPr>
        <w:tc>
          <w:tcPr>
            <w:tcW w:w="3544" w:type="dxa"/>
            <w:tcBorders>
              <w:top w:val="nil"/>
              <w:bottom w:val="single" w:sz="4" w:space="0" w:color="auto"/>
              <w:right w:val="single" w:sz="4" w:space="0" w:color="auto"/>
            </w:tcBorders>
            <w:shd w:val="clear" w:color="auto" w:fill="auto"/>
          </w:tcPr>
          <w:p w14:paraId="711F0269" w14:textId="77777777" w:rsidR="00DF2312" w:rsidRPr="00B52292" w:rsidRDefault="00DF2312" w:rsidP="002F131C">
            <w:pPr>
              <w:jc w:val="both"/>
              <w:rPr>
                <w:rFonts w:ascii="Montserrat Medium" w:eastAsia="Times New Roman" w:hAnsi="Montserrat Medium" w:cs="Futura Medium"/>
                <w:sz w:val="16"/>
                <w:szCs w:val="16"/>
                <w:lang w:val="es-MX" w:eastAsia="es-MX"/>
              </w:rPr>
            </w:pPr>
            <w:r w:rsidRPr="00B52292">
              <w:rPr>
                <w:rFonts w:ascii="Montserrat Medium" w:hAnsi="Montserrat Medium" w:cs="Futura Medium"/>
                <w:sz w:val="16"/>
                <w:szCs w:val="16"/>
              </w:rPr>
              <w:t>BBVA MÉXICO, S.A. (737 MDP)*</w:t>
            </w:r>
          </w:p>
        </w:tc>
        <w:tc>
          <w:tcPr>
            <w:tcW w:w="1731" w:type="dxa"/>
            <w:tcBorders>
              <w:top w:val="nil"/>
              <w:left w:val="single" w:sz="4" w:space="0" w:color="auto"/>
              <w:bottom w:val="single" w:sz="4" w:space="0" w:color="auto"/>
              <w:right w:val="single" w:sz="4" w:space="0" w:color="auto"/>
            </w:tcBorders>
            <w:shd w:val="clear" w:color="auto" w:fill="auto"/>
            <w:vAlign w:val="center"/>
          </w:tcPr>
          <w:p w14:paraId="4DAC78E5" w14:textId="77777777" w:rsidR="00DF2312" w:rsidRPr="00B52292" w:rsidRDefault="00DF2312" w:rsidP="002F131C">
            <w:pPr>
              <w:jc w:val="right"/>
              <w:rPr>
                <w:rFonts w:ascii="Montserrat Medium" w:eastAsia="Times New Roman" w:hAnsi="Montserrat Medium" w:cs="Futura Medium"/>
                <w:iCs/>
                <w:sz w:val="16"/>
                <w:szCs w:val="16"/>
              </w:rPr>
            </w:pPr>
            <w:r w:rsidRPr="00B52292">
              <w:rPr>
                <w:rFonts w:ascii="Montserrat Medium" w:eastAsia="Times New Roman" w:hAnsi="Montserrat Medium" w:cs="Futura Medium"/>
                <w:iCs/>
                <w:sz w:val="16"/>
                <w:szCs w:val="16"/>
              </w:rPr>
              <w:t>737,138,810.00</w:t>
            </w:r>
          </w:p>
        </w:tc>
        <w:tc>
          <w:tcPr>
            <w:tcW w:w="2375" w:type="dxa"/>
            <w:tcBorders>
              <w:top w:val="nil"/>
              <w:left w:val="single" w:sz="4" w:space="0" w:color="auto"/>
              <w:bottom w:val="single" w:sz="4" w:space="0" w:color="auto"/>
            </w:tcBorders>
            <w:shd w:val="clear" w:color="auto" w:fill="auto"/>
            <w:vAlign w:val="center"/>
          </w:tcPr>
          <w:p w14:paraId="6CA6C1AE" w14:textId="6DB19813" w:rsidR="00DF2312" w:rsidRPr="00B52292" w:rsidRDefault="00DF2312" w:rsidP="002F131C">
            <w:pPr>
              <w:jc w:val="right"/>
              <w:rPr>
                <w:rFonts w:ascii="Montserrat Medium" w:eastAsia="Times New Roman" w:hAnsi="Montserrat Medium" w:cs="Futura Medium"/>
                <w:iCs/>
                <w:sz w:val="16"/>
                <w:szCs w:val="16"/>
              </w:rPr>
            </w:pPr>
            <w:r>
              <w:rPr>
                <w:rFonts w:ascii="Montserrat Medium" w:hAnsi="Montserrat Medium" w:cs="Calibri"/>
                <w:color w:val="000000"/>
                <w:sz w:val="16"/>
                <w:szCs w:val="16"/>
              </w:rPr>
              <w:t>11,829,912.81</w:t>
            </w:r>
          </w:p>
        </w:tc>
      </w:tr>
      <w:tr w:rsidR="00DF2312" w:rsidRPr="00B52292" w14:paraId="6B37AF18" w14:textId="77777777" w:rsidTr="0037070D">
        <w:trPr>
          <w:jc w:val="center"/>
        </w:trPr>
        <w:tc>
          <w:tcPr>
            <w:tcW w:w="3544" w:type="dxa"/>
            <w:tcBorders>
              <w:top w:val="single" w:sz="4" w:space="0" w:color="auto"/>
              <w:bottom w:val="nil"/>
              <w:right w:val="single" w:sz="4" w:space="0" w:color="auto"/>
            </w:tcBorders>
            <w:shd w:val="clear" w:color="auto" w:fill="auto"/>
            <w:vAlign w:val="bottom"/>
          </w:tcPr>
          <w:p w14:paraId="2CC52420" w14:textId="77777777" w:rsidR="00DF2312" w:rsidRPr="00B52292" w:rsidRDefault="00DF2312" w:rsidP="002F131C">
            <w:pPr>
              <w:rPr>
                <w:rFonts w:ascii="Montserrat Medium" w:hAnsi="Montserrat Medium" w:cs="Futura Medium"/>
                <w:sz w:val="16"/>
                <w:szCs w:val="16"/>
              </w:rPr>
            </w:pPr>
            <w:r w:rsidRPr="00B52292">
              <w:rPr>
                <w:rFonts w:ascii="Montserrat Medium" w:hAnsi="Montserrat Medium" w:cs="Futura Medium"/>
                <w:sz w:val="16"/>
                <w:szCs w:val="16"/>
              </w:rPr>
              <w:t>SANTANDER MÉXICO, S.A. (1,500 MDP)</w:t>
            </w:r>
          </w:p>
        </w:tc>
        <w:tc>
          <w:tcPr>
            <w:tcW w:w="1731" w:type="dxa"/>
            <w:tcBorders>
              <w:top w:val="single" w:sz="4" w:space="0" w:color="auto"/>
              <w:left w:val="single" w:sz="4" w:space="0" w:color="auto"/>
              <w:bottom w:val="nil"/>
              <w:right w:val="single" w:sz="4" w:space="0" w:color="auto"/>
            </w:tcBorders>
            <w:shd w:val="clear" w:color="auto" w:fill="auto"/>
            <w:vAlign w:val="center"/>
          </w:tcPr>
          <w:p w14:paraId="2207A71C" w14:textId="77777777" w:rsidR="00DF2312" w:rsidRPr="00B52292" w:rsidRDefault="00DF2312" w:rsidP="002F131C">
            <w:pPr>
              <w:jc w:val="right"/>
              <w:rPr>
                <w:rFonts w:ascii="Montserrat Medium" w:eastAsia="Times New Roman" w:hAnsi="Montserrat Medium" w:cs="Futura Medium"/>
                <w:iCs/>
                <w:sz w:val="16"/>
                <w:szCs w:val="16"/>
              </w:rPr>
            </w:pPr>
            <w:r w:rsidRPr="00B52292">
              <w:rPr>
                <w:rFonts w:ascii="Montserrat Medium" w:eastAsia="Times New Roman" w:hAnsi="Montserrat Medium" w:cs="Futura Medium"/>
                <w:iCs/>
                <w:sz w:val="16"/>
                <w:szCs w:val="16"/>
              </w:rPr>
              <w:t>1,500,000,000.00</w:t>
            </w:r>
          </w:p>
        </w:tc>
        <w:tc>
          <w:tcPr>
            <w:tcW w:w="2375" w:type="dxa"/>
            <w:tcBorders>
              <w:top w:val="single" w:sz="4" w:space="0" w:color="auto"/>
              <w:left w:val="single" w:sz="4" w:space="0" w:color="auto"/>
              <w:bottom w:val="nil"/>
            </w:tcBorders>
            <w:shd w:val="clear" w:color="auto" w:fill="auto"/>
            <w:vAlign w:val="center"/>
          </w:tcPr>
          <w:p w14:paraId="1AA29B97" w14:textId="6FC80985" w:rsidR="00DF2312" w:rsidRPr="00B52292" w:rsidRDefault="00DF2312" w:rsidP="002F131C">
            <w:pPr>
              <w:jc w:val="right"/>
              <w:rPr>
                <w:rFonts w:ascii="Montserrat Medium" w:eastAsia="Times New Roman" w:hAnsi="Montserrat Medium" w:cs="Futura Medium"/>
                <w:iCs/>
                <w:sz w:val="16"/>
                <w:szCs w:val="16"/>
              </w:rPr>
            </w:pPr>
            <w:r>
              <w:rPr>
                <w:rFonts w:ascii="Montserrat Medium" w:hAnsi="Montserrat Medium" w:cs="Calibri"/>
                <w:color w:val="000000"/>
                <w:sz w:val="16"/>
                <w:szCs w:val="16"/>
              </w:rPr>
              <w:t>23,535,733.58</w:t>
            </w:r>
          </w:p>
        </w:tc>
      </w:tr>
      <w:tr w:rsidR="00DF2312" w:rsidRPr="00B52292" w14:paraId="178258EB" w14:textId="77777777" w:rsidTr="0037070D">
        <w:trPr>
          <w:jc w:val="center"/>
        </w:trPr>
        <w:tc>
          <w:tcPr>
            <w:tcW w:w="3544" w:type="dxa"/>
            <w:tcBorders>
              <w:top w:val="nil"/>
              <w:bottom w:val="nil"/>
              <w:right w:val="single" w:sz="4" w:space="0" w:color="auto"/>
            </w:tcBorders>
            <w:shd w:val="clear" w:color="auto" w:fill="auto"/>
            <w:vAlign w:val="bottom"/>
          </w:tcPr>
          <w:p w14:paraId="5245113F" w14:textId="77777777" w:rsidR="00DF2312" w:rsidRPr="00B52292" w:rsidRDefault="00DF2312" w:rsidP="002F131C">
            <w:pPr>
              <w:rPr>
                <w:rFonts w:ascii="Montserrat Medium" w:hAnsi="Montserrat Medium" w:cs="Futura Medium"/>
                <w:sz w:val="16"/>
                <w:szCs w:val="16"/>
              </w:rPr>
            </w:pPr>
            <w:r w:rsidRPr="00B52292">
              <w:rPr>
                <w:rFonts w:ascii="Montserrat Medium" w:hAnsi="Montserrat Medium" w:cs="Futura Medium"/>
                <w:sz w:val="16"/>
                <w:szCs w:val="16"/>
              </w:rPr>
              <w:t>BANOBRAS, S.N.C. (5,000 MDP)</w:t>
            </w:r>
          </w:p>
        </w:tc>
        <w:tc>
          <w:tcPr>
            <w:tcW w:w="1731" w:type="dxa"/>
            <w:tcBorders>
              <w:top w:val="nil"/>
              <w:left w:val="single" w:sz="4" w:space="0" w:color="auto"/>
              <w:bottom w:val="nil"/>
              <w:right w:val="single" w:sz="4" w:space="0" w:color="auto"/>
            </w:tcBorders>
            <w:shd w:val="clear" w:color="auto" w:fill="auto"/>
            <w:vAlign w:val="center"/>
          </w:tcPr>
          <w:p w14:paraId="3EB37C86" w14:textId="77777777" w:rsidR="00DF2312" w:rsidRPr="00B52292" w:rsidRDefault="00DF2312" w:rsidP="002F131C">
            <w:pPr>
              <w:jc w:val="right"/>
              <w:rPr>
                <w:rFonts w:ascii="Montserrat Medium" w:eastAsia="Times New Roman" w:hAnsi="Montserrat Medium" w:cs="Futura Medium"/>
                <w:iCs/>
                <w:sz w:val="16"/>
                <w:szCs w:val="16"/>
              </w:rPr>
            </w:pPr>
            <w:r w:rsidRPr="00B52292">
              <w:rPr>
                <w:rFonts w:ascii="Montserrat Medium" w:eastAsia="Times New Roman" w:hAnsi="Montserrat Medium" w:cs="Futura Medium"/>
                <w:iCs/>
                <w:sz w:val="16"/>
                <w:szCs w:val="16"/>
              </w:rPr>
              <w:t>5,000,000,000.00</w:t>
            </w:r>
          </w:p>
        </w:tc>
        <w:tc>
          <w:tcPr>
            <w:tcW w:w="2375" w:type="dxa"/>
            <w:tcBorders>
              <w:top w:val="nil"/>
              <w:left w:val="single" w:sz="4" w:space="0" w:color="auto"/>
              <w:bottom w:val="nil"/>
            </w:tcBorders>
            <w:shd w:val="clear" w:color="auto" w:fill="auto"/>
            <w:vAlign w:val="center"/>
          </w:tcPr>
          <w:p w14:paraId="06BCE3F8" w14:textId="7F2894C9" w:rsidR="00DF2312" w:rsidRPr="00B52292" w:rsidRDefault="00DF2312" w:rsidP="002F131C">
            <w:pPr>
              <w:jc w:val="right"/>
              <w:rPr>
                <w:rFonts w:ascii="Montserrat Medium" w:eastAsia="Times New Roman" w:hAnsi="Montserrat Medium" w:cs="Futura Medium"/>
                <w:iCs/>
                <w:sz w:val="16"/>
                <w:szCs w:val="16"/>
              </w:rPr>
            </w:pPr>
            <w:r>
              <w:rPr>
                <w:rFonts w:ascii="Montserrat Medium" w:hAnsi="Montserrat Medium" w:cs="Calibri"/>
                <w:color w:val="000000"/>
                <w:sz w:val="16"/>
                <w:szCs w:val="16"/>
              </w:rPr>
              <w:t>73,896,684.98</w:t>
            </w:r>
          </w:p>
        </w:tc>
      </w:tr>
      <w:tr w:rsidR="00DF2312" w:rsidRPr="00B52292" w14:paraId="4D75C33D" w14:textId="77777777" w:rsidTr="0037070D">
        <w:trPr>
          <w:jc w:val="center"/>
        </w:trPr>
        <w:tc>
          <w:tcPr>
            <w:tcW w:w="3544" w:type="dxa"/>
            <w:tcBorders>
              <w:top w:val="nil"/>
              <w:bottom w:val="nil"/>
              <w:right w:val="single" w:sz="4" w:space="0" w:color="auto"/>
            </w:tcBorders>
            <w:shd w:val="clear" w:color="auto" w:fill="auto"/>
          </w:tcPr>
          <w:p w14:paraId="7E99EF35" w14:textId="77777777" w:rsidR="00DF2312" w:rsidRPr="00B52292" w:rsidRDefault="00DF2312" w:rsidP="002F131C">
            <w:pPr>
              <w:jc w:val="both"/>
              <w:rPr>
                <w:rFonts w:ascii="Montserrat Medium" w:eastAsia="Times New Roman" w:hAnsi="Montserrat Medium" w:cs="Futura Medium"/>
                <w:sz w:val="16"/>
                <w:szCs w:val="16"/>
                <w:lang w:val="es-MX" w:eastAsia="es-MX"/>
              </w:rPr>
            </w:pPr>
            <w:r w:rsidRPr="00B52292">
              <w:rPr>
                <w:rFonts w:ascii="Montserrat Medium" w:eastAsia="Times New Roman" w:hAnsi="Montserrat Medium" w:cs="Futura Medium"/>
                <w:sz w:val="16"/>
                <w:szCs w:val="16"/>
                <w:lang w:val="es-MX" w:eastAsia="es-MX"/>
              </w:rPr>
              <w:t>BANOBRAS, S.N.C. (3,000 MDP)</w:t>
            </w:r>
          </w:p>
        </w:tc>
        <w:tc>
          <w:tcPr>
            <w:tcW w:w="1731" w:type="dxa"/>
            <w:tcBorders>
              <w:top w:val="nil"/>
              <w:left w:val="single" w:sz="4" w:space="0" w:color="auto"/>
              <w:bottom w:val="nil"/>
              <w:right w:val="single" w:sz="4" w:space="0" w:color="auto"/>
            </w:tcBorders>
            <w:shd w:val="clear" w:color="auto" w:fill="auto"/>
            <w:vAlign w:val="center"/>
          </w:tcPr>
          <w:p w14:paraId="727ABB2A" w14:textId="77777777" w:rsidR="00DF2312" w:rsidRPr="00B52292" w:rsidRDefault="00DF2312" w:rsidP="002F131C">
            <w:pPr>
              <w:jc w:val="right"/>
              <w:rPr>
                <w:rFonts w:ascii="Montserrat Medium" w:eastAsia="Times New Roman" w:hAnsi="Montserrat Medium" w:cs="Futura Medium"/>
                <w:iCs/>
                <w:sz w:val="16"/>
                <w:szCs w:val="16"/>
              </w:rPr>
            </w:pPr>
            <w:r w:rsidRPr="00B52292">
              <w:rPr>
                <w:rFonts w:ascii="Montserrat Medium" w:eastAsia="Times New Roman" w:hAnsi="Montserrat Medium" w:cs="Futura Medium"/>
                <w:iCs/>
                <w:sz w:val="16"/>
                <w:szCs w:val="16"/>
              </w:rPr>
              <w:t>3,000,000,000.00</w:t>
            </w:r>
          </w:p>
        </w:tc>
        <w:tc>
          <w:tcPr>
            <w:tcW w:w="2375" w:type="dxa"/>
            <w:tcBorders>
              <w:top w:val="nil"/>
              <w:left w:val="single" w:sz="4" w:space="0" w:color="auto"/>
              <w:bottom w:val="nil"/>
            </w:tcBorders>
            <w:shd w:val="clear" w:color="auto" w:fill="auto"/>
            <w:vAlign w:val="center"/>
          </w:tcPr>
          <w:p w14:paraId="696B1E49" w14:textId="1A09618E" w:rsidR="00DF2312" w:rsidRPr="00B52292" w:rsidRDefault="00DF2312" w:rsidP="002F131C">
            <w:pPr>
              <w:jc w:val="right"/>
              <w:rPr>
                <w:rFonts w:ascii="Montserrat Medium" w:eastAsia="Times New Roman" w:hAnsi="Montserrat Medium" w:cs="Futura Medium"/>
                <w:iCs/>
                <w:sz w:val="16"/>
                <w:szCs w:val="16"/>
              </w:rPr>
            </w:pPr>
            <w:r>
              <w:rPr>
                <w:rFonts w:ascii="Montserrat Medium" w:hAnsi="Montserrat Medium" w:cs="Calibri"/>
                <w:color w:val="000000"/>
                <w:sz w:val="16"/>
                <w:szCs w:val="16"/>
              </w:rPr>
              <w:t>44,806,253.96</w:t>
            </w:r>
          </w:p>
        </w:tc>
      </w:tr>
      <w:tr w:rsidR="00DF2312" w:rsidRPr="00B52292" w14:paraId="17324ECC" w14:textId="77777777" w:rsidTr="0037070D">
        <w:trPr>
          <w:jc w:val="center"/>
        </w:trPr>
        <w:tc>
          <w:tcPr>
            <w:tcW w:w="3544" w:type="dxa"/>
            <w:tcBorders>
              <w:top w:val="nil"/>
              <w:bottom w:val="nil"/>
              <w:right w:val="single" w:sz="4" w:space="0" w:color="auto"/>
            </w:tcBorders>
            <w:shd w:val="clear" w:color="auto" w:fill="auto"/>
          </w:tcPr>
          <w:p w14:paraId="39CFEA81" w14:textId="77777777" w:rsidR="00DF2312" w:rsidRPr="00B52292" w:rsidRDefault="00DF2312" w:rsidP="002F131C">
            <w:pPr>
              <w:jc w:val="both"/>
              <w:rPr>
                <w:rFonts w:ascii="Montserrat Medium" w:eastAsia="Times New Roman" w:hAnsi="Montserrat Medium" w:cs="Futura Medium"/>
                <w:sz w:val="16"/>
                <w:szCs w:val="16"/>
                <w:lang w:val="es-MX" w:eastAsia="es-MX"/>
              </w:rPr>
            </w:pPr>
            <w:r w:rsidRPr="00B52292">
              <w:rPr>
                <w:rFonts w:ascii="Montserrat Medium" w:eastAsia="Times New Roman" w:hAnsi="Montserrat Medium" w:cs="Futura Medium"/>
                <w:sz w:val="16"/>
                <w:szCs w:val="16"/>
                <w:lang w:val="es-MX" w:eastAsia="es-MX"/>
              </w:rPr>
              <w:t>BANOBRAS, S.N.C. (2,808 MDP)</w:t>
            </w:r>
          </w:p>
        </w:tc>
        <w:tc>
          <w:tcPr>
            <w:tcW w:w="1731" w:type="dxa"/>
            <w:tcBorders>
              <w:top w:val="nil"/>
              <w:left w:val="single" w:sz="4" w:space="0" w:color="auto"/>
              <w:bottom w:val="nil"/>
              <w:right w:val="single" w:sz="4" w:space="0" w:color="auto"/>
            </w:tcBorders>
            <w:shd w:val="clear" w:color="auto" w:fill="auto"/>
            <w:vAlign w:val="center"/>
          </w:tcPr>
          <w:p w14:paraId="78642D8D" w14:textId="77777777" w:rsidR="00DF2312" w:rsidRPr="00B52292" w:rsidRDefault="00DF2312" w:rsidP="002F131C">
            <w:pPr>
              <w:jc w:val="right"/>
              <w:rPr>
                <w:rFonts w:ascii="Montserrat Medium" w:eastAsia="Times New Roman" w:hAnsi="Montserrat Medium" w:cs="Futura Medium"/>
                <w:iCs/>
                <w:sz w:val="16"/>
                <w:szCs w:val="16"/>
              </w:rPr>
            </w:pPr>
            <w:r w:rsidRPr="00B52292">
              <w:rPr>
                <w:rFonts w:ascii="Montserrat Medium" w:eastAsia="Times New Roman" w:hAnsi="Montserrat Medium" w:cs="Futura Medium"/>
                <w:iCs/>
                <w:sz w:val="16"/>
                <w:szCs w:val="16"/>
              </w:rPr>
              <w:t>2,808,364,029.00</w:t>
            </w:r>
          </w:p>
        </w:tc>
        <w:tc>
          <w:tcPr>
            <w:tcW w:w="2375" w:type="dxa"/>
            <w:tcBorders>
              <w:top w:val="nil"/>
              <w:left w:val="single" w:sz="4" w:space="0" w:color="auto"/>
              <w:bottom w:val="nil"/>
            </w:tcBorders>
            <w:shd w:val="clear" w:color="auto" w:fill="auto"/>
            <w:vAlign w:val="center"/>
          </w:tcPr>
          <w:p w14:paraId="3634807F" w14:textId="410D93AE" w:rsidR="00DF2312" w:rsidRPr="00B52292" w:rsidRDefault="00DF2312" w:rsidP="002F131C">
            <w:pPr>
              <w:jc w:val="right"/>
              <w:rPr>
                <w:rFonts w:ascii="Montserrat Medium" w:eastAsia="Times New Roman" w:hAnsi="Montserrat Medium" w:cs="Futura Medium"/>
                <w:iCs/>
                <w:sz w:val="16"/>
                <w:szCs w:val="16"/>
              </w:rPr>
            </w:pPr>
            <w:r>
              <w:rPr>
                <w:rFonts w:ascii="Montserrat Medium" w:hAnsi="Montserrat Medium" w:cs="Calibri"/>
                <w:color w:val="000000"/>
                <w:sz w:val="16"/>
                <w:szCs w:val="16"/>
              </w:rPr>
              <w:t>42,378,887.66</w:t>
            </w:r>
          </w:p>
        </w:tc>
      </w:tr>
      <w:tr w:rsidR="00DF2312" w:rsidRPr="00B52292" w14:paraId="614A9145" w14:textId="77777777" w:rsidTr="0037070D">
        <w:trPr>
          <w:jc w:val="center"/>
        </w:trPr>
        <w:tc>
          <w:tcPr>
            <w:tcW w:w="3544" w:type="dxa"/>
            <w:tcBorders>
              <w:top w:val="single" w:sz="4" w:space="0" w:color="auto"/>
            </w:tcBorders>
            <w:shd w:val="clear" w:color="auto" w:fill="BFBFBF"/>
          </w:tcPr>
          <w:p w14:paraId="0005A69B" w14:textId="77777777" w:rsidR="00DF2312" w:rsidRPr="00B52292" w:rsidRDefault="00DF2312" w:rsidP="002F131C">
            <w:pPr>
              <w:jc w:val="center"/>
              <w:rPr>
                <w:rFonts w:ascii="Montserrat Medium" w:eastAsia="Times New Roman" w:hAnsi="Montserrat Medium" w:cs="Futura Medium"/>
                <w:b/>
                <w:sz w:val="14"/>
                <w:szCs w:val="14"/>
                <w:lang w:val="es-MX" w:eastAsia="es-MX"/>
              </w:rPr>
            </w:pPr>
            <w:r w:rsidRPr="00B52292">
              <w:rPr>
                <w:rFonts w:ascii="Montserrat Medium" w:eastAsia="Times New Roman" w:hAnsi="Montserrat Medium" w:cs="Futura Medium"/>
                <w:b/>
                <w:sz w:val="14"/>
                <w:szCs w:val="14"/>
                <w:lang w:val="es-MX" w:eastAsia="es-MX"/>
              </w:rPr>
              <w:t>SUMAS</w:t>
            </w:r>
          </w:p>
        </w:tc>
        <w:tc>
          <w:tcPr>
            <w:tcW w:w="1731" w:type="dxa"/>
            <w:tcBorders>
              <w:top w:val="single" w:sz="4" w:space="0" w:color="auto"/>
            </w:tcBorders>
            <w:shd w:val="clear" w:color="auto" w:fill="BFBFBF"/>
          </w:tcPr>
          <w:p w14:paraId="73D52826" w14:textId="77777777" w:rsidR="00DF2312" w:rsidRPr="00B52292" w:rsidRDefault="00DF2312" w:rsidP="002F131C">
            <w:pPr>
              <w:jc w:val="right"/>
              <w:rPr>
                <w:rFonts w:ascii="Montserrat Medium" w:eastAsia="Times New Roman" w:hAnsi="Montserrat Medium" w:cs="Futura Medium"/>
                <w:b/>
                <w:sz w:val="18"/>
                <w:szCs w:val="18"/>
                <w:lang w:val="es-MX" w:eastAsia="es-MX"/>
              </w:rPr>
            </w:pPr>
            <w:r w:rsidRPr="00B52292">
              <w:rPr>
                <w:rFonts w:ascii="Montserrat Medium" w:eastAsia="Times New Roman" w:hAnsi="Montserrat Medium" w:cs="Futura Medium"/>
                <w:b/>
                <w:sz w:val="18"/>
                <w:szCs w:val="18"/>
                <w:lang w:val="es-MX" w:eastAsia="es-MX"/>
              </w:rPr>
              <w:fldChar w:fldCharType="begin"/>
            </w:r>
            <w:r w:rsidRPr="00B52292">
              <w:rPr>
                <w:rFonts w:ascii="Montserrat Medium" w:eastAsia="Times New Roman" w:hAnsi="Montserrat Medium" w:cs="Futura Medium"/>
                <w:b/>
                <w:sz w:val="18"/>
                <w:szCs w:val="18"/>
                <w:lang w:val="es-MX" w:eastAsia="es-MX"/>
              </w:rPr>
              <w:instrText xml:space="preserve"> =SUM(ABOVE) </w:instrText>
            </w:r>
            <w:r w:rsidRPr="00B52292">
              <w:rPr>
                <w:rFonts w:ascii="Montserrat Medium" w:eastAsia="Times New Roman" w:hAnsi="Montserrat Medium" w:cs="Futura Medium"/>
                <w:b/>
                <w:sz w:val="18"/>
                <w:szCs w:val="18"/>
                <w:lang w:val="es-MX" w:eastAsia="es-MX"/>
              </w:rPr>
              <w:fldChar w:fldCharType="separate"/>
            </w:r>
            <w:r w:rsidRPr="00B52292">
              <w:rPr>
                <w:rFonts w:ascii="Montserrat Medium" w:eastAsia="Times New Roman" w:hAnsi="Montserrat Medium" w:cs="Futura Medium"/>
                <w:b/>
                <w:noProof/>
                <w:sz w:val="18"/>
                <w:szCs w:val="18"/>
                <w:lang w:val="es-MX" w:eastAsia="es-MX"/>
              </w:rPr>
              <w:t>19,345,502,839</w:t>
            </w:r>
            <w:r w:rsidRPr="00B52292">
              <w:rPr>
                <w:rFonts w:ascii="Montserrat Medium" w:eastAsia="Times New Roman" w:hAnsi="Montserrat Medium" w:cs="Futura Medium"/>
                <w:b/>
                <w:sz w:val="18"/>
                <w:szCs w:val="18"/>
                <w:lang w:val="es-MX" w:eastAsia="es-MX"/>
              </w:rPr>
              <w:fldChar w:fldCharType="end"/>
            </w:r>
          </w:p>
        </w:tc>
        <w:tc>
          <w:tcPr>
            <w:tcW w:w="2375" w:type="dxa"/>
            <w:tcBorders>
              <w:top w:val="single" w:sz="4" w:space="0" w:color="auto"/>
            </w:tcBorders>
            <w:shd w:val="clear" w:color="auto" w:fill="BFBFBF"/>
            <w:vAlign w:val="center"/>
          </w:tcPr>
          <w:p w14:paraId="53724193" w14:textId="04F50F62" w:rsidR="00DF2312" w:rsidRPr="00B52292" w:rsidRDefault="00DF2312" w:rsidP="002F131C">
            <w:pPr>
              <w:jc w:val="right"/>
              <w:rPr>
                <w:rFonts w:ascii="Montserrat Medium" w:eastAsia="Times New Roman" w:hAnsi="Montserrat Medium" w:cs="Futura Medium"/>
                <w:b/>
                <w:sz w:val="18"/>
                <w:szCs w:val="18"/>
                <w:lang w:val="es-MX" w:eastAsia="es-MX"/>
              </w:rPr>
            </w:pPr>
            <w:r>
              <w:rPr>
                <w:rFonts w:ascii="Montserrat Medium" w:hAnsi="Montserrat Medium" w:cs="Calibri"/>
                <w:b/>
                <w:bCs/>
                <w:color w:val="000000"/>
                <w:sz w:val="17"/>
                <w:szCs w:val="17"/>
              </w:rPr>
              <w:t>297,612,251.83</w:t>
            </w:r>
          </w:p>
        </w:tc>
      </w:tr>
    </w:tbl>
    <w:p w14:paraId="22B16451" w14:textId="77777777" w:rsidR="007E09C2" w:rsidRPr="007E09C2" w:rsidRDefault="007E09C2" w:rsidP="002F131C">
      <w:pPr>
        <w:ind w:left="1134" w:right="1467"/>
        <w:jc w:val="both"/>
        <w:rPr>
          <w:rFonts w:ascii="Montserrat Medium" w:eastAsia="Times New Roman" w:hAnsi="Montserrat Medium" w:cs="Futura Medium"/>
          <w:sz w:val="14"/>
          <w:szCs w:val="14"/>
          <w:lang w:val="es-MX" w:eastAsia="es-MX"/>
        </w:rPr>
      </w:pPr>
      <w:r w:rsidRPr="007E09C2">
        <w:rPr>
          <w:rFonts w:ascii="Montserrat Medium" w:eastAsia="Times New Roman" w:hAnsi="Montserrat Medium" w:cs="Futura Medium"/>
          <w:sz w:val="14"/>
          <w:szCs w:val="14"/>
          <w:lang w:val="es-MX" w:eastAsia="es-MX"/>
        </w:rPr>
        <w:t>Nota: * Con respecto al Crédito de BBVA México, S.A, el importe contratado se modificó mediante el Segundo Convenio Modificatorio de fecha 27 de febrero de 2024 para quedar por un importe de $ 737,138,810.00.</w:t>
      </w:r>
    </w:p>
    <w:p w14:paraId="66589CE4" w14:textId="77777777" w:rsidR="00747740" w:rsidRPr="00D56579" w:rsidRDefault="00747740" w:rsidP="002F131C">
      <w:pPr>
        <w:ind w:left="928"/>
        <w:jc w:val="both"/>
        <w:rPr>
          <w:rFonts w:ascii="Montserrat Medium" w:eastAsia="Times New Roman" w:hAnsi="Montserrat Medium" w:cs="Arial"/>
          <w:color w:val="595959"/>
          <w:sz w:val="22"/>
          <w:lang w:eastAsia="en-US"/>
        </w:rPr>
      </w:pPr>
    </w:p>
    <w:p w14:paraId="6A4FF86C" w14:textId="12FA7540" w:rsidR="00D81B5E" w:rsidRPr="00D56579" w:rsidRDefault="00D81B5E" w:rsidP="002F131C">
      <w:pPr>
        <w:numPr>
          <w:ilvl w:val="0"/>
          <w:numId w:val="23"/>
        </w:num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Cambios en políticas contables y corrección de errores</w:t>
      </w:r>
      <w:r w:rsidR="00636952">
        <w:rPr>
          <w:rFonts w:ascii="Montserrat Medium" w:eastAsia="Times New Roman" w:hAnsi="Montserrat Medium" w:cs="Arial"/>
          <w:color w:val="595959"/>
          <w:sz w:val="22"/>
        </w:rPr>
        <w:t>:</w:t>
      </w:r>
    </w:p>
    <w:p w14:paraId="44BF0540" w14:textId="77777777" w:rsidR="00D81B5E" w:rsidRPr="00D56579" w:rsidRDefault="00D81B5E" w:rsidP="002F131C">
      <w:pPr>
        <w:pStyle w:val="Prrafodelista"/>
        <w:ind w:left="928"/>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De conformidad a las Reglas Específicas del Registro y Valoración del Patrimonio el numeral “16.1 Cambios en criterios contables.” Establece que “Los cambios en criterios contables pueden obedecer, bien a una decisión voluntaria, debidamente justificada, que implique la obtención de una mejor información, o bien a la imposición de una norma.”</w:t>
      </w:r>
    </w:p>
    <w:p w14:paraId="6F393340" w14:textId="77777777" w:rsidR="00D81B5E" w:rsidRPr="00D56579" w:rsidRDefault="00D81B5E" w:rsidP="002F131C">
      <w:pPr>
        <w:pStyle w:val="Prrafodelista"/>
        <w:ind w:left="928"/>
        <w:jc w:val="both"/>
        <w:rPr>
          <w:rFonts w:ascii="Montserrat Medium" w:eastAsia="Times New Roman" w:hAnsi="Montserrat Medium" w:cs="Arial"/>
          <w:color w:val="595959"/>
          <w:sz w:val="22"/>
          <w:lang w:eastAsia="en-US"/>
        </w:rPr>
      </w:pPr>
    </w:p>
    <w:p w14:paraId="007017A3" w14:textId="777A72A1" w:rsidR="00D81B5E" w:rsidRPr="00D56579" w:rsidRDefault="00D81B5E" w:rsidP="002F131C">
      <w:pPr>
        <w:pStyle w:val="Prrafodelista"/>
        <w:ind w:left="928"/>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En el periodo de enero a </w:t>
      </w:r>
      <w:r w:rsidR="004634D3">
        <w:rPr>
          <w:rFonts w:ascii="Montserrat Medium" w:eastAsia="Times New Roman" w:hAnsi="Montserrat Medium" w:cs="Arial"/>
          <w:color w:val="595959"/>
          <w:sz w:val="22"/>
          <w:lang w:eastAsia="en-US"/>
        </w:rPr>
        <w:t>junio</w:t>
      </w:r>
      <w:r w:rsidRPr="00D56579">
        <w:rPr>
          <w:rFonts w:ascii="Montserrat Medium" w:eastAsia="Times New Roman" w:hAnsi="Montserrat Medium" w:cs="Arial"/>
          <w:color w:val="595959"/>
          <w:sz w:val="22"/>
          <w:lang w:eastAsia="en-US"/>
        </w:rPr>
        <w:t xml:space="preserve"> de 202</w:t>
      </w:r>
      <w:r w:rsidR="00A53059">
        <w:rPr>
          <w:rFonts w:ascii="Montserrat Medium" w:eastAsia="Times New Roman" w:hAnsi="Montserrat Medium" w:cs="Arial"/>
          <w:color w:val="595959"/>
          <w:sz w:val="22"/>
          <w:lang w:eastAsia="en-US"/>
        </w:rPr>
        <w:t>5</w:t>
      </w:r>
      <w:r w:rsidRPr="00D56579">
        <w:rPr>
          <w:rFonts w:ascii="Montserrat Medium" w:eastAsia="Times New Roman" w:hAnsi="Montserrat Medium" w:cs="Arial"/>
          <w:color w:val="595959"/>
          <w:sz w:val="22"/>
          <w:lang w:eastAsia="en-US"/>
        </w:rPr>
        <w:t>, la Administración Pública Central no realizó cambios en las políticas contables.</w:t>
      </w:r>
    </w:p>
    <w:p w14:paraId="5A5DE1E1" w14:textId="77777777" w:rsidR="00D81B5E" w:rsidRPr="00D56579" w:rsidRDefault="00D81B5E" w:rsidP="002F131C">
      <w:pPr>
        <w:pStyle w:val="Prrafodelista"/>
        <w:ind w:left="928"/>
        <w:jc w:val="both"/>
        <w:rPr>
          <w:rFonts w:ascii="Montserrat Medium" w:eastAsia="Times New Roman" w:hAnsi="Montserrat Medium" w:cs="Arial"/>
          <w:color w:val="595959"/>
          <w:sz w:val="22"/>
          <w:lang w:eastAsia="en-US"/>
        </w:rPr>
      </w:pPr>
    </w:p>
    <w:p w14:paraId="096E7286" w14:textId="77777777" w:rsidR="00D81B5E" w:rsidRPr="00D56579" w:rsidRDefault="00D81B5E" w:rsidP="002F131C">
      <w:pPr>
        <w:numPr>
          <w:ilvl w:val="0"/>
          <w:numId w:val="23"/>
        </w:num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Reclasificaciones:</w:t>
      </w:r>
    </w:p>
    <w:p w14:paraId="33990D4D" w14:textId="77777777" w:rsidR="00DB4852" w:rsidRPr="00D56579" w:rsidRDefault="00DB4852" w:rsidP="002F131C">
      <w:pPr>
        <w:ind w:left="928"/>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A la fecha de presentación de los Estados Financieros, no existen reclasificaciones significativas que pudieran tener efectos en la información financiera.</w:t>
      </w:r>
    </w:p>
    <w:p w14:paraId="6C091933" w14:textId="77777777" w:rsidR="00955A98" w:rsidRPr="00D56579" w:rsidRDefault="00955A98" w:rsidP="002F131C">
      <w:pPr>
        <w:pStyle w:val="Prrafodelista"/>
        <w:rPr>
          <w:rFonts w:ascii="Montserrat Medium" w:eastAsia="Times New Roman" w:hAnsi="Montserrat Medium" w:cs="Arial"/>
          <w:color w:val="595959"/>
          <w:sz w:val="22"/>
          <w:lang w:eastAsia="en-US"/>
        </w:rPr>
      </w:pPr>
    </w:p>
    <w:p w14:paraId="7034274D" w14:textId="77777777" w:rsidR="00D81B5E" w:rsidRPr="00D56579" w:rsidRDefault="00D81B5E" w:rsidP="00BF6D99">
      <w:pPr>
        <w:numPr>
          <w:ilvl w:val="0"/>
          <w:numId w:val="23"/>
        </w:num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Depuración y cancelación de saldos:</w:t>
      </w:r>
    </w:p>
    <w:p w14:paraId="2F8C6F6B" w14:textId="013F5FB7" w:rsidR="004634D3" w:rsidRDefault="004634D3" w:rsidP="00BF6D99">
      <w:pPr>
        <w:ind w:left="927"/>
        <w:contextualSpacing/>
        <w:jc w:val="both"/>
        <w:rPr>
          <w:rFonts w:ascii="Montserrat Medium" w:eastAsia="Times New Roman" w:hAnsi="Montserrat Medium" w:cs="Arial"/>
          <w:color w:val="595959"/>
          <w:sz w:val="22"/>
          <w:lang w:eastAsia="en-US"/>
        </w:rPr>
      </w:pPr>
      <w:r w:rsidRPr="004634D3">
        <w:rPr>
          <w:rFonts w:ascii="Montserrat Medium" w:eastAsia="Times New Roman" w:hAnsi="Montserrat Medium" w:cs="Arial"/>
          <w:color w:val="595959"/>
          <w:sz w:val="22"/>
          <w:lang w:eastAsia="en-US"/>
        </w:rPr>
        <w:t>Estas operaciones se llevan a cabo sólo con el propósito de que la información emanada de la contabilidad muestre razonablemente los saldos, al 3</w:t>
      </w:r>
      <w:r w:rsidR="00D413C4">
        <w:rPr>
          <w:rFonts w:ascii="Montserrat Medium" w:eastAsia="Times New Roman" w:hAnsi="Montserrat Medium" w:cs="Arial"/>
          <w:color w:val="595959"/>
          <w:sz w:val="22"/>
          <w:lang w:eastAsia="en-US"/>
        </w:rPr>
        <w:t>0</w:t>
      </w:r>
      <w:r w:rsidRPr="004634D3">
        <w:rPr>
          <w:rFonts w:ascii="Montserrat Medium" w:eastAsia="Times New Roman" w:hAnsi="Montserrat Medium" w:cs="Arial"/>
          <w:color w:val="595959"/>
          <w:sz w:val="22"/>
          <w:lang w:eastAsia="en-US"/>
        </w:rPr>
        <w:t xml:space="preserve"> de junio de 2025, la Administración Pública Central realizó cancelación de saldos por importe de 29,500.00 y depuraciones de saldos por importe de 626</w:t>
      </w:r>
      <w:proofErr w:type="gramStart"/>
      <w:r w:rsidRPr="004634D3">
        <w:rPr>
          <w:rFonts w:ascii="Montserrat Medium" w:eastAsia="Times New Roman" w:hAnsi="Montserrat Medium" w:cs="Arial"/>
          <w:color w:val="595959"/>
          <w:sz w:val="22"/>
          <w:lang w:eastAsia="en-US"/>
        </w:rPr>
        <w:t>,380,655.94</w:t>
      </w:r>
      <w:proofErr w:type="gramEnd"/>
      <w:r w:rsidR="0003280B">
        <w:rPr>
          <w:rFonts w:ascii="Montserrat Medium" w:eastAsia="Times New Roman" w:hAnsi="Montserrat Medium" w:cs="Arial"/>
          <w:color w:val="595959"/>
          <w:sz w:val="22"/>
          <w:lang w:eastAsia="en-US"/>
        </w:rPr>
        <w:t>.</w:t>
      </w:r>
    </w:p>
    <w:p w14:paraId="497F5EB4" w14:textId="77777777" w:rsidR="0003280B" w:rsidRDefault="0003280B" w:rsidP="00BF6D99">
      <w:pPr>
        <w:ind w:left="927"/>
        <w:contextualSpacing/>
        <w:jc w:val="both"/>
        <w:rPr>
          <w:rFonts w:ascii="Montserrat Medium" w:eastAsia="Times New Roman" w:hAnsi="Montserrat Medium" w:cs="Arial"/>
          <w:color w:val="595959"/>
          <w:sz w:val="22"/>
          <w:lang w:eastAsia="en-US"/>
        </w:rPr>
      </w:pPr>
    </w:p>
    <w:p w14:paraId="7AD70348" w14:textId="5A9085EB" w:rsidR="0003280B" w:rsidRDefault="0003280B" w:rsidP="00BF6D99">
      <w:pPr>
        <w:ind w:left="927"/>
        <w:contextualSpacing/>
        <w:jc w:val="both"/>
        <w:rPr>
          <w:rFonts w:ascii="Montserrat Medium" w:eastAsia="Times New Roman" w:hAnsi="Montserrat Medium" w:cs="Arial"/>
          <w:color w:val="595959"/>
          <w:sz w:val="22"/>
          <w:lang w:eastAsia="en-US"/>
        </w:rPr>
      </w:pPr>
      <w:r>
        <w:rPr>
          <w:rFonts w:ascii="Montserrat Medium" w:eastAsia="Times New Roman" w:hAnsi="Montserrat Medium" w:cs="Arial"/>
          <w:color w:val="595959"/>
          <w:sz w:val="22"/>
          <w:lang w:eastAsia="en-US"/>
        </w:rPr>
        <w:t xml:space="preserve">Se realizó mediante ACUERDO/004/PASIVOS/2025 la cancelación de cuenta contable </w:t>
      </w:r>
      <w:r w:rsidRPr="0003280B">
        <w:rPr>
          <w:rFonts w:ascii="Montserrat Medium" w:eastAsia="Times New Roman" w:hAnsi="Montserrat Medium" w:cs="Arial"/>
          <w:color w:val="595959"/>
          <w:sz w:val="22"/>
          <w:lang w:eastAsia="en-US"/>
        </w:rPr>
        <w:t>2.2.1.1.24.9.99.99.99.1.1.391</w:t>
      </w:r>
      <w:r>
        <w:rPr>
          <w:rFonts w:ascii="Montserrat Medium" w:eastAsia="Times New Roman" w:hAnsi="Montserrat Medium" w:cs="Arial"/>
          <w:color w:val="595959"/>
          <w:sz w:val="22"/>
          <w:lang w:eastAsia="en-US"/>
        </w:rPr>
        <w:t xml:space="preserve"> F</w:t>
      </w:r>
      <w:r w:rsidRPr="0003280B">
        <w:rPr>
          <w:rFonts w:ascii="Montserrat Medium" w:eastAsia="Times New Roman" w:hAnsi="Montserrat Medium" w:cs="Arial"/>
          <w:color w:val="595959"/>
          <w:sz w:val="22"/>
          <w:lang w:eastAsia="en-US"/>
        </w:rPr>
        <w:t xml:space="preserve">ideicomiso </w:t>
      </w:r>
      <w:r>
        <w:rPr>
          <w:rFonts w:ascii="Montserrat Medium" w:eastAsia="Times New Roman" w:hAnsi="Montserrat Medium" w:cs="Arial"/>
          <w:color w:val="595959"/>
          <w:sz w:val="22"/>
          <w:lang w:eastAsia="en-US"/>
        </w:rPr>
        <w:t>B</w:t>
      </w:r>
      <w:r w:rsidRPr="0003280B">
        <w:rPr>
          <w:rFonts w:ascii="Montserrat Medium" w:eastAsia="Times New Roman" w:hAnsi="Montserrat Medium" w:cs="Arial"/>
          <w:color w:val="595959"/>
          <w:sz w:val="22"/>
          <w:lang w:eastAsia="en-US"/>
        </w:rPr>
        <w:t>anamex 160366-1</w:t>
      </w:r>
      <w:r>
        <w:rPr>
          <w:rFonts w:ascii="Montserrat Medium" w:eastAsia="Times New Roman" w:hAnsi="Montserrat Medium" w:cs="Arial"/>
          <w:color w:val="595959"/>
          <w:sz w:val="22"/>
          <w:lang w:eastAsia="en-US"/>
        </w:rPr>
        <w:t xml:space="preserve"> con el objetivo de mejorar la razonabilidad y presentación de la información financiera. </w:t>
      </w:r>
    </w:p>
    <w:p w14:paraId="65EB8F8E" w14:textId="77777777" w:rsidR="00BF6D99" w:rsidRDefault="00BF6D99" w:rsidP="00BF6D99">
      <w:pPr>
        <w:ind w:left="927"/>
        <w:contextualSpacing/>
        <w:jc w:val="both"/>
        <w:rPr>
          <w:rFonts w:ascii="Montserrat Medium" w:eastAsia="Times New Roman" w:hAnsi="Montserrat Medium" w:cs="Arial"/>
          <w:color w:val="595959"/>
          <w:sz w:val="22"/>
          <w:lang w:eastAsia="en-US"/>
        </w:rPr>
      </w:pPr>
    </w:p>
    <w:p w14:paraId="1E855ABB" w14:textId="03D124FD" w:rsidR="0003280B" w:rsidRDefault="0003280B" w:rsidP="00BF6D99">
      <w:pPr>
        <w:ind w:left="927"/>
        <w:contextualSpacing/>
        <w:jc w:val="both"/>
        <w:rPr>
          <w:rFonts w:ascii="Montserrat Medium" w:eastAsia="Times New Roman" w:hAnsi="Montserrat Medium" w:cs="Arial"/>
          <w:color w:val="595959"/>
          <w:sz w:val="22"/>
          <w:lang w:eastAsia="en-US"/>
        </w:rPr>
      </w:pPr>
      <w:r>
        <w:rPr>
          <w:rFonts w:ascii="Montserrat Medium" w:eastAsia="Times New Roman" w:hAnsi="Montserrat Medium" w:cs="Arial"/>
          <w:color w:val="595959"/>
          <w:sz w:val="22"/>
          <w:lang w:eastAsia="en-US"/>
        </w:rPr>
        <w:t xml:space="preserve">Esta cancelación </w:t>
      </w:r>
      <w:r w:rsidR="00BF6D99">
        <w:rPr>
          <w:rFonts w:ascii="Montserrat Medium" w:eastAsia="Times New Roman" w:hAnsi="Montserrat Medium" w:cs="Arial"/>
          <w:color w:val="595959"/>
          <w:sz w:val="22"/>
          <w:lang w:eastAsia="en-US"/>
        </w:rPr>
        <w:t>consistió</w:t>
      </w:r>
      <w:r>
        <w:rPr>
          <w:rFonts w:ascii="Montserrat Medium" w:eastAsia="Times New Roman" w:hAnsi="Montserrat Medium" w:cs="Arial"/>
          <w:color w:val="595959"/>
          <w:sz w:val="22"/>
          <w:lang w:eastAsia="en-US"/>
        </w:rPr>
        <w:t xml:space="preserve"> en la revisión</w:t>
      </w:r>
      <w:r w:rsidR="00BF6D99">
        <w:rPr>
          <w:rFonts w:ascii="Montserrat Medium" w:eastAsia="Times New Roman" w:hAnsi="Montserrat Medium" w:cs="Arial"/>
          <w:color w:val="595959"/>
          <w:sz w:val="22"/>
          <w:lang w:eastAsia="en-US"/>
        </w:rPr>
        <w:t xml:space="preserve"> de la antigüedad de saldos mediante la cual se identificó que dichos registros contables cuentan con una antigüedad mayor a 6 años, por lo cual result</w:t>
      </w:r>
      <w:r w:rsidR="00A26BCD">
        <w:rPr>
          <w:rFonts w:ascii="Montserrat Medium" w:eastAsia="Times New Roman" w:hAnsi="Montserrat Medium" w:cs="Arial"/>
          <w:color w:val="595959"/>
          <w:sz w:val="22"/>
          <w:lang w:eastAsia="en-US"/>
        </w:rPr>
        <w:t>o</w:t>
      </w:r>
      <w:r w:rsidR="00BF6D99">
        <w:rPr>
          <w:rFonts w:ascii="Montserrat Medium" w:eastAsia="Times New Roman" w:hAnsi="Montserrat Medium" w:cs="Arial"/>
          <w:color w:val="595959"/>
          <w:sz w:val="22"/>
          <w:lang w:eastAsia="en-US"/>
        </w:rPr>
        <w:t xml:space="preserve"> procedente a depuración </w:t>
      </w:r>
      <w:r>
        <w:rPr>
          <w:rFonts w:ascii="Montserrat Medium" w:eastAsia="Times New Roman" w:hAnsi="Montserrat Medium" w:cs="Arial"/>
          <w:color w:val="595959"/>
          <w:sz w:val="22"/>
          <w:lang w:eastAsia="en-US"/>
        </w:rPr>
        <w:t xml:space="preserve"> y eliminación de saldos registrados </w:t>
      </w:r>
      <w:r w:rsidR="00BF6D99">
        <w:rPr>
          <w:rFonts w:ascii="Montserrat Medium" w:eastAsia="Times New Roman" w:hAnsi="Montserrat Medium" w:cs="Arial"/>
          <w:color w:val="595959"/>
          <w:sz w:val="22"/>
          <w:lang w:eastAsia="en-US"/>
        </w:rPr>
        <w:t>en la contabilidad</w:t>
      </w:r>
      <w:r w:rsidR="00A26BCD">
        <w:rPr>
          <w:rFonts w:ascii="Montserrat Medium" w:eastAsia="Times New Roman" w:hAnsi="Montserrat Medium" w:cs="Arial"/>
          <w:color w:val="595959"/>
          <w:sz w:val="22"/>
          <w:lang w:eastAsia="en-US"/>
        </w:rPr>
        <w:t xml:space="preserve"> mediante </w:t>
      </w:r>
      <w:r w:rsidR="00E41942">
        <w:rPr>
          <w:rFonts w:ascii="Montserrat Medium" w:eastAsia="Times New Roman" w:hAnsi="Montserrat Medium" w:cs="Arial"/>
          <w:color w:val="595959"/>
          <w:sz w:val="22"/>
          <w:lang w:eastAsia="en-US"/>
        </w:rPr>
        <w:t>P</w:t>
      </w:r>
      <w:r w:rsidR="00A26BCD">
        <w:rPr>
          <w:rFonts w:ascii="Montserrat Medium" w:eastAsia="Times New Roman" w:hAnsi="Montserrat Medium" w:cs="Arial"/>
          <w:color w:val="595959"/>
          <w:sz w:val="22"/>
          <w:lang w:eastAsia="en-US"/>
        </w:rPr>
        <w:t xml:space="preserve">óliza </w:t>
      </w:r>
      <w:r w:rsidR="00E41942">
        <w:rPr>
          <w:rFonts w:ascii="Montserrat Medium" w:eastAsia="Times New Roman" w:hAnsi="Montserrat Medium" w:cs="Arial"/>
          <w:color w:val="595959"/>
          <w:sz w:val="22"/>
          <w:lang w:eastAsia="en-US"/>
        </w:rPr>
        <w:t xml:space="preserve">Diario </w:t>
      </w:r>
      <w:r w:rsidR="00A26BCD">
        <w:rPr>
          <w:rFonts w:ascii="Montserrat Medium" w:eastAsia="Times New Roman" w:hAnsi="Montserrat Medium" w:cs="Arial"/>
          <w:color w:val="595959"/>
          <w:sz w:val="22"/>
          <w:lang w:eastAsia="en-US"/>
        </w:rPr>
        <w:t>3-6-2894 de fecha 20 de junio del presente.</w:t>
      </w:r>
    </w:p>
    <w:p w14:paraId="7747A4AD" w14:textId="309D2E3A" w:rsidR="0003280B" w:rsidRDefault="0003280B" w:rsidP="002F131C">
      <w:pPr>
        <w:ind w:left="927"/>
        <w:contextualSpacing/>
        <w:jc w:val="both"/>
        <w:rPr>
          <w:rFonts w:ascii="Montserrat Medium" w:eastAsia="Times New Roman" w:hAnsi="Montserrat Medium" w:cs="Arial"/>
          <w:color w:val="595959"/>
          <w:sz w:val="22"/>
          <w:lang w:eastAsia="en-US"/>
        </w:rPr>
      </w:pPr>
    </w:p>
    <w:p w14:paraId="5A7DD5E1" w14:textId="45AEC643" w:rsidR="000657EF" w:rsidRDefault="000657EF" w:rsidP="002F131C">
      <w:pPr>
        <w:ind w:left="927"/>
        <w:contextualSpacing/>
        <w:jc w:val="both"/>
        <w:rPr>
          <w:rFonts w:ascii="Montserrat Medium" w:eastAsia="Times New Roman" w:hAnsi="Montserrat Medium" w:cs="Arial"/>
          <w:color w:val="595959"/>
          <w:sz w:val="22"/>
          <w:lang w:eastAsia="en-US"/>
        </w:rPr>
      </w:pPr>
    </w:p>
    <w:p w14:paraId="3B8A961B" w14:textId="77777777" w:rsidR="00782EB0" w:rsidRDefault="00782EB0" w:rsidP="002F131C">
      <w:pPr>
        <w:ind w:left="927"/>
        <w:contextualSpacing/>
        <w:jc w:val="both"/>
        <w:rPr>
          <w:rFonts w:ascii="Montserrat Medium" w:eastAsia="Times New Roman" w:hAnsi="Montserrat Medium" w:cs="Arial"/>
          <w:color w:val="595959"/>
          <w:sz w:val="22"/>
          <w:lang w:eastAsia="en-US"/>
        </w:rPr>
      </w:pPr>
    </w:p>
    <w:p w14:paraId="0908CAF8" w14:textId="77777777" w:rsidR="008257FE" w:rsidRPr="00D56579" w:rsidRDefault="00FD7EFA" w:rsidP="002F131C">
      <w:pPr>
        <w:keepNext/>
        <w:keepLines/>
        <w:ind w:left="708" w:hanging="708"/>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6.</w:t>
      </w:r>
      <w:r w:rsidR="008257FE" w:rsidRPr="00D56579">
        <w:rPr>
          <w:rFonts w:ascii="Montserrat Medium" w:eastAsia="Times New Roman" w:hAnsi="Montserrat Medium" w:cs="Arial"/>
          <w:b/>
          <w:i/>
          <w:iCs/>
          <w:color w:val="595959"/>
          <w:sz w:val="22"/>
        </w:rPr>
        <w:t xml:space="preserve"> Posición en Moneda Extranjera y Protección por Riesgo Cambiario</w:t>
      </w:r>
    </w:p>
    <w:p w14:paraId="315F52C1" w14:textId="77777777" w:rsidR="008257FE" w:rsidRPr="00D56579" w:rsidRDefault="008257FE" w:rsidP="002F131C">
      <w:pPr>
        <w:keepNext/>
        <w:keepLines/>
        <w:jc w:val="both"/>
        <w:outlineLvl w:val="6"/>
        <w:rPr>
          <w:rFonts w:ascii="Montserrat Medium" w:eastAsia="Times New Roman" w:hAnsi="Montserrat Medium" w:cs="Arial"/>
          <w:color w:val="595959"/>
          <w:sz w:val="22"/>
          <w:lang w:eastAsia="en-US"/>
        </w:rPr>
      </w:pPr>
    </w:p>
    <w:p w14:paraId="30F6749B" w14:textId="234581E5" w:rsidR="008257FE" w:rsidRPr="00D56579" w:rsidRDefault="00147B48" w:rsidP="002F131C">
      <w:pPr>
        <w:keepNext/>
        <w:keepLines/>
        <w:jc w:val="both"/>
        <w:outlineLvl w:val="6"/>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La Administración Publica Central, no realiza</w:t>
      </w:r>
      <w:r w:rsidR="008257FE" w:rsidRPr="00D56579">
        <w:rPr>
          <w:rFonts w:ascii="Montserrat Medium" w:eastAsia="Times New Roman" w:hAnsi="Montserrat Medium" w:cs="Arial"/>
          <w:color w:val="595959"/>
          <w:sz w:val="22"/>
          <w:lang w:eastAsia="en-US"/>
        </w:rPr>
        <w:t xml:space="preserve"> operaciones en moneda ext</w:t>
      </w:r>
      <w:r w:rsidRPr="00D56579">
        <w:rPr>
          <w:rFonts w:ascii="Montserrat Medium" w:eastAsia="Times New Roman" w:hAnsi="Montserrat Medium" w:cs="Arial"/>
          <w:color w:val="595959"/>
          <w:sz w:val="22"/>
          <w:lang w:eastAsia="en-US"/>
        </w:rPr>
        <w:t>ranjera, por lo que no se tienen</w:t>
      </w:r>
      <w:r w:rsidR="008257FE"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 xml:space="preserve">derechos u </w:t>
      </w:r>
      <w:r w:rsidR="008257FE" w:rsidRPr="00D56579">
        <w:rPr>
          <w:rFonts w:ascii="Montserrat Medium" w:eastAsia="Times New Roman" w:hAnsi="Montserrat Medium" w:cs="Arial"/>
          <w:color w:val="595959"/>
          <w:sz w:val="22"/>
          <w:lang w:eastAsia="en-US"/>
        </w:rPr>
        <w:t>obligaciones de esta naturaleza.</w:t>
      </w:r>
    </w:p>
    <w:p w14:paraId="79E42483" w14:textId="77777777" w:rsidR="008257FE" w:rsidRPr="00D56579" w:rsidRDefault="008257FE" w:rsidP="002F131C">
      <w:pPr>
        <w:keepNext/>
        <w:keepLines/>
        <w:jc w:val="both"/>
        <w:outlineLvl w:val="6"/>
        <w:rPr>
          <w:rFonts w:ascii="Montserrat Medium" w:eastAsia="Times New Roman" w:hAnsi="Montserrat Medium" w:cs="Arial"/>
          <w:color w:val="595959"/>
          <w:sz w:val="22"/>
          <w:lang w:eastAsia="en-US"/>
        </w:rPr>
      </w:pPr>
    </w:p>
    <w:p w14:paraId="4DC2515B" w14:textId="77777777" w:rsidR="008257FE" w:rsidRPr="00D56579" w:rsidRDefault="00FD7EFA" w:rsidP="002F131C">
      <w:pPr>
        <w:keepNext/>
        <w:keepLines/>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7.</w:t>
      </w:r>
      <w:r w:rsidR="008257FE" w:rsidRPr="00D56579">
        <w:rPr>
          <w:rFonts w:ascii="Montserrat Medium" w:eastAsia="Times New Roman" w:hAnsi="Montserrat Medium" w:cs="Arial"/>
          <w:b/>
          <w:i/>
          <w:iCs/>
          <w:color w:val="595959"/>
          <w:sz w:val="22"/>
        </w:rPr>
        <w:t xml:space="preserve"> Reporte Analítico del Activo</w:t>
      </w:r>
      <w:r w:rsidR="00D83C48" w:rsidRPr="00D56579">
        <w:rPr>
          <w:rFonts w:ascii="Montserrat Medium" w:eastAsia="Times New Roman" w:hAnsi="Montserrat Medium" w:cs="Arial"/>
          <w:b/>
          <w:i/>
          <w:iCs/>
          <w:color w:val="595959"/>
          <w:sz w:val="22"/>
        </w:rPr>
        <w:t xml:space="preserve"> </w:t>
      </w:r>
    </w:p>
    <w:p w14:paraId="32B7EF38" w14:textId="77777777" w:rsidR="00561926" w:rsidRPr="00D56579" w:rsidRDefault="00561926" w:rsidP="002F131C">
      <w:pPr>
        <w:keepNext/>
        <w:keepLines/>
        <w:jc w:val="both"/>
        <w:outlineLvl w:val="6"/>
        <w:rPr>
          <w:rFonts w:ascii="Montserrat Medium" w:eastAsia="Times New Roman" w:hAnsi="Montserrat Medium" w:cs="Arial"/>
          <w:b/>
          <w:i/>
          <w:iCs/>
          <w:color w:val="C0504D"/>
          <w:sz w:val="22"/>
        </w:rPr>
      </w:pPr>
    </w:p>
    <w:p w14:paraId="5561050B" w14:textId="77777777" w:rsidR="0093719D" w:rsidRPr="00D56579" w:rsidRDefault="0093719D" w:rsidP="002F131C">
      <w:pPr>
        <w:jc w:val="both"/>
        <w:rPr>
          <w:rFonts w:ascii="Montserrat Medium" w:eastAsia="Times New Roman" w:hAnsi="Montserrat Medium" w:cs="Tahoma"/>
          <w:color w:val="595959"/>
          <w:sz w:val="22"/>
          <w:lang w:eastAsia="en-US"/>
        </w:rPr>
      </w:pPr>
      <w:r w:rsidRPr="00D56579">
        <w:rPr>
          <w:rFonts w:ascii="Montserrat Medium" w:eastAsia="Times New Roman" w:hAnsi="Montserrat Medium" w:cs="Tahoma"/>
          <w:color w:val="595959"/>
          <w:sz w:val="22"/>
          <w:lang w:eastAsia="en-US"/>
        </w:rPr>
        <w:t>Este reporte muestra el comportamiento de los fondos, valores, derechos y bienes debidamente identificados y cuantificados en términos monetarios, que dispone la Administración Pública Central del Estado de Quintana Roo.</w:t>
      </w:r>
    </w:p>
    <w:p w14:paraId="060B5EB3" w14:textId="77777777" w:rsidR="0093719D" w:rsidRPr="00D56579" w:rsidRDefault="0093719D" w:rsidP="002F131C">
      <w:pPr>
        <w:jc w:val="both"/>
        <w:rPr>
          <w:rFonts w:ascii="Montserrat Medium" w:eastAsia="Times New Roman" w:hAnsi="Montserrat Medium" w:cs="Tahoma"/>
          <w:color w:val="595959"/>
          <w:sz w:val="22"/>
          <w:lang w:eastAsia="en-US"/>
        </w:rPr>
      </w:pPr>
    </w:p>
    <w:p w14:paraId="4EB0570F" w14:textId="6834909D" w:rsidR="00441377" w:rsidRPr="00D56579" w:rsidRDefault="00441377" w:rsidP="002F131C">
      <w:pPr>
        <w:jc w:val="both"/>
        <w:rPr>
          <w:rFonts w:ascii="Montserrat Medium" w:eastAsia="Times New Roman" w:hAnsi="Montserrat Medium" w:cs="Tahoma"/>
          <w:color w:val="595959"/>
          <w:sz w:val="22"/>
          <w:lang w:eastAsia="en-US"/>
        </w:rPr>
      </w:pPr>
      <w:r w:rsidRPr="00D56579">
        <w:rPr>
          <w:rFonts w:ascii="Montserrat Medium" w:eastAsia="Times New Roman" w:hAnsi="Montserrat Medium" w:cs="Tahoma"/>
          <w:color w:val="595959"/>
          <w:sz w:val="22"/>
          <w:lang w:eastAsia="en-US"/>
        </w:rPr>
        <w:t xml:space="preserve">Por lo que la variación que se tiene al </w:t>
      </w:r>
      <w:r w:rsidR="00FB683D">
        <w:rPr>
          <w:rFonts w:ascii="Montserrat Medium" w:eastAsia="Times New Roman" w:hAnsi="Montserrat Medium" w:cs="Tahoma"/>
          <w:color w:val="595959"/>
          <w:sz w:val="22"/>
          <w:lang w:eastAsia="en-US"/>
        </w:rPr>
        <w:t>3</w:t>
      </w:r>
      <w:r w:rsidR="004634D3">
        <w:rPr>
          <w:rFonts w:ascii="Montserrat Medium" w:eastAsia="Times New Roman" w:hAnsi="Montserrat Medium" w:cs="Tahoma"/>
          <w:color w:val="595959"/>
          <w:sz w:val="22"/>
          <w:lang w:eastAsia="en-US"/>
        </w:rPr>
        <w:t>0</w:t>
      </w:r>
      <w:r w:rsidR="00FB683D">
        <w:rPr>
          <w:rFonts w:ascii="Montserrat Medium" w:eastAsia="Times New Roman" w:hAnsi="Montserrat Medium" w:cs="Tahoma"/>
          <w:color w:val="595959"/>
          <w:sz w:val="22"/>
          <w:lang w:eastAsia="en-US"/>
        </w:rPr>
        <w:t xml:space="preserve"> de </w:t>
      </w:r>
      <w:r w:rsidR="004634D3">
        <w:rPr>
          <w:rFonts w:ascii="Montserrat Medium" w:eastAsia="Times New Roman" w:hAnsi="Montserrat Medium" w:cs="Tahoma"/>
          <w:color w:val="595959"/>
          <w:sz w:val="22"/>
          <w:lang w:eastAsia="en-US"/>
        </w:rPr>
        <w:t>junio</w:t>
      </w:r>
      <w:r w:rsidRPr="00D56579">
        <w:rPr>
          <w:rFonts w:ascii="Montserrat Medium" w:eastAsia="Times New Roman" w:hAnsi="Montserrat Medium" w:cs="Tahoma"/>
          <w:color w:val="595959"/>
          <w:sz w:val="22"/>
          <w:lang w:eastAsia="en-US"/>
        </w:rPr>
        <w:t xml:space="preserve"> </w:t>
      </w:r>
      <w:r w:rsidR="00FB683D">
        <w:rPr>
          <w:rFonts w:ascii="Montserrat Medium" w:eastAsia="Times New Roman" w:hAnsi="Montserrat Medium" w:cs="Tahoma"/>
          <w:color w:val="595959"/>
          <w:sz w:val="22"/>
          <w:lang w:eastAsia="en-US"/>
        </w:rPr>
        <w:t xml:space="preserve">de </w:t>
      </w:r>
      <w:r w:rsidRPr="00D56579">
        <w:rPr>
          <w:rFonts w:ascii="Montserrat Medium" w:eastAsia="Times New Roman" w:hAnsi="Montserrat Medium" w:cs="Tahoma"/>
          <w:color w:val="595959"/>
          <w:sz w:val="22"/>
          <w:lang w:eastAsia="en-US"/>
        </w:rPr>
        <w:t>202</w:t>
      </w:r>
      <w:r w:rsidR="00FB683D">
        <w:rPr>
          <w:rFonts w:ascii="Montserrat Medium" w:eastAsia="Times New Roman" w:hAnsi="Montserrat Medium" w:cs="Tahoma"/>
          <w:color w:val="595959"/>
          <w:sz w:val="22"/>
          <w:lang w:eastAsia="en-US"/>
        </w:rPr>
        <w:t>5</w:t>
      </w:r>
      <w:r w:rsidRPr="00D56579">
        <w:rPr>
          <w:rFonts w:ascii="Montserrat Medium" w:eastAsia="Times New Roman" w:hAnsi="Montserrat Medium" w:cs="Tahoma"/>
          <w:color w:val="595959"/>
          <w:sz w:val="22"/>
          <w:lang w:eastAsia="en-US"/>
        </w:rPr>
        <w:t xml:space="preserve"> es de </w:t>
      </w:r>
      <w:r w:rsidR="004634D3" w:rsidRPr="004634D3">
        <w:rPr>
          <w:rFonts w:ascii="Montserrat Medium" w:eastAsia="Times New Roman" w:hAnsi="Montserrat Medium" w:cs="Tahoma"/>
          <w:color w:val="595959"/>
          <w:sz w:val="22"/>
          <w:lang w:eastAsia="en-US"/>
        </w:rPr>
        <w:t>4</w:t>
      </w:r>
      <w:proofErr w:type="gramStart"/>
      <w:r w:rsidR="004634D3">
        <w:rPr>
          <w:rFonts w:ascii="Montserrat Medium" w:eastAsia="Times New Roman" w:hAnsi="Montserrat Medium" w:cs="Tahoma"/>
          <w:color w:val="595959"/>
          <w:sz w:val="22"/>
          <w:lang w:eastAsia="en-US"/>
        </w:rPr>
        <w:t>,</w:t>
      </w:r>
      <w:r w:rsidR="004634D3" w:rsidRPr="004634D3">
        <w:rPr>
          <w:rFonts w:ascii="Montserrat Medium" w:eastAsia="Times New Roman" w:hAnsi="Montserrat Medium" w:cs="Tahoma"/>
          <w:color w:val="595959"/>
          <w:sz w:val="22"/>
          <w:lang w:eastAsia="en-US"/>
        </w:rPr>
        <w:t>932</w:t>
      </w:r>
      <w:r w:rsidR="004634D3">
        <w:rPr>
          <w:rFonts w:ascii="Montserrat Medium" w:eastAsia="Times New Roman" w:hAnsi="Montserrat Medium" w:cs="Tahoma"/>
          <w:color w:val="595959"/>
          <w:sz w:val="22"/>
          <w:lang w:eastAsia="en-US"/>
        </w:rPr>
        <w:t>,</w:t>
      </w:r>
      <w:r w:rsidR="004634D3" w:rsidRPr="004634D3">
        <w:rPr>
          <w:rFonts w:ascii="Montserrat Medium" w:eastAsia="Times New Roman" w:hAnsi="Montserrat Medium" w:cs="Tahoma"/>
          <w:color w:val="595959"/>
          <w:sz w:val="22"/>
          <w:lang w:eastAsia="en-US"/>
        </w:rPr>
        <w:t>521</w:t>
      </w:r>
      <w:r w:rsidR="004634D3">
        <w:rPr>
          <w:rFonts w:ascii="Montserrat Medium" w:eastAsia="Times New Roman" w:hAnsi="Montserrat Medium" w:cs="Tahoma"/>
          <w:color w:val="595959"/>
          <w:sz w:val="22"/>
          <w:lang w:eastAsia="en-US"/>
        </w:rPr>
        <w:t>,</w:t>
      </w:r>
      <w:r w:rsidR="004634D3" w:rsidRPr="004634D3">
        <w:rPr>
          <w:rFonts w:ascii="Montserrat Medium" w:eastAsia="Times New Roman" w:hAnsi="Montserrat Medium" w:cs="Tahoma"/>
          <w:color w:val="595959"/>
          <w:sz w:val="22"/>
          <w:lang w:eastAsia="en-US"/>
        </w:rPr>
        <w:t>931.81</w:t>
      </w:r>
      <w:proofErr w:type="gramEnd"/>
      <w:r w:rsidR="004634D3">
        <w:rPr>
          <w:rFonts w:ascii="Montserrat Medium" w:eastAsia="Times New Roman" w:hAnsi="Montserrat Medium" w:cs="Tahoma"/>
          <w:color w:val="595959"/>
          <w:sz w:val="22"/>
          <w:lang w:eastAsia="en-US"/>
        </w:rPr>
        <w:t xml:space="preserve"> </w:t>
      </w:r>
      <w:r w:rsidRPr="00D56579">
        <w:rPr>
          <w:rFonts w:ascii="Montserrat Medium" w:eastAsia="Times New Roman" w:hAnsi="Montserrat Medium" w:cs="Tahoma"/>
          <w:color w:val="595959"/>
          <w:sz w:val="22"/>
          <w:lang w:eastAsia="en-US"/>
        </w:rPr>
        <w:t>y se encuentran reflejados en el Estado Analítico del Activo.</w:t>
      </w:r>
    </w:p>
    <w:p w14:paraId="05F9F71A" w14:textId="77777777" w:rsidR="00DA1194" w:rsidRPr="00D56579" w:rsidRDefault="00DA1194" w:rsidP="002F131C">
      <w:pPr>
        <w:jc w:val="both"/>
        <w:rPr>
          <w:rFonts w:ascii="Montserrat Medium" w:eastAsia="Times New Roman" w:hAnsi="Montserrat Medium" w:cs="Tahoma"/>
          <w:color w:val="595959"/>
          <w:sz w:val="22"/>
          <w:lang w:eastAsia="en-US"/>
        </w:rPr>
      </w:pPr>
    </w:p>
    <w:p w14:paraId="5614F571" w14:textId="09CE5CF7" w:rsidR="0093719D" w:rsidRDefault="0093719D" w:rsidP="002F131C">
      <w:pPr>
        <w:pStyle w:val="Prrafodelista"/>
        <w:numPr>
          <w:ilvl w:val="0"/>
          <w:numId w:val="30"/>
        </w:numPr>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 xml:space="preserve">Vida Útil, porcentajes de depreciación, deterioro y amortización utilizados en los diferentes tipos de activos. </w:t>
      </w:r>
    </w:p>
    <w:p w14:paraId="0A72A95F" w14:textId="77777777" w:rsidR="000337B6" w:rsidRDefault="000337B6" w:rsidP="002F131C">
      <w:pPr>
        <w:pStyle w:val="Prrafodelista"/>
        <w:ind w:left="1068"/>
        <w:jc w:val="both"/>
        <w:rPr>
          <w:rFonts w:ascii="Montserrat Medium" w:eastAsia="Times New Roman" w:hAnsi="Montserrat Medium" w:cs="Arial"/>
          <w:color w:val="595959"/>
          <w:sz w:val="22"/>
        </w:rPr>
      </w:pPr>
    </w:p>
    <w:p w14:paraId="47C06F86" w14:textId="77777777" w:rsidR="004634D3" w:rsidRPr="004634D3" w:rsidRDefault="004634D3" w:rsidP="00636952">
      <w:pPr>
        <w:rPr>
          <w:rFonts w:ascii="Montserrat Medium" w:eastAsia="Times New Roman" w:hAnsi="Montserrat Medium" w:cs="Arial"/>
          <w:iCs/>
          <w:color w:val="595959"/>
          <w:sz w:val="22"/>
        </w:rPr>
      </w:pPr>
      <w:r w:rsidRPr="004634D3">
        <w:rPr>
          <w:rFonts w:ascii="Montserrat Medium" w:eastAsia="Times New Roman" w:hAnsi="Montserrat Medium" w:cs="Arial"/>
          <w:iCs/>
          <w:color w:val="595959"/>
          <w:sz w:val="22"/>
        </w:rPr>
        <w:t>La depreciación de los bienes muebles, se inicia a partir del mes siguiente a la fecha de adquisición, utilizando el método de línea recta, aplicando los siguientes porcentajes:</w:t>
      </w:r>
    </w:p>
    <w:tbl>
      <w:tblPr>
        <w:tblW w:w="6663" w:type="dxa"/>
        <w:tblInd w:w="1771" w:type="dxa"/>
        <w:tblCellMar>
          <w:left w:w="70" w:type="dxa"/>
          <w:right w:w="70" w:type="dxa"/>
        </w:tblCellMar>
        <w:tblLook w:val="04A0" w:firstRow="1" w:lastRow="0" w:firstColumn="1" w:lastColumn="0" w:noHBand="0" w:noVBand="1"/>
      </w:tblPr>
      <w:tblGrid>
        <w:gridCol w:w="5245"/>
        <w:gridCol w:w="1418"/>
      </w:tblGrid>
      <w:tr w:rsidR="004634D3" w:rsidRPr="004634D3" w14:paraId="5D7EFB74" w14:textId="77777777" w:rsidTr="00636952">
        <w:trPr>
          <w:trHeight w:val="300"/>
        </w:trPr>
        <w:tc>
          <w:tcPr>
            <w:tcW w:w="5245" w:type="dxa"/>
            <w:tcBorders>
              <w:top w:val="single" w:sz="4" w:space="0" w:color="auto"/>
              <w:left w:val="single" w:sz="4" w:space="0" w:color="auto"/>
              <w:bottom w:val="single" w:sz="4" w:space="0" w:color="auto"/>
              <w:right w:val="nil"/>
            </w:tcBorders>
            <w:shd w:val="clear" w:color="000000" w:fill="BFBFBF"/>
            <w:vAlign w:val="center"/>
            <w:hideMark/>
          </w:tcPr>
          <w:p w14:paraId="15217E36" w14:textId="77777777" w:rsidR="004634D3" w:rsidRPr="000337B6" w:rsidRDefault="004634D3" w:rsidP="002F131C">
            <w:pPr>
              <w:jc w:val="center"/>
              <w:rPr>
                <w:rFonts w:ascii="Montserrat Medium" w:eastAsia="Times New Roman" w:hAnsi="Montserrat Medium" w:cs="Calibri"/>
                <w:b/>
                <w:bCs/>
                <w:sz w:val="18"/>
                <w:szCs w:val="18"/>
                <w:lang w:eastAsia="es-MX"/>
              </w:rPr>
            </w:pPr>
            <w:r w:rsidRPr="000337B6">
              <w:rPr>
                <w:rFonts w:ascii="Montserrat Medium" w:eastAsia="Times New Roman" w:hAnsi="Montserrat Medium" w:cs="Calibri"/>
                <w:b/>
                <w:bCs/>
                <w:sz w:val="18"/>
                <w:szCs w:val="18"/>
                <w:lang w:eastAsia="es-MX"/>
              </w:rPr>
              <w:t>Concepto</w:t>
            </w:r>
          </w:p>
        </w:tc>
        <w:tc>
          <w:tcPr>
            <w:tcW w:w="141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0F3A147" w14:textId="77777777" w:rsidR="004634D3" w:rsidRPr="004634D3" w:rsidRDefault="004634D3" w:rsidP="002F131C">
            <w:pPr>
              <w:jc w:val="center"/>
              <w:rPr>
                <w:rFonts w:ascii="Montserrat Medium" w:eastAsia="Times New Roman" w:hAnsi="Montserrat Medium" w:cs="Calibri"/>
                <w:b/>
                <w:bCs/>
                <w:color w:val="000000"/>
                <w:sz w:val="18"/>
                <w:szCs w:val="18"/>
                <w:lang w:val="es-MX" w:eastAsia="es-MX"/>
              </w:rPr>
            </w:pPr>
            <w:r w:rsidRPr="004634D3">
              <w:rPr>
                <w:rFonts w:ascii="Montserrat Medium" w:eastAsia="Times New Roman" w:hAnsi="Montserrat Medium" w:cs="Calibri"/>
                <w:b/>
                <w:bCs/>
                <w:color w:val="000000"/>
                <w:sz w:val="18"/>
                <w:szCs w:val="18"/>
                <w:lang w:eastAsia="es-MX"/>
              </w:rPr>
              <w:t>Porcentaje</w:t>
            </w:r>
          </w:p>
        </w:tc>
      </w:tr>
      <w:tr w:rsidR="004634D3" w:rsidRPr="004634D3" w14:paraId="2D4422FF" w14:textId="77777777" w:rsidTr="00636952">
        <w:trPr>
          <w:trHeight w:val="195"/>
        </w:trPr>
        <w:tc>
          <w:tcPr>
            <w:tcW w:w="5245" w:type="dxa"/>
            <w:tcBorders>
              <w:top w:val="nil"/>
              <w:left w:val="single" w:sz="4" w:space="0" w:color="auto"/>
              <w:bottom w:val="nil"/>
              <w:right w:val="nil"/>
            </w:tcBorders>
            <w:shd w:val="clear" w:color="auto" w:fill="auto"/>
            <w:noWrap/>
            <w:vAlign w:val="center"/>
            <w:hideMark/>
          </w:tcPr>
          <w:p w14:paraId="6B818919" w14:textId="77777777" w:rsidR="004634D3" w:rsidRPr="000337B6" w:rsidRDefault="004634D3" w:rsidP="002F131C">
            <w:pPr>
              <w:jc w:val="both"/>
              <w:rPr>
                <w:rFonts w:ascii="Montserrat Medium" w:eastAsia="Times New Roman" w:hAnsi="Montserrat Medium" w:cs="Calibri"/>
                <w:color w:val="595959"/>
                <w:sz w:val="18"/>
                <w:szCs w:val="18"/>
                <w:lang w:eastAsia="es-MX"/>
              </w:rPr>
            </w:pPr>
            <w:r w:rsidRPr="000337B6">
              <w:rPr>
                <w:rFonts w:ascii="Montserrat Medium" w:eastAsia="Times New Roman" w:hAnsi="Montserrat Medium" w:cs="Calibri"/>
                <w:color w:val="595959"/>
                <w:sz w:val="18"/>
                <w:szCs w:val="18"/>
                <w:lang w:eastAsia="es-MX"/>
              </w:rPr>
              <w:t>Muebles de oficina y estantería</w:t>
            </w:r>
          </w:p>
        </w:tc>
        <w:tc>
          <w:tcPr>
            <w:tcW w:w="1418" w:type="dxa"/>
            <w:tcBorders>
              <w:top w:val="nil"/>
              <w:left w:val="single" w:sz="4" w:space="0" w:color="auto"/>
              <w:bottom w:val="nil"/>
              <w:right w:val="single" w:sz="4" w:space="0" w:color="auto"/>
            </w:tcBorders>
            <w:shd w:val="clear" w:color="auto" w:fill="auto"/>
            <w:noWrap/>
            <w:vAlign w:val="center"/>
            <w:hideMark/>
          </w:tcPr>
          <w:p w14:paraId="63757CDD" w14:textId="77777777" w:rsidR="004634D3" w:rsidRPr="000337B6" w:rsidRDefault="004634D3" w:rsidP="002F131C">
            <w:pPr>
              <w:jc w:val="center"/>
              <w:rPr>
                <w:rFonts w:ascii="Montserrat Medium" w:eastAsia="Times New Roman" w:hAnsi="Montserrat Medium" w:cs="Calibri"/>
                <w:color w:val="595959"/>
                <w:sz w:val="18"/>
                <w:szCs w:val="18"/>
                <w:lang w:val="es-MX" w:eastAsia="es-MX"/>
              </w:rPr>
            </w:pPr>
            <w:r w:rsidRPr="000337B6">
              <w:rPr>
                <w:rFonts w:ascii="Montserrat Medium" w:eastAsia="Times New Roman" w:hAnsi="Montserrat Medium" w:cs="Calibri"/>
                <w:color w:val="595959"/>
                <w:sz w:val="18"/>
                <w:szCs w:val="18"/>
                <w:lang w:val="es-MX" w:eastAsia="es-MX"/>
              </w:rPr>
              <w:t>10%</w:t>
            </w:r>
          </w:p>
        </w:tc>
      </w:tr>
      <w:tr w:rsidR="004634D3" w:rsidRPr="004634D3" w14:paraId="10EB63C5" w14:textId="77777777" w:rsidTr="00636952">
        <w:trPr>
          <w:trHeight w:val="265"/>
        </w:trPr>
        <w:tc>
          <w:tcPr>
            <w:tcW w:w="5245" w:type="dxa"/>
            <w:tcBorders>
              <w:top w:val="nil"/>
              <w:left w:val="single" w:sz="4" w:space="0" w:color="auto"/>
              <w:bottom w:val="nil"/>
              <w:right w:val="nil"/>
            </w:tcBorders>
            <w:shd w:val="clear" w:color="auto" w:fill="auto"/>
            <w:noWrap/>
            <w:vAlign w:val="center"/>
            <w:hideMark/>
          </w:tcPr>
          <w:p w14:paraId="29FF5C04" w14:textId="77777777" w:rsidR="004634D3" w:rsidRPr="000337B6" w:rsidRDefault="004634D3" w:rsidP="002F131C">
            <w:pPr>
              <w:jc w:val="both"/>
              <w:rPr>
                <w:rFonts w:ascii="Montserrat Medium" w:eastAsia="Times New Roman" w:hAnsi="Montserrat Medium" w:cs="Calibri"/>
                <w:color w:val="595959"/>
                <w:sz w:val="18"/>
                <w:szCs w:val="18"/>
                <w:lang w:eastAsia="es-MX"/>
              </w:rPr>
            </w:pPr>
            <w:r w:rsidRPr="000337B6">
              <w:rPr>
                <w:rFonts w:ascii="Montserrat Medium" w:eastAsia="Times New Roman" w:hAnsi="Montserrat Medium" w:cs="Calibri"/>
                <w:color w:val="595959"/>
                <w:sz w:val="18"/>
                <w:szCs w:val="18"/>
                <w:lang w:eastAsia="es-MX"/>
              </w:rPr>
              <w:t>Muebles, excepto de oficina y estantería</w:t>
            </w:r>
          </w:p>
        </w:tc>
        <w:tc>
          <w:tcPr>
            <w:tcW w:w="1418" w:type="dxa"/>
            <w:tcBorders>
              <w:top w:val="nil"/>
              <w:left w:val="single" w:sz="4" w:space="0" w:color="auto"/>
              <w:bottom w:val="nil"/>
              <w:right w:val="single" w:sz="4" w:space="0" w:color="auto"/>
            </w:tcBorders>
            <w:shd w:val="clear" w:color="auto" w:fill="auto"/>
            <w:noWrap/>
            <w:vAlign w:val="center"/>
            <w:hideMark/>
          </w:tcPr>
          <w:p w14:paraId="4479D4F4" w14:textId="77777777" w:rsidR="004634D3" w:rsidRPr="000337B6" w:rsidRDefault="004634D3" w:rsidP="002F131C">
            <w:pPr>
              <w:jc w:val="center"/>
              <w:rPr>
                <w:rFonts w:ascii="Montserrat Medium" w:eastAsia="Times New Roman" w:hAnsi="Montserrat Medium" w:cs="Calibri"/>
                <w:color w:val="595959"/>
                <w:sz w:val="18"/>
                <w:szCs w:val="18"/>
                <w:lang w:val="es-MX" w:eastAsia="es-MX"/>
              </w:rPr>
            </w:pPr>
            <w:r w:rsidRPr="000337B6">
              <w:rPr>
                <w:rFonts w:ascii="Montserrat Medium" w:eastAsia="Times New Roman" w:hAnsi="Montserrat Medium" w:cs="Calibri"/>
                <w:color w:val="595959"/>
                <w:sz w:val="18"/>
                <w:szCs w:val="18"/>
                <w:lang w:val="es-MX" w:eastAsia="es-MX"/>
              </w:rPr>
              <w:t>10%</w:t>
            </w:r>
          </w:p>
        </w:tc>
      </w:tr>
      <w:tr w:rsidR="004634D3" w:rsidRPr="004634D3" w14:paraId="14D6AF03" w14:textId="77777777" w:rsidTr="00636952">
        <w:trPr>
          <w:trHeight w:val="141"/>
        </w:trPr>
        <w:tc>
          <w:tcPr>
            <w:tcW w:w="5245" w:type="dxa"/>
            <w:tcBorders>
              <w:top w:val="nil"/>
              <w:left w:val="single" w:sz="4" w:space="0" w:color="auto"/>
              <w:bottom w:val="nil"/>
              <w:right w:val="nil"/>
            </w:tcBorders>
            <w:shd w:val="clear" w:color="auto" w:fill="auto"/>
            <w:noWrap/>
            <w:vAlign w:val="center"/>
            <w:hideMark/>
          </w:tcPr>
          <w:p w14:paraId="315F28DA" w14:textId="77777777" w:rsidR="004634D3" w:rsidRPr="000337B6" w:rsidRDefault="004634D3" w:rsidP="002F131C">
            <w:pPr>
              <w:jc w:val="both"/>
              <w:rPr>
                <w:rFonts w:ascii="Montserrat Medium" w:eastAsia="Times New Roman" w:hAnsi="Montserrat Medium" w:cs="Calibri"/>
                <w:color w:val="595959"/>
                <w:sz w:val="18"/>
                <w:szCs w:val="18"/>
                <w:lang w:eastAsia="es-MX"/>
              </w:rPr>
            </w:pPr>
            <w:r w:rsidRPr="000337B6">
              <w:rPr>
                <w:rFonts w:ascii="Montserrat Medium" w:eastAsia="Times New Roman" w:hAnsi="Montserrat Medium" w:cs="Calibri"/>
                <w:color w:val="595959"/>
                <w:sz w:val="18"/>
                <w:szCs w:val="18"/>
                <w:lang w:eastAsia="es-MX"/>
              </w:rPr>
              <w:t>Equipo de cómputo y de tecnologías de la información</w:t>
            </w:r>
          </w:p>
        </w:tc>
        <w:tc>
          <w:tcPr>
            <w:tcW w:w="1418" w:type="dxa"/>
            <w:tcBorders>
              <w:top w:val="nil"/>
              <w:left w:val="single" w:sz="4" w:space="0" w:color="auto"/>
              <w:bottom w:val="nil"/>
              <w:right w:val="single" w:sz="4" w:space="0" w:color="auto"/>
            </w:tcBorders>
            <w:shd w:val="clear" w:color="auto" w:fill="auto"/>
            <w:noWrap/>
            <w:vAlign w:val="center"/>
            <w:hideMark/>
          </w:tcPr>
          <w:p w14:paraId="2AAEF416" w14:textId="77777777" w:rsidR="004634D3" w:rsidRPr="000337B6" w:rsidRDefault="004634D3" w:rsidP="002F131C">
            <w:pPr>
              <w:jc w:val="center"/>
              <w:rPr>
                <w:rFonts w:ascii="Montserrat Medium" w:eastAsia="Times New Roman" w:hAnsi="Montserrat Medium" w:cs="Calibri"/>
                <w:color w:val="595959"/>
                <w:sz w:val="18"/>
                <w:szCs w:val="18"/>
                <w:lang w:val="es-MX" w:eastAsia="es-MX"/>
              </w:rPr>
            </w:pPr>
            <w:r w:rsidRPr="000337B6">
              <w:rPr>
                <w:rFonts w:ascii="Montserrat Medium" w:eastAsia="Times New Roman" w:hAnsi="Montserrat Medium" w:cs="Calibri"/>
                <w:color w:val="595959"/>
                <w:sz w:val="18"/>
                <w:szCs w:val="18"/>
                <w:lang w:val="es-MX" w:eastAsia="es-MX"/>
              </w:rPr>
              <w:t>33%</w:t>
            </w:r>
          </w:p>
        </w:tc>
      </w:tr>
      <w:tr w:rsidR="004634D3" w:rsidRPr="004634D3" w14:paraId="45E46C2B" w14:textId="77777777" w:rsidTr="00636952">
        <w:trPr>
          <w:trHeight w:val="202"/>
        </w:trPr>
        <w:tc>
          <w:tcPr>
            <w:tcW w:w="5245" w:type="dxa"/>
            <w:tcBorders>
              <w:top w:val="nil"/>
              <w:left w:val="single" w:sz="4" w:space="0" w:color="auto"/>
              <w:bottom w:val="nil"/>
              <w:right w:val="nil"/>
            </w:tcBorders>
            <w:shd w:val="clear" w:color="auto" w:fill="auto"/>
            <w:noWrap/>
            <w:vAlign w:val="center"/>
            <w:hideMark/>
          </w:tcPr>
          <w:p w14:paraId="0B04B05A" w14:textId="77777777" w:rsidR="004634D3" w:rsidRPr="000337B6" w:rsidRDefault="004634D3" w:rsidP="002F131C">
            <w:pPr>
              <w:jc w:val="both"/>
              <w:rPr>
                <w:rFonts w:ascii="Montserrat Medium" w:eastAsia="Times New Roman" w:hAnsi="Montserrat Medium" w:cs="Calibri"/>
                <w:color w:val="595959"/>
                <w:sz w:val="18"/>
                <w:szCs w:val="18"/>
                <w:lang w:eastAsia="es-MX"/>
              </w:rPr>
            </w:pPr>
            <w:r w:rsidRPr="000337B6">
              <w:rPr>
                <w:rFonts w:ascii="Montserrat Medium" w:eastAsia="Times New Roman" w:hAnsi="Montserrat Medium" w:cs="Calibri"/>
                <w:color w:val="595959"/>
                <w:sz w:val="18"/>
                <w:szCs w:val="18"/>
                <w:lang w:eastAsia="es-MX"/>
              </w:rPr>
              <w:t>Otros mobiliarios y equipos de administración</w:t>
            </w:r>
          </w:p>
        </w:tc>
        <w:tc>
          <w:tcPr>
            <w:tcW w:w="1418" w:type="dxa"/>
            <w:tcBorders>
              <w:top w:val="nil"/>
              <w:left w:val="single" w:sz="4" w:space="0" w:color="auto"/>
              <w:bottom w:val="nil"/>
              <w:right w:val="single" w:sz="4" w:space="0" w:color="auto"/>
            </w:tcBorders>
            <w:shd w:val="clear" w:color="auto" w:fill="auto"/>
            <w:noWrap/>
            <w:vAlign w:val="center"/>
            <w:hideMark/>
          </w:tcPr>
          <w:p w14:paraId="4DEE3141" w14:textId="77777777" w:rsidR="004634D3" w:rsidRPr="000337B6" w:rsidRDefault="004634D3" w:rsidP="002F131C">
            <w:pPr>
              <w:jc w:val="center"/>
              <w:rPr>
                <w:rFonts w:ascii="Montserrat Medium" w:eastAsia="Times New Roman" w:hAnsi="Montserrat Medium" w:cs="Calibri"/>
                <w:color w:val="595959"/>
                <w:sz w:val="18"/>
                <w:szCs w:val="18"/>
                <w:lang w:val="es-MX" w:eastAsia="es-MX"/>
              </w:rPr>
            </w:pPr>
            <w:r w:rsidRPr="000337B6">
              <w:rPr>
                <w:rFonts w:ascii="Montserrat Medium" w:eastAsia="Times New Roman" w:hAnsi="Montserrat Medium" w:cs="Calibri"/>
                <w:color w:val="595959"/>
                <w:sz w:val="18"/>
                <w:szCs w:val="18"/>
                <w:lang w:val="es-MX" w:eastAsia="es-MX"/>
              </w:rPr>
              <w:t>10%</w:t>
            </w:r>
          </w:p>
        </w:tc>
      </w:tr>
      <w:tr w:rsidR="004634D3" w:rsidRPr="004634D3" w14:paraId="316E16C0" w14:textId="77777777" w:rsidTr="00636952">
        <w:trPr>
          <w:trHeight w:val="133"/>
        </w:trPr>
        <w:tc>
          <w:tcPr>
            <w:tcW w:w="5245" w:type="dxa"/>
            <w:tcBorders>
              <w:top w:val="nil"/>
              <w:left w:val="single" w:sz="4" w:space="0" w:color="auto"/>
              <w:bottom w:val="nil"/>
              <w:right w:val="nil"/>
            </w:tcBorders>
            <w:shd w:val="clear" w:color="auto" w:fill="auto"/>
            <w:noWrap/>
            <w:vAlign w:val="center"/>
            <w:hideMark/>
          </w:tcPr>
          <w:p w14:paraId="67169A7D" w14:textId="77777777" w:rsidR="004634D3" w:rsidRPr="000337B6" w:rsidRDefault="004634D3" w:rsidP="002F131C">
            <w:pPr>
              <w:jc w:val="both"/>
              <w:rPr>
                <w:rFonts w:ascii="Montserrat Medium" w:eastAsia="Times New Roman" w:hAnsi="Montserrat Medium" w:cs="Calibri"/>
                <w:color w:val="595959"/>
                <w:sz w:val="18"/>
                <w:szCs w:val="18"/>
                <w:lang w:eastAsia="es-MX"/>
              </w:rPr>
            </w:pPr>
            <w:r w:rsidRPr="000337B6">
              <w:rPr>
                <w:rFonts w:ascii="Montserrat Medium" w:eastAsia="Times New Roman" w:hAnsi="Montserrat Medium" w:cs="Calibri"/>
                <w:color w:val="595959"/>
                <w:sz w:val="18"/>
                <w:szCs w:val="18"/>
                <w:lang w:eastAsia="es-MX"/>
              </w:rPr>
              <w:t>Equipos y aparatos audiovisuales</w:t>
            </w:r>
          </w:p>
        </w:tc>
        <w:tc>
          <w:tcPr>
            <w:tcW w:w="1418" w:type="dxa"/>
            <w:tcBorders>
              <w:top w:val="nil"/>
              <w:left w:val="single" w:sz="4" w:space="0" w:color="auto"/>
              <w:bottom w:val="nil"/>
              <w:right w:val="single" w:sz="4" w:space="0" w:color="auto"/>
            </w:tcBorders>
            <w:shd w:val="clear" w:color="auto" w:fill="auto"/>
            <w:noWrap/>
            <w:vAlign w:val="center"/>
            <w:hideMark/>
          </w:tcPr>
          <w:p w14:paraId="6931AAB0" w14:textId="77777777" w:rsidR="004634D3" w:rsidRPr="000337B6" w:rsidRDefault="004634D3" w:rsidP="002F131C">
            <w:pPr>
              <w:jc w:val="center"/>
              <w:rPr>
                <w:rFonts w:ascii="Montserrat Medium" w:eastAsia="Times New Roman" w:hAnsi="Montserrat Medium" w:cs="Calibri"/>
                <w:color w:val="595959"/>
                <w:sz w:val="18"/>
                <w:szCs w:val="18"/>
                <w:lang w:val="es-MX" w:eastAsia="es-MX"/>
              </w:rPr>
            </w:pPr>
            <w:r w:rsidRPr="000337B6">
              <w:rPr>
                <w:rFonts w:ascii="Montserrat Medium" w:eastAsia="Times New Roman" w:hAnsi="Montserrat Medium" w:cs="Calibri"/>
                <w:color w:val="595959"/>
                <w:sz w:val="18"/>
                <w:szCs w:val="18"/>
                <w:lang w:val="es-MX" w:eastAsia="es-MX"/>
              </w:rPr>
              <w:t>33%</w:t>
            </w:r>
          </w:p>
        </w:tc>
      </w:tr>
      <w:tr w:rsidR="004634D3" w:rsidRPr="004634D3" w14:paraId="365C677C" w14:textId="77777777" w:rsidTr="00636952">
        <w:trPr>
          <w:trHeight w:val="193"/>
        </w:trPr>
        <w:tc>
          <w:tcPr>
            <w:tcW w:w="5245" w:type="dxa"/>
            <w:tcBorders>
              <w:top w:val="nil"/>
              <w:left w:val="single" w:sz="4" w:space="0" w:color="auto"/>
              <w:bottom w:val="nil"/>
              <w:right w:val="nil"/>
            </w:tcBorders>
            <w:shd w:val="clear" w:color="auto" w:fill="auto"/>
            <w:noWrap/>
            <w:vAlign w:val="center"/>
            <w:hideMark/>
          </w:tcPr>
          <w:p w14:paraId="676BA468" w14:textId="77777777" w:rsidR="004634D3" w:rsidRPr="000337B6" w:rsidRDefault="004634D3" w:rsidP="002F131C">
            <w:pPr>
              <w:jc w:val="both"/>
              <w:rPr>
                <w:rFonts w:ascii="Montserrat Medium" w:eastAsia="Times New Roman" w:hAnsi="Montserrat Medium" w:cs="Calibri"/>
                <w:color w:val="595959"/>
                <w:sz w:val="18"/>
                <w:szCs w:val="18"/>
                <w:lang w:eastAsia="es-MX"/>
              </w:rPr>
            </w:pPr>
            <w:r w:rsidRPr="000337B6">
              <w:rPr>
                <w:rFonts w:ascii="Montserrat Medium" w:eastAsia="Times New Roman" w:hAnsi="Montserrat Medium" w:cs="Calibri"/>
                <w:color w:val="595959"/>
                <w:sz w:val="18"/>
                <w:szCs w:val="18"/>
                <w:lang w:eastAsia="es-MX"/>
              </w:rPr>
              <w:t>Aparatos deportivos</w:t>
            </w:r>
          </w:p>
        </w:tc>
        <w:tc>
          <w:tcPr>
            <w:tcW w:w="1418" w:type="dxa"/>
            <w:tcBorders>
              <w:top w:val="nil"/>
              <w:left w:val="single" w:sz="4" w:space="0" w:color="auto"/>
              <w:bottom w:val="nil"/>
              <w:right w:val="single" w:sz="4" w:space="0" w:color="auto"/>
            </w:tcBorders>
            <w:shd w:val="clear" w:color="auto" w:fill="auto"/>
            <w:noWrap/>
            <w:vAlign w:val="center"/>
            <w:hideMark/>
          </w:tcPr>
          <w:p w14:paraId="278F0FC3" w14:textId="77777777" w:rsidR="004634D3" w:rsidRPr="000337B6" w:rsidRDefault="004634D3" w:rsidP="002F131C">
            <w:pPr>
              <w:jc w:val="center"/>
              <w:rPr>
                <w:rFonts w:ascii="Montserrat Medium" w:eastAsia="Times New Roman" w:hAnsi="Montserrat Medium" w:cs="Calibri"/>
                <w:color w:val="595959"/>
                <w:sz w:val="18"/>
                <w:szCs w:val="18"/>
                <w:lang w:val="es-MX" w:eastAsia="es-MX"/>
              </w:rPr>
            </w:pPr>
            <w:r w:rsidRPr="000337B6">
              <w:rPr>
                <w:rFonts w:ascii="Montserrat Medium" w:eastAsia="Times New Roman" w:hAnsi="Montserrat Medium" w:cs="Calibri"/>
                <w:color w:val="595959"/>
                <w:sz w:val="18"/>
                <w:szCs w:val="18"/>
                <w:lang w:val="es-MX" w:eastAsia="es-MX"/>
              </w:rPr>
              <w:t>20%</w:t>
            </w:r>
          </w:p>
        </w:tc>
      </w:tr>
      <w:tr w:rsidR="004634D3" w:rsidRPr="004634D3" w14:paraId="53B38648" w14:textId="77777777" w:rsidTr="00636952">
        <w:trPr>
          <w:trHeight w:val="111"/>
        </w:trPr>
        <w:tc>
          <w:tcPr>
            <w:tcW w:w="5245" w:type="dxa"/>
            <w:tcBorders>
              <w:top w:val="nil"/>
              <w:left w:val="single" w:sz="4" w:space="0" w:color="auto"/>
              <w:bottom w:val="nil"/>
              <w:right w:val="nil"/>
            </w:tcBorders>
            <w:shd w:val="clear" w:color="auto" w:fill="auto"/>
            <w:noWrap/>
            <w:vAlign w:val="center"/>
            <w:hideMark/>
          </w:tcPr>
          <w:p w14:paraId="11FACA01" w14:textId="77777777" w:rsidR="004634D3" w:rsidRPr="000337B6" w:rsidRDefault="004634D3" w:rsidP="002F131C">
            <w:pPr>
              <w:jc w:val="both"/>
              <w:rPr>
                <w:rFonts w:ascii="Montserrat Medium" w:eastAsia="Times New Roman" w:hAnsi="Montserrat Medium" w:cs="Calibri"/>
                <w:color w:val="595959"/>
                <w:sz w:val="18"/>
                <w:szCs w:val="18"/>
                <w:lang w:eastAsia="es-MX"/>
              </w:rPr>
            </w:pPr>
            <w:r w:rsidRPr="000337B6">
              <w:rPr>
                <w:rFonts w:ascii="Montserrat Medium" w:eastAsia="Times New Roman" w:hAnsi="Montserrat Medium" w:cs="Calibri"/>
                <w:color w:val="595959"/>
                <w:sz w:val="18"/>
                <w:szCs w:val="18"/>
                <w:lang w:eastAsia="es-MX"/>
              </w:rPr>
              <w:t>Cámaras fotográficas y de video</w:t>
            </w:r>
          </w:p>
        </w:tc>
        <w:tc>
          <w:tcPr>
            <w:tcW w:w="1418" w:type="dxa"/>
            <w:tcBorders>
              <w:top w:val="nil"/>
              <w:left w:val="single" w:sz="4" w:space="0" w:color="auto"/>
              <w:bottom w:val="nil"/>
              <w:right w:val="single" w:sz="4" w:space="0" w:color="auto"/>
            </w:tcBorders>
            <w:shd w:val="clear" w:color="auto" w:fill="auto"/>
            <w:noWrap/>
            <w:vAlign w:val="center"/>
            <w:hideMark/>
          </w:tcPr>
          <w:p w14:paraId="5D24468D" w14:textId="77777777" w:rsidR="004634D3" w:rsidRPr="000337B6" w:rsidRDefault="004634D3" w:rsidP="002F131C">
            <w:pPr>
              <w:jc w:val="center"/>
              <w:rPr>
                <w:rFonts w:ascii="Montserrat Medium" w:eastAsia="Times New Roman" w:hAnsi="Montserrat Medium" w:cs="Calibri"/>
                <w:color w:val="595959"/>
                <w:sz w:val="18"/>
                <w:szCs w:val="18"/>
                <w:lang w:val="es-MX" w:eastAsia="es-MX"/>
              </w:rPr>
            </w:pPr>
            <w:r w:rsidRPr="000337B6">
              <w:rPr>
                <w:rFonts w:ascii="Montserrat Medium" w:eastAsia="Times New Roman" w:hAnsi="Montserrat Medium" w:cs="Calibri"/>
                <w:color w:val="595959"/>
                <w:sz w:val="18"/>
                <w:szCs w:val="18"/>
                <w:lang w:val="es-MX" w:eastAsia="es-MX"/>
              </w:rPr>
              <w:t>33%</w:t>
            </w:r>
          </w:p>
        </w:tc>
      </w:tr>
      <w:tr w:rsidR="004634D3" w:rsidRPr="004634D3" w14:paraId="0134F7FF" w14:textId="77777777" w:rsidTr="00636952">
        <w:trPr>
          <w:trHeight w:val="171"/>
        </w:trPr>
        <w:tc>
          <w:tcPr>
            <w:tcW w:w="5245" w:type="dxa"/>
            <w:tcBorders>
              <w:top w:val="nil"/>
              <w:left w:val="single" w:sz="4" w:space="0" w:color="auto"/>
              <w:bottom w:val="nil"/>
              <w:right w:val="nil"/>
            </w:tcBorders>
            <w:shd w:val="clear" w:color="auto" w:fill="auto"/>
            <w:noWrap/>
            <w:vAlign w:val="center"/>
            <w:hideMark/>
          </w:tcPr>
          <w:p w14:paraId="29336A0D" w14:textId="77777777" w:rsidR="004634D3" w:rsidRPr="000337B6" w:rsidRDefault="004634D3" w:rsidP="002F131C">
            <w:pPr>
              <w:jc w:val="both"/>
              <w:rPr>
                <w:rFonts w:ascii="Montserrat Medium" w:eastAsia="Times New Roman" w:hAnsi="Montserrat Medium" w:cs="Calibri"/>
                <w:color w:val="595959"/>
                <w:sz w:val="18"/>
                <w:szCs w:val="18"/>
                <w:lang w:eastAsia="es-MX"/>
              </w:rPr>
            </w:pPr>
            <w:r w:rsidRPr="000337B6">
              <w:rPr>
                <w:rFonts w:ascii="Montserrat Medium" w:eastAsia="Times New Roman" w:hAnsi="Montserrat Medium" w:cs="Calibri"/>
                <w:color w:val="595959"/>
                <w:sz w:val="18"/>
                <w:szCs w:val="18"/>
                <w:lang w:eastAsia="es-MX"/>
              </w:rPr>
              <w:t>Otro mobiliario y equipo educacional y recreativo</w:t>
            </w:r>
          </w:p>
        </w:tc>
        <w:tc>
          <w:tcPr>
            <w:tcW w:w="1418" w:type="dxa"/>
            <w:tcBorders>
              <w:top w:val="nil"/>
              <w:left w:val="single" w:sz="4" w:space="0" w:color="auto"/>
              <w:bottom w:val="nil"/>
              <w:right w:val="single" w:sz="4" w:space="0" w:color="auto"/>
            </w:tcBorders>
            <w:shd w:val="clear" w:color="auto" w:fill="auto"/>
            <w:noWrap/>
            <w:vAlign w:val="center"/>
            <w:hideMark/>
          </w:tcPr>
          <w:p w14:paraId="34782BCC" w14:textId="77777777" w:rsidR="004634D3" w:rsidRPr="000337B6" w:rsidRDefault="004634D3" w:rsidP="002F131C">
            <w:pPr>
              <w:jc w:val="center"/>
              <w:rPr>
                <w:rFonts w:ascii="Montserrat Medium" w:eastAsia="Times New Roman" w:hAnsi="Montserrat Medium" w:cs="Calibri"/>
                <w:color w:val="595959"/>
                <w:sz w:val="18"/>
                <w:szCs w:val="18"/>
                <w:lang w:val="es-MX" w:eastAsia="es-MX"/>
              </w:rPr>
            </w:pPr>
            <w:r w:rsidRPr="000337B6">
              <w:rPr>
                <w:rFonts w:ascii="Montserrat Medium" w:eastAsia="Times New Roman" w:hAnsi="Montserrat Medium" w:cs="Calibri"/>
                <w:color w:val="595959"/>
                <w:sz w:val="18"/>
                <w:szCs w:val="18"/>
                <w:lang w:val="es-MX" w:eastAsia="es-MX"/>
              </w:rPr>
              <w:t>20%</w:t>
            </w:r>
          </w:p>
        </w:tc>
      </w:tr>
      <w:tr w:rsidR="004634D3" w:rsidRPr="004634D3" w14:paraId="74A21282" w14:textId="77777777" w:rsidTr="00636952">
        <w:trPr>
          <w:trHeight w:val="104"/>
        </w:trPr>
        <w:tc>
          <w:tcPr>
            <w:tcW w:w="5245" w:type="dxa"/>
            <w:tcBorders>
              <w:top w:val="nil"/>
              <w:left w:val="single" w:sz="4" w:space="0" w:color="auto"/>
              <w:bottom w:val="nil"/>
              <w:right w:val="nil"/>
            </w:tcBorders>
            <w:shd w:val="clear" w:color="auto" w:fill="auto"/>
            <w:noWrap/>
            <w:vAlign w:val="center"/>
            <w:hideMark/>
          </w:tcPr>
          <w:p w14:paraId="681A9EAB" w14:textId="77777777" w:rsidR="004634D3" w:rsidRPr="000337B6" w:rsidRDefault="004634D3" w:rsidP="002F131C">
            <w:pPr>
              <w:jc w:val="both"/>
              <w:rPr>
                <w:rFonts w:ascii="Montserrat Medium" w:eastAsia="Times New Roman" w:hAnsi="Montserrat Medium" w:cs="Calibri"/>
                <w:color w:val="595959"/>
                <w:sz w:val="18"/>
                <w:szCs w:val="18"/>
                <w:lang w:eastAsia="es-MX"/>
              </w:rPr>
            </w:pPr>
            <w:r w:rsidRPr="000337B6">
              <w:rPr>
                <w:rFonts w:ascii="Montserrat Medium" w:eastAsia="Times New Roman" w:hAnsi="Montserrat Medium" w:cs="Calibri"/>
                <w:color w:val="595959"/>
                <w:sz w:val="18"/>
                <w:szCs w:val="18"/>
                <w:lang w:eastAsia="es-MX"/>
              </w:rPr>
              <w:t>Vehículos y equipo terrestre</w:t>
            </w:r>
          </w:p>
        </w:tc>
        <w:tc>
          <w:tcPr>
            <w:tcW w:w="1418" w:type="dxa"/>
            <w:tcBorders>
              <w:top w:val="nil"/>
              <w:left w:val="single" w:sz="4" w:space="0" w:color="auto"/>
              <w:bottom w:val="nil"/>
              <w:right w:val="single" w:sz="4" w:space="0" w:color="auto"/>
            </w:tcBorders>
            <w:shd w:val="clear" w:color="auto" w:fill="auto"/>
            <w:noWrap/>
            <w:vAlign w:val="center"/>
            <w:hideMark/>
          </w:tcPr>
          <w:p w14:paraId="6045E654" w14:textId="77777777" w:rsidR="004634D3" w:rsidRPr="000337B6" w:rsidRDefault="004634D3" w:rsidP="002F131C">
            <w:pPr>
              <w:jc w:val="center"/>
              <w:rPr>
                <w:rFonts w:ascii="Montserrat Medium" w:eastAsia="Times New Roman" w:hAnsi="Montserrat Medium" w:cs="Calibri"/>
                <w:color w:val="595959"/>
                <w:sz w:val="18"/>
                <w:szCs w:val="18"/>
                <w:lang w:val="es-MX" w:eastAsia="es-MX"/>
              </w:rPr>
            </w:pPr>
            <w:r w:rsidRPr="000337B6">
              <w:rPr>
                <w:rFonts w:ascii="Montserrat Medium" w:eastAsia="Times New Roman" w:hAnsi="Montserrat Medium" w:cs="Calibri"/>
                <w:color w:val="595959"/>
                <w:sz w:val="18"/>
                <w:szCs w:val="18"/>
                <w:lang w:val="es-MX" w:eastAsia="es-MX"/>
              </w:rPr>
              <w:t>20%</w:t>
            </w:r>
          </w:p>
        </w:tc>
      </w:tr>
      <w:tr w:rsidR="004634D3" w:rsidRPr="004634D3" w14:paraId="0C4271CC" w14:textId="77777777" w:rsidTr="00636952">
        <w:trPr>
          <w:trHeight w:val="70"/>
        </w:trPr>
        <w:tc>
          <w:tcPr>
            <w:tcW w:w="5245" w:type="dxa"/>
            <w:tcBorders>
              <w:top w:val="nil"/>
              <w:left w:val="single" w:sz="4" w:space="0" w:color="auto"/>
              <w:bottom w:val="nil"/>
              <w:right w:val="nil"/>
            </w:tcBorders>
            <w:shd w:val="clear" w:color="auto" w:fill="auto"/>
            <w:noWrap/>
            <w:vAlign w:val="center"/>
            <w:hideMark/>
          </w:tcPr>
          <w:p w14:paraId="08ACF7F2" w14:textId="77777777" w:rsidR="004634D3" w:rsidRPr="000337B6" w:rsidRDefault="004634D3" w:rsidP="002F131C">
            <w:pPr>
              <w:jc w:val="both"/>
              <w:rPr>
                <w:rFonts w:ascii="Montserrat Medium" w:eastAsia="Times New Roman" w:hAnsi="Montserrat Medium" w:cs="Calibri"/>
                <w:color w:val="595959"/>
                <w:sz w:val="18"/>
                <w:szCs w:val="18"/>
                <w:lang w:eastAsia="es-MX"/>
              </w:rPr>
            </w:pPr>
            <w:r w:rsidRPr="000337B6">
              <w:rPr>
                <w:rFonts w:ascii="Montserrat Medium" w:eastAsia="Times New Roman" w:hAnsi="Montserrat Medium" w:cs="Calibri"/>
                <w:color w:val="595959"/>
                <w:sz w:val="18"/>
                <w:szCs w:val="18"/>
                <w:lang w:eastAsia="es-MX"/>
              </w:rPr>
              <w:t>Carrocerías y remolques</w:t>
            </w:r>
          </w:p>
        </w:tc>
        <w:tc>
          <w:tcPr>
            <w:tcW w:w="1418" w:type="dxa"/>
            <w:tcBorders>
              <w:top w:val="nil"/>
              <w:left w:val="single" w:sz="4" w:space="0" w:color="auto"/>
              <w:bottom w:val="nil"/>
              <w:right w:val="single" w:sz="4" w:space="0" w:color="auto"/>
            </w:tcBorders>
            <w:shd w:val="clear" w:color="auto" w:fill="auto"/>
            <w:noWrap/>
            <w:vAlign w:val="center"/>
            <w:hideMark/>
          </w:tcPr>
          <w:p w14:paraId="6EB0B5FC" w14:textId="77777777" w:rsidR="004634D3" w:rsidRPr="000337B6" w:rsidRDefault="004634D3" w:rsidP="002F131C">
            <w:pPr>
              <w:jc w:val="center"/>
              <w:rPr>
                <w:rFonts w:ascii="Montserrat Medium" w:eastAsia="Times New Roman" w:hAnsi="Montserrat Medium" w:cs="Calibri"/>
                <w:color w:val="595959"/>
                <w:sz w:val="18"/>
                <w:szCs w:val="18"/>
                <w:lang w:val="es-MX" w:eastAsia="es-MX"/>
              </w:rPr>
            </w:pPr>
            <w:r w:rsidRPr="000337B6">
              <w:rPr>
                <w:rFonts w:ascii="Montserrat Medium" w:eastAsia="Times New Roman" w:hAnsi="Montserrat Medium" w:cs="Calibri"/>
                <w:color w:val="595959"/>
                <w:sz w:val="18"/>
                <w:szCs w:val="18"/>
                <w:lang w:val="es-MX" w:eastAsia="es-MX"/>
              </w:rPr>
              <w:t>20%</w:t>
            </w:r>
          </w:p>
        </w:tc>
      </w:tr>
      <w:tr w:rsidR="004634D3" w:rsidRPr="004634D3" w14:paraId="0F9163FC" w14:textId="77777777" w:rsidTr="00636952">
        <w:trPr>
          <w:trHeight w:val="95"/>
        </w:trPr>
        <w:tc>
          <w:tcPr>
            <w:tcW w:w="5245" w:type="dxa"/>
            <w:tcBorders>
              <w:top w:val="nil"/>
              <w:left w:val="single" w:sz="4" w:space="0" w:color="auto"/>
              <w:bottom w:val="nil"/>
              <w:right w:val="nil"/>
            </w:tcBorders>
            <w:shd w:val="clear" w:color="auto" w:fill="auto"/>
            <w:noWrap/>
            <w:vAlign w:val="center"/>
            <w:hideMark/>
          </w:tcPr>
          <w:p w14:paraId="6C144C4A" w14:textId="77777777" w:rsidR="004634D3" w:rsidRPr="000337B6" w:rsidRDefault="004634D3" w:rsidP="002F131C">
            <w:pPr>
              <w:jc w:val="both"/>
              <w:rPr>
                <w:rFonts w:ascii="Montserrat Medium" w:eastAsia="Times New Roman" w:hAnsi="Montserrat Medium" w:cs="Calibri"/>
                <w:color w:val="595959"/>
                <w:sz w:val="18"/>
                <w:szCs w:val="18"/>
                <w:lang w:eastAsia="es-MX"/>
              </w:rPr>
            </w:pPr>
            <w:r w:rsidRPr="000337B6">
              <w:rPr>
                <w:rFonts w:ascii="Montserrat Medium" w:eastAsia="Times New Roman" w:hAnsi="Montserrat Medium" w:cs="Calibri"/>
                <w:color w:val="595959"/>
                <w:sz w:val="18"/>
                <w:szCs w:val="18"/>
                <w:lang w:eastAsia="es-MX"/>
              </w:rPr>
              <w:t>Embarcaciones</w:t>
            </w:r>
          </w:p>
        </w:tc>
        <w:tc>
          <w:tcPr>
            <w:tcW w:w="1418" w:type="dxa"/>
            <w:tcBorders>
              <w:top w:val="nil"/>
              <w:left w:val="single" w:sz="4" w:space="0" w:color="auto"/>
              <w:bottom w:val="nil"/>
              <w:right w:val="single" w:sz="4" w:space="0" w:color="auto"/>
            </w:tcBorders>
            <w:shd w:val="clear" w:color="auto" w:fill="auto"/>
            <w:noWrap/>
            <w:vAlign w:val="center"/>
            <w:hideMark/>
          </w:tcPr>
          <w:p w14:paraId="61BFA107" w14:textId="77777777" w:rsidR="004634D3" w:rsidRPr="000337B6" w:rsidRDefault="004634D3" w:rsidP="002F131C">
            <w:pPr>
              <w:jc w:val="center"/>
              <w:rPr>
                <w:rFonts w:ascii="Montserrat Medium" w:eastAsia="Times New Roman" w:hAnsi="Montserrat Medium" w:cs="Calibri"/>
                <w:color w:val="595959"/>
                <w:sz w:val="18"/>
                <w:szCs w:val="18"/>
                <w:lang w:val="es-MX" w:eastAsia="es-MX"/>
              </w:rPr>
            </w:pPr>
            <w:r w:rsidRPr="000337B6">
              <w:rPr>
                <w:rFonts w:ascii="Montserrat Medium" w:eastAsia="Times New Roman" w:hAnsi="Montserrat Medium" w:cs="Calibri"/>
                <w:color w:val="595959"/>
                <w:sz w:val="18"/>
                <w:szCs w:val="18"/>
                <w:lang w:val="es-MX" w:eastAsia="es-MX"/>
              </w:rPr>
              <w:t>20%</w:t>
            </w:r>
          </w:p>
        </w:tc>
      </w:tr>
      <w:tr w:rsidR="004634D3" w:rsidRPr="004634D3" w14:paraId="55D13E23" w14:textId="77777777" w:rsidTr="00636952">
        <w:trPr>
          <w:trHeight w:val="70"/>
        </w:trPr>
        <w:tc>
          <w:tcPr>
            <w:tcW w:w="5245" w:type="dxa"/>
            <w:tcBorders>
              <w:top w:val="nil"/>
              <w:left w:val="single" w:sz="4" w:space="0" w:color="auto"/>
              <w:bottom w:val="nil"/>
              <w:right w:val="nil"/>
            </w:tcBorders>
            <w:shd w:val="clear" w:color="auto" w:fill="auto"/>
            <w:noWrap/>
            <w:vAlign w:val="center"/>
            <w:hideMark/>
          </w:tcPr>
          <w:p w14:paraId="57B5773D" w14:textId="77777777" w:rsidR="004634D3" w:rsidRPr="000337B6" w:rsidRDefault="004634D3" w:rsidP="002F131C">
            <w:pPr>
              <w:jc w:val="both"/>
              <w:rPr>
                <w:rFonts w:ascii="Montserrat Medium" w:eastAsia="Times New Roman" w:hAnsi="Montserrat Medium" w:cs="Calibri"/>
                <w:color w:val="595959"/>
                <w:sz w:val="18"/>
                <w:szCs w:val="18"/>
                <w:lang w:eastAsia="es-MX"/>
              </w:rPr>
            </w:pPr>
            <w:r w:rsidRPr="000337B6">
              <w:rPr>
                <w:rFonts w:ascii="Montserrat Medium" w:eastAsia="Times New Roman" w:hAnsi="Montserrat Medium" w:cs="Calibri"/>
                <w:color w:val="595959"/>
                <w:sz w:val="18"/>
                <w:szCs w:val="18"/>
                <w:lang w:eastAsia="es-MX"/>
              </w:rPr>
              <w:t>Otros equipos de transporte</w:t>
            </w:r>
          </w:p>
        </w:tc>
        <w:tc>
          <w:tcPr>
            <w:tcW w:w="1418" w:type="dxa"/>
            <w:tcBorders>
              <w:top w:val="nil"/>
              <w:left w:val="single" w:sz="4" w:space="0" w:color="auto"/>
              <w:bottom w:val="nil"/>
              <w:right w:val="single" w:sz="4" w:space="0" w:color="auto"/>
            </w:tcBorders>
            <w:shd w:val="clear" w:color="auto" w:fill="auto"/>
            <w:noWrap/>
            <w:vAlign w:val="center"/>
            <w:hideMark/>
          </w:tcPr>
          <w:p w14:paraId="67AC3DF1" w14:textId="77777777" w:rsidR="004634D3" w:rsidRPr="000337B6" w:rsidRDefault="004634D3" w:rsidP="002F131C">
            <w:pPr>
              <w:jc w:val="center"/>
              <w:rPr>
                <w:rFonts w:ascii="Montserrat Medium" w:eastAsia="Times New Roman" w:hAnsi="Montserrat Medium" w:cs="Calibri"/>
                <w:color w:val="595959"/>
                <w:sz w:val="18"/>
                <w:szCs w:val="18"/>
                <w:lang w:val="es-MX" w:eastAsia="es-MX"/>
              </w:rPr>
            </w:pPr>
            <w:r w:rsidRPr="000337B6">
              <w:rPr>
                <w:rFonts w:ascii="Montserrat Medium" w:eastAsia="Times New Roman" w:hAnsi="Montserrat Medium" w:cs="Calibri"/>
                <w:color w:val="595959"/>
                <w:sz w:val="18"/>
                <w:szCs w:val="18"/>
                <w:lang w:val="es-MX" w:eastAsia="es-MX"/>
              </w:rPr>
              <w:t>20%</w:t>
            </w:r>
          </w:p>
        </w:tc>
      </w:tr>
      <w:tr w:rsidR="004634D3" w:rsidRPr="004634D3" w14:paraId="64555E0D" w14:textId="77777777" w:rsidTr="00636952">
        <w:trPr>
          <w:trHeight w:val="215"/>
        </w:trPr>
        <w:tc>
          <w:tcPr>
            <w:tcW w:w="5245" w:type="dxa"/>
            <w:tcBorders>
              <w:top w:val="nil"/>
              <w:left w:val="single" w:sz="4" w:space="0" w:color="auto"/>
              <w:bottom w:val="nil"/>
              <w:right w:val="nil"/>
            </w:tcBorders>
            <w:shd w:val="clear" w:color="auto" w:fill="auto"/>
            <w:noWrap/>
            <w:vAlign w:val="center"/>
            <w:hideMark/>
          </w:tcPr>
          <w:p w14:paraId="57499AA8" w14:textId="77777777" w:rsidR="004634D3" w:rsidRPr="000337B6" w:rsidRDefault="004634D3" w:rsidP="002F131C">
            <w:pPr>
              <w:jc w:val="both"/>
              <w:rPr>
                <w:rFonts w:ascii="Montserrat Medium" w:eastAsia="Times New Roman" w:hAnsi="Montserrat Medium" w:cs="Calibri"/>
                <w:color w:val="595959"/>
                <w:sz w:val="18"/>
                <w:szCs w:val="18"/>
                <w:lang w:eastAsia="es-MX"/>
              </w:rPr>
            </w:pPr>
            <w:r w:rsidRPr="000337B6">
              <w:rPr>
                <w:rFonts w:ascii="Montserrat Medium" w:eastAsia="Times New Roman" w:hAnsi="Montserrat Medium" w:cs="Calibri"/>
                <w:color w:val="595959"/>
                <w:sz w:val="18"/>
                <w:szCs w:val="18"/>
                <w:lang w:eastAsia="es-MX"/>
              </w:rPr>
              <w:t>Equipo de defensa y seguridad</w:t>
            </w:r>
          </w:p>
        </w:tc>
        <w:tc>
          <w:tcPr>
            <w:tcW w:w="1418" w:type="dxa"/>
            <w:tcBorders>
              <w:top w:val="nil"/>
              <w:left w:val="single" w:sz="4" w:space="0" w:color="auto"/>
              <w:bottom w:val="nil"/>
              <w:right w:val="single" w:sz="4" w:space="0" w:color="auto"/>
            </w:tcBorders>
            <w:shd w:val="clear" w:color="auto" w:fill="auto"/>
            <w:noWrap/>
            <w:vAlign w:val="center"/>
            <w:hideMark/>
          </w:tcPr>
          <w:p w14:paraId="3DBF05FC" w14:textId="77777777" w:rsidR="004634D3" w:rsidRPr="000337B6" w:rsidRDefault="004634D3" w:rsidP="002F131C">
            <w:pPr>
              <w:jc w:val="center"/>
              <w:rPr>
                <w:rFonts w:ascii="Montserrat Medium" w:eastAsia="Times New Roman" w:hAnsi="Montserrat Medium" w:cs="Calibri"/>
                <w:color w:val="595959"/>
                <w:sz w:val="18"/>
                <w:szCs w:val="18"/>
                <w:lang w:val="es-MX" w:eastAsia="es-MX"/>
              </w:rPr>
            </w:pPr>
            <w:r w:rsidRPr="000337B6">
              <w:rPr>
                <w:rFonts w:ascii="Montserrat Medium" w:eastAsia="Times New Roman" w:hAnsi="Montserrat Medium" w:cs="Calibri"/>
                <w:color w:val="595959"/>
                <w:sz w:val="18"/>
                <w:szCs w:val="18"/>
                <w:lang w:val="es-MX" w:eastAsia="es-MX"/>
              </w:rPr>
              <w:t>10%</w:t>
            </w:r>
          </w:p>
        </w:tc>
      </w:tr>
      <w:tr w:rsidR="004634D3" w:rsidRPr="004634D3" w14:paraId="5AB26F54" w14:textId="77777777" w:rsidTr="00636952">
        <w:trPr>
          <w:trHeight w:val="134"/>
        </w:trPr>
        <w:tc>
          <w:tcPr>
            <w:tcW w:w="5245" w:type="dxa"/>
            <w:tcBorders>
              <w:top w:val="nil"/>
              <w:left w:val="single" w:sz="4" w:space="0" w:color="auto"/>
              <w:bottom w:val="nil"/>
              <w:right w:val="nil"/>
            </w:tcBorders>
            <w:shd w:val="clear" w:color="auto" w:fill="auto"/>
            <w:noWrap/>
            <w:vAlign w:val="center"/>
            <w:hideMark/>
          </w:tcPr>
          <w:p w14:paraId="3A05F9D5" w14:textId="77777777" w:rsidR="004634D3" w:rsidRPr="000337B6" w:rsidRDefault="004634D3" w:rsidP="002F131C">
            <w:pPr>
              <w:jc w:val="both"/>
              <w:rPr>
                <w:rFonts w:ascii="Montserrat Medium" w:eastAsia="Times New Roman" w:hAnsi="Montserrat Medium" w:cs="Calibri"/>
                <w:color w:val="595959"/>
                <w:sz w:val="18"/>
                <w:szCs w:val="18"/>
                <w:lang w:eastAsia="es-MX"/>
              </w:rPr>
            </w:pPr>
            <w:r w:rsidRPr="000337B6">
              <w:rPr>
                <w:rFonts w:ascii="Montserrat Medium" w:eastAsia="Times New Roman" w:hAnsi="Montserrat Medium" w:cs="Calibri"/>
                <w:color w:val="595959"/>
                <w:sz w:val="18"/>
                <w:szCs w:val="18"/>
                <w:lang w:eastAsia="es-MX"/>
              </w:rPr>
              <w:t>Maquinaria y equipo agropecuario</w:t>
            </w:r>
          </w:p>
        </w:tc>
        <w:tc>
          <w:tcPr>
            <w:tcW w:w="1418" w:type="dxa"/>
            <w:tcBorders>
              <w:top w:val="nil"/>
              <w:left w:val="single" w:sz="4" w:space="0" w:color="auto"/>
              <w:bottom w:val="nil"/>
              <w:right w:val="single" w:sz="4" w:space="0" w:color="auto"/>
            </w:tcBorders>
            <w:shd w:val="clear" w:color="auto" w:fill="auto"/>
            <w:noWrap/>
            <w:vAlign w:val="center"/>
            <w:hideMark/>
          </w:tcPr>
          <w:p w14:paraId="124E2371" w14:textId="77777777" w:rsidR="004634D3" w:rsidRPr="000337B6" w:rsidRDefault="004634D3" w:rsidP="002F131C">
            <w:pPr>
              <w:jc w:val="center"/>
              <w:rPr>
                <w:rFonts w:ascii="Montserrat Medium" w:eastAsia="Times New Roman" w:hAnsi="Montserrat Medium" w:cs="Calibri"/>
                <w:color w:val="595959"/>
                <w:sz w:val="18"/>
                <w:szCs w:val="18"/>
                <w:lang w:val="es-MX" w:eastAsia="es-MX"/>
              </w:rPr>
            </w:pPr>
            <w:r w:rsidRPr="000337B6">
              <w:rPr>
                <w:rFonts w:ascii="Montserrat Medium" w:eastAsia="Times New Roman" w:hAnsi="Montserrat Medium" w:cs="Calibri"/>
                <w:color w:val="595959"/>
                <w:sz w:val="18"/>
                <w:szCs w:val="18"/>
                <w:lang w:val="es-MX" w:eastAsia="es-MX"/>
              </w:rPr>
              <w:t>10%</w:t>
            </w:r>
          </w:p>
        </w:tc>
      </w:tr>
      <w:tr w:rsidR="004634D3" w:rsidRPr="004634D3" w14:paraId="4F9E9E3E" w14:textId="77777777" w:rsidTr="00636952">
        <w:trPr>
          <w:trHeight w:val="207"/>
        </w:trPr>
        <w:tc>
          <w:tcPr>
            <w:tcW w:w="5245" w:type="dxa"/>
            <w:tcBorders>
              <w:top w:val="nil"/>
              <w:left w:val="single" w:sz="4" w:space="0" w:color="auto"/>
              <w:bottom w:val="nil"/>
              <w:right w:val="nil"/>
            </w:tcBorders>
            <w:shd w:val="clear" w:color="auto" w:fill="auto"/>
            <w:noWrap/>
            <w:vAlign w:val="center"/>
            <w:hideMark/>
          </w:tcPr>
          <w:p w14:paraId="0A65DC16" w14:textId="77777777" w:rsidR="004634D3" w:rsidRPr="000337B6" w:rsidRDefault="004634D3" w:rsidP="002F131C">
            <w:pPr>
              <w:jc w:val="both"/>
              <w:rPr>
                <w:rFonts w:ascii="Montserrat Medium" w:eastAsia="Times New Roman" w:hAnsi="Montserrat Medium" w:cs="Calibri"/>
                <w:color w:val="595959"/>
                <w:sz w:val="18"/>
                <w:szCs w:val="18"/>
                <w:lang w:eastAsia="es-MX"/>
              </w:rPr>
            </w:pPr>
            <w:r w:rsidRPr="000337B6">
              <w:rPr>
                <w:rFonts w:ascii="Montserrat Medium" w:eastAsia="Times New Roman" w:hAnsi="Montserrat Medium" w:cs="Calibri"/>
                <w:color w:val="595959"/>
                <w:sz w:val="18"/>
                <w:szCs w:val="18"/>
                <w:lang w:eastAsia="es-MX"/>
              </w:rPr>
              <w:t>Maquinaria y equipo industrial</w:t>
            </w:r>
          </w:p>
        </w:tc>
        <w:tc>
          <w:tcPr>
            <w:tcW w:w="1418" w:type="dxa"/>
            <w:tcBorders>
              <w:top w:val="nil"/>
              <w:left w:val="single" w:sz="4" w:space="0" w:color="auto"/>
              <w:bottom w:val="nil"/>
              <w:right w:val="single" w:sz="4" w:space="0" w:color="auto"/>
            </w:tcBorders>
            <w:shd w:val="clear" w:color="auto" w:fill="auto"/>
            <w:noWrap/>
            <w:vAlign w:val="center"/>
            <w:hideMark/>
          </w:tcPr>
          <w:p w14:paraId="00B8E10F" w14:textId="77777777" w:rsidR="004634D3" w:rsidRPr="000337B6" w:rsidRDefault="004634D3" w:rsidP="002F131C">
            <w:pPr>
              <w:jc w:val="center"/>
              <w:rPr>
                <w:rFonts w:ascii="Montserrat Medium" w:eastAsia="Times New Roman" w:hAnsi="Montserrat Medium" w:cs="Calibri"/>
                <w:color w:val="595959"/>
                <w:sz w:val="18"/>
                <w:szCs w:val="18"/>
                <w:lang w:val="es-MX" w:eastAsia="es-MX"/>
              </w:rPr>
            </w:pPr>
            <w:r w:rsidRPr="000337B6">
              <w:rPr>
                <w:rFonts w:ascii="Montserrat Medium" w:eastAsia="Times New Roman" w:hAnsi="Montserrat Medium" w:cs="Calibri"/>
                <w:color w:val="595959"/>
                <w:sz w:val="18"/>
                <w:szCs w:val="18"/>
                <w:lang w:val="es-MX" w:eastAsia="es-MX"/>
              </w:rPr>
              <w:t>10%</w:t>
            </w:r>
          </w:p>
        </w:tc>
      </w:tr>
      <w:tr w:rsidR="004634D3" w:rsidRPr="004634D3" w14:paraId="716CAF96" w14:textId="77777777" w:rsidTr="00636952">
        <w:trPr>
          <w:trHeight w:val="300"/>
        </w:trPr>
        <w:tc>
          <w:tcPr>
            <w:tcW w:w="5245" w:type="dxa"/>
            <w:tcBorders>
              <w:top w:val="nil"/>
              <w:left w:val="single" w:sz="4" w:space="0" w:color="auto"/>
              <w:bottom w:val="nil"/>
              <w:right w:val="nil"/>
            </w:tcBorders>
            <w:shd w:val="clear" w:color="auto" w:fill="auto"/>
            <w:noWrap/>
            <w:vAlign w:val="center"/>
            <w:hideMark/>
          </w:tcPr>
          <w:p w14:paraId="1329874B" w14:textId="77777777" w:rsidR="004634D3" w:rsidRPr="000337B6" w:rsidRDefault="004634D3" w:rsidP="002F131C">
            <w:pPr>
              <w:jc w:val="both"/>
              <w:rPr>
                <w:rFonts w:ascii="Montserrat Medium" w:eastAsia="Times New Roman" w:hAnsi="Montserrat Medium" w:cs="Calibri"/>
                <w:color w:val="595959"/>
                <w:sz w:val="18"/>
                <w:szCs w:val="18"/>
                <w:lang w:eastAsia="es-MX"/>
              </w:rPr>
            </w:pPr>
            <w:r w:rsidRPr="000337B6">
              <w:rPr>
                <w:rFonts w:ascii="Montserrat Medium" w:eastAsia="Times New Roman" w:hAnsi="Montserrat Medium" w:cs="Calibri"/>
                <w:color w:val="595959"/>
                <w:sz w:val="18"/>
                <w:szCs w:val="18"/>
                <w:lang w:eastAsia="es-MX"/>
              </w:rPr>
              <w:t>Sistemas de aire acondicionado, calefacción y de refrigeración industrial y comercial</w:t>
            </w:r>
          </w:p>
        </w:tc>
        <w:tc>
          <w:tcPr>
            <w:tcW w:w="1418" w:type="dxa"/>
            <w:tcBorders>
              <w:top w:val="nil"/>
              <w:left w:val="single" w:sz="4" w:space="0" w:color="auto"/>
              <w:bottom w:val="nil"/>
              <w:right w:val="single" w:sz="4" w:space="0" w:color="auto"/>
            </w:tcBorders>
            <w:shd w:val="clear" w:color="auto" w:fill="auto"/>
            <w:noWrap/>
            <w:vAlign w:val="center"/>
            <w:hideMark/>
          </w:tcPr>
          <w:p w14:paraId="3B381439" w14:textId="77777777" w:rsidR="004634D3" w:rsidRPr="000337B6" w:rsidRDefault="004634D3" w:rsidP="002F131C">
            <w:pPr>
              <w:jc w:val="center"/>
              <w:rPr>
                <w:rFonts w:ascii="Montserrat Medium" w:eastAsia="Times New Roman" w:hAnsi="Montserrat Medium" w:cs="Calibri"/>
                <w:color w:val="595959"/>
                <w:sz w:val="18"/>
                <w:szCs w:val="18"/>
                <w:lang w:val="es-MX" w:eastAsia="es-MX"/>
              </w:rPr>
            </w:pPr>
            <w:r w:rsidRPr="000337B6">
              <w:rPr>
                <w:rFonts w:ascii="Montserrat Medium" w:eastAsia="Times New Roman" w:hAnsi="Montserrat Medium" w:cs="Calibri"/>
                <w:color w:val="595959"/>
                <w:sz w:val="18"/>
                <w:szCs w:val="18"/>
                <w:lang w:val="es-MX" w:eastAsia="es-MX"/>
              </w:rPr>
              <w:t>10%</w:t>
            </w:r>
          </w:p>
        </w:tc>
      </w:tr>
      <w:tr w:rsidR="004634D3" w:rsidRPr="004634D3" w14:paraId="22635979" w14:textId="77777777" w:rsidTr="00636952">
        <w:trPr>
          <w:trHeight w:val="259"/>
        </w:trPr>
        <w:tc>
          <w:tcPr>
            <w:tcW w:w="5245" w:type="dxa"/>
            <w:tcBorders>
              <w:top w:val="nil"/>
              <w:left w:val="single" w:sz="4" w:space="0" w:color="auto"/>
              <w:bottom w:val="nil"/>
              <w:right w:val="nil"/>
            </w:tcBorders>
            <w:shd w:val="clear" w:color="auto" w:fill="auto"/>
            <w:noWrap/>
            <w:vAlign w:val="center"/>
            <w:hideMark/>
          </w:tcPr>
          <w:p w14:paraId="7199085F" w14:textId="77777777" w:rsidR="004634D3" w:rsidRPr="000337B6" w:rsidRDefault="004634D3" w:rsidP="002F131C">
            <w:pPr>
              <w:jc w:val="both"/>
              <w:rPr>
                <w:rFonts w:ascii="Montserrat Medium" w:eastAsia="Times New Roman" w:hAnsi="Montserrat Medium" w:cs="Calibri"/>
                <w:color w:val="595959"/>
                <w:sz w:val="18"/>
                <w:szCs w:val="18"/>
                <w:lang w:eastAsia="es-MX"/>
              </w:rPr>
            </w:pPr>
            <w:r w:rsidRPr="000337B6">
              <w:rPr>
                <w:rFonts w:ascii="Montserrat Medium" w:eastAsia="Times New Roman" w:hAnsi="Montserrat Medium" w:cs="Calibri"/>
                <w:color w:val="595959"/>
                <w:sz w:val="18"/>
                <w:szCs w:val="18"/>
                <w:lang w:eastAsia="es-MX"/>
              </w:rPr>
              <w:t>Equipo de comunicación y telecomunicación</w:t>
            </w:r>
          </w:p>
        </w:tc>
        <w:tc>
          <w:tcPr>
            <w:tcW w:w="1418" w:type="dxa"/>
            <w:tcBorders>
              <w:top w:val="nil"/>
              <w:left w:val="single" w:sz="4" w:space="0" w:color="auto"/>
              <w:bottom w:val="nil"/>
              <w:right w:val="single" w:sz="4" w:space="0" w:color="auto"/>
            </w:tcBorders>
            <w:shd w:val="clear" w:color="auto" w:fill="auto"/>
            <w:noWrap/>
            <w:vAlign w:val="center"/>
            <w:hideMark/>
          </w:tcPr>
          <w:p w14:paraId="16E32085" w14:textId="77777777" w:rsidR="004634D3" w:rsidRPr="000337B6" w:rsidRDefault="004634D3" w:rsidP="002F131C">
            <w:pPr>
              <w:jc w:val="center"/>
              <w:rPr>
                <w:rFonts w:ascii="Montserrat Medium" w:eastAsia="Times New Roman" w:hAnsi="Montserrat Medium" w:cs="Calibri"/>
                <w:color w:val="595959"/>
                <w:sz w:val="18"/>
                <w:szCs w:val="18"/>
                <w:lang w:val="es-MX" w:eastAsia="es-MX"/>
              </w:rPr>
            </w:pPr>
            <w:r w:rsidRPr="000337B6">
              <w:rPr>
                <w:rFonts w:ascii="Montserrat Medium" w:eastAsia="Times New Roman" w:hAnsi="Montserrat Medium" w:cs="Calibri"/>
                <w:color w:val="595959"/>
                <w:sz w:val="18"/>
                <w:szCs w:val="18"/>
                <w:lang w:val="es-MX" w:eastAsia="es-MX"/>
              </w:rPr>
              <w:t>10%</w:t>
            </w:r>
          </w:p>
        </w:tc>
      </w:tr>
      <w:tr w:rsidR="004634D3" w:rsidRPr="004634D3" w14:paraId="5E081CA3" w14:textId="77777777" w:rsidTr="00636952">
        <w:trPr>
          <w:trHeight w:val="136"/>
        </w:trPr>
        <w:tc>
          <w:tcPr>
            <w:tcW w:w="5245" w:type="dxa"/>
            <w:tcBorders>
              <w:top w:val="nil"/>
              <w:left w:val="single" w:sz="4" w:space="0" w:color="auto"/>
              <w:right w:val="nil"/>
            </w:tcBorders>
            <w:shd w:val="clear" w:color="auto" w:fill="auto"/>
            <w:noWrap/>
            <w:vAlign w:val="center"/>
            <w:hideMark/>
          </w:tcPr>
          <w:p w14:paraId="586C318D" w14:textId="77777777" w:rsidR="004634D3" w:rsidRPr="000337B6" w:rsidRDefault="004634D3" w:rsidP="002F131C">
            <w:pPr>
              <w:jc w:val="both"/>
              <w:rPr>
                <w:rFonts w:ascii="Montserrat Medium" w:eastAsia="Times New Roman" w:hAnsi="Montserrat Medium" w:cs="Calibri"/>
                <w:color w:val="595959"/>
                <w:sz w:val="18"/>
                <w:szCs w:val="18"/>
                <w:lang w:eastAsia="es-MX"/>
              </w:rPr>
            </w:pPr>
            <w:r w:rsidRPr="000337B6">
              <w:rPr>
                <w:rFonts w:ascii="Montserrat Medium" w:eastAsia="Times New Roman" w:hAnsi="Montserrat Medium" w:cs="Calibri"/>
                <w:color w:val="595959"/>
                <w:sz w:val="18"/>
                <w:szCs w:val="18"/>
                <w:lang w:eastAsia="es-MX"/>
              </w:rPr>
              <w:t>Equipos de generación eléctrica, aparatos y accesorios eléctricos</w:t>
            </w:r>
          </w:p>
        </w:tc>
        <w:tc>
          <w:tcPr>
            <w:tcW w:w="1418" w:type="dxa"/>
            <w:tcBorders>
              <w:top w:val="nil"/>
              <w:left w:val="single" w:sz="4" w:space="0" w:color="auto"/>
              <w:right w:val="single" w:sz="4" w:space="0" w:color="auto"/>
            </w:tcBorders>
            <w:shd w:val="clear" w:color="auto" w:fill="auto"/>
            <w:noWrap/>
            <w:vAlign w:val="center"/>
            <w:hideMark/>
          </w:tcPr>
          <w:p w14:paraId="49B5C9B6" w14:textId="77777777" w:rsidR="004634D3" w:rsidRPr="000337B6" w:rsidRDefault="004634D3" w:rsidP="002F131C">
            <w:pPr>
              <w:jc w:val="center"/>
              <w:rPr>
                <w:rFonts w:ascii="Montserrat Medium" w:eastAsia="Times New Roman" w:hAnsi="Montserrat Medium" w:cs="Calibri"/>
                <w:color w:val="595959"/>
                <w:sz w:val="18"/>
                <w:szCs w:val="18"/>
                <w:lang w:val="es-MX" w:eastAsia="es-MX"/>
              </w:rPr>
            </w:pPr>
            <w:r w:rsidRPr="000337B6">
              <w:rPr>
                <w:rFonts w:ascii="Montserrat Medium" w:eastAsia="Times New Roman" w:hAnsi="Montserrat Medium" w:cs="Calibri"/>
                <w:color w:val="595959"/>
                <w:sz w:val="18"/>
                <w:szCs w:val="18"/>
                <w:lang w:val="es-MX" w:eastAsia="es-MX"/>
              </w:rPr>
              <w:t>10%</w:t>
            </w:r>
          </w:p>
        </w:tc>
      </w:tr>
      <w:tr w:rsidR="004634D3" w:rsidRPr="004634D3" w14:paraId="0D0D9608" w14:textId="77777777" w:rsidTr="00636952">
        <w:trPr>
          <w:trHeight w:val="209"/>
        </w:trPr>
        <w:tc>
          <w:tcPr>
            <w:tcW w:w="5245" w:type="dxa"/>
            <w:tcBorders>
              <w:top w:val="nil"/>
              <w:left w:val="single" w:sz="4" w:space="0" w:color="auto"/>
              <w:right w:val="nil"/>
            </w:tcBorders>
            <w:shd w:val="clear" w:color="auto" w:fill="auto"/>
            <w:noWrap/>
            <w:vAlign w:val="center"/>
            <w:hideMark/>
          </w:tcPr>
          <w:p w14:paraId="783F8B07" w14:textId="77777777" w:rsidR="004634D3" w:rsidRPr="000337B6" w:rsidRDefault="004634D3" w:rsidP="002F131C">
            <w:pPr>
              <w:jc w:val="both"/>
              <w:rPr>
                <w:rFonts w:ascii="Montserrat Medium" w:eastAsia="Times New Roman" w:hAnsi="Montserrat Medium" w:cs="Calibri"/>
                <w:color w:val="595959"/>
                <w:sz w:val="18"/>
                <w:szCs w:val="18"/>
                <w:lang w:eastAsia="es-MX"/>
              </w:rPr>
            </w:pPr>
            <w:r w:rsidRPr="000337B6">
              <w:rPr>
                <w:rFonts w:ascii="Montserrat Medium" w:eastAsia="Times New Roman" w:hAnsi="Montserrat Medium" w:cs="Calibri"/>
                <w:color w:val="595959"/>
                <w:sz w:val="18"/>
                <w:szCs w:val="18"/>
                <w:lang w:eastAsia="es-MX"/>
              </w:rPr>
              <w:t>Herramientas y maquinas-herramientas</w:t>
            </w:r>
          </w:p>
        </w:tc>
        <w:tc>
          <w:tcPr>
            <w:tcW w:w="1418" w:type="dxa"/>
            <w:tcBorders>
              <w:top w:val="nil"/>
              <w:left w:val="single" w:sz="4" w:space="0" w:color="auto"/>
              <w:right w:val="single" w:sz="4" w:space="0" w:color="auto"/>
            </w:tcBorders>
            <w:shd w:val="clear" w:color="auto" w:fill="auto"/>
            <w:noWrap/>
            <w:vAlign w:val="center"/>
            <w:hideMark/>
          </w:tcPr>
          <w:p w14:paraId="38C58860" w14:textId="77777777" w:rsidR="004634D3" w:rsidRPr="000337B6" w:rsidRDefault="004634D3" w:rsidP="002F131C">
            <w:pPr>
              <w:jc w:val="center"/>
              <w:rPr>
                <w:rFonts w:ascii="Montserrat Medium" w:eastAsia="Times New Roman" w:hAnsi="Montserrat Medium" w:cs="Calibri"/>
                <w:color w:val="595959"/>
                <w:sz w:val="18"/>
                <w:szCs w:val="18"/>
                <w:lang w:val="es-MX" w:eastAsia="es-MX"/>
              </w:rPr>
            </w:pPr>
            <w:r w:rsidRPr="000337B6">
              <w:rPr>
                <w:rFonts w:ascii="Montserrat Medium" w:eastAsia="Times New Roman" w:hAnsi="Montserrat Medium" w:cs="Calibri"/>
                <w:color w:val="595959"/>
                <w:sz w:val="18"/>
                <w:szCs w:val="18"/>
                <w:lang w:val="es-MX" w:eastAsia="es-MX"/>
              </w:rPr>
              <w:t>10%</w:t>
            </w:r>
          </w:p>
        </w:tc>
      </w:tr>
      <w:tr w:rsidR="004634D3" w:rsidRPr="005F20F1" w14:paraId="1088036F" w14:textId="77777777" w:rsidTr="00636952">
        <w:trPr>
          <w:trHeight w:val="175"/>
        </w:trPr>
        <w:tc>
          <w:tcPr>
            <w:tcW w:w="5245" w:type="dxa"/>
            <w:tcBorders>
              <w:left w:val="single" w:sz="4" w:space="0" w:color="auto"/>
              <w:bottom w:val="single" w:sz="4" w:space="0" w:color="auto"/>
              <w:right w:val="nil"/>
            </w:tcBorders>
            <w:shd w:val="clear" w:color="auto" w:fill="auto"/>
            <w:noWrap/>
            <w:vAlign w:val="center"/>
            <w:hideMark/>
          </w:tcPr>
          <w:p w14:paraId="5D416B80" w14:textId="77777777" w:rsidR="004634D3" w:rsidRPr="000337B6" w:rsidRDefault="004634D3" w:rsidP="002F131C">
            <w:pPr>
              <w:jc w:val="both"/>
              <w:rPr>
                <w:rFonts w:ascii="Montserrat Medium" w:eastAsia="Times New Roman" w:hAnsi="Montserrat Medium" w:cs="Calibri"/>
                <w:color w:val="595959"/>
                <w:sz w:val="18"/>
                <w:szCs w:val="18"/>
                <w:lang w:eastAsia="es-MX"/>
              </w:rPr>
            </w:pPr>
            <w:r w:rsidRPr="000337B6">
              <w:rPr>
                <w:rFonts w:ascii="Montserrat Medium" w:eastAsia="Times New Roman" w:hAnsi="Montserrat Medium" w:cs="Calibri"/>
                <w:color w:val="595959"/>
                <w:sz w:val="18"/>
                <w:szCs w:val="18"/>
                <w:lang w:eastAsia="es-MX"/>
              </w:rPr>
              <w:t>Otros equipos</w:t>
            </w:r>
          </w:p>
        </w:tc>
        <w:tc>
          <w:tcPr>
            <w:tcW w:w="1418" w:type="dxa"/>
            <w:tcBorders>
              <w:left w:val="single" w:sz="4" w:space="0" w:color="auto"/>
              <w:bottom w:val="single" w:sz="4" w:space="0" w:color="auto"/>
              <w:right w:val="single" w:sz="4" w:space="0" w:color="auto"/>
            </w:tcBorders>
            <w:shd w:val="clear" w:color="auto" w:fill="auto"/>
            <w:noWrap/>
            <w:vAlign w:val="center"/>
            <w:hideMark/>
          </w:tcPr>
          <w:p w14:paraId="31C5E8FD" w14:textId="77777777" w:rsidR="004634D3" w:rsidRPr="000337B6" w:rsidRDefault="004634D3" w:rsidP="002F131C">
            <w:pPr>
              <w:jc w:val="center"/>
              <w:rPr>
                <w:rFonts w:ascii="Montserrat Medium" w:eastAsia="Times New Roman" w:hAnsi="Montserrat Medium" w:cs="Calibri"/>
                <w:color w:val="595959"/>
                <w:sz w:val="18"/>
                <w:szCs w:val="18"/>
                <w:lang w:val="es-MX" w:eastAsia="es-MX"/>
              </w:rPr>
            </w:pPr>
            <w:r w:rsidRPr="000337B6">
              <w:rPr>
                <w:rFonts w:ascii="Montserrat Medium" w:eastAsia="Times New Roman" w:hAnsi="Montserrat Medium" w:cs="Calibri"/>
                <w:color w:val="595959"/>
                <w:sz w:val="18"/>
                <w:szCs w:val="18"/>
                <w:lang w:val="es-MX" w:eastAsia="es-MX"/>
              </w:rPr>
              <w:t>10%</w:t>
            </w:r>
          </w:p>
        </w:tc>
      </w:tr>
    </w:tbl>
    <w:p w14:paraId="439CB991" w14:textId="77777777" w:rsidR="004634D3" w:rsidRDefault="004634D3" w:rsidP="002F131C">
      <w:pPr>
        <w:pStyle w:val="Prrafodelista"/>
        <w:ind w:left="1068"/>
        <w:jc w:val="both"/>
        <w:rPr>
          <w:rFonts w:ascii="Montserrat Medium" w:eastAsia="Times New Roman" w:hAnsi="Montserrat Medium" w:cs="Arial"/>
          <w:color w:val="595959"/>
          <w:sz w:val="22"/>
        </w:rPr>
      </w:pPr>
    </w:p>
    <w:p w14:paraId="2D70D146" w14:textId="77777777" w:rsidR="00636952" w:rsidRDefault="00636952" w:rsidP="002F131C">
      <w:pPr>
        <w:pStyle w:val="Prrafodelista"/>
        <w:ind w:left="1068"/>
        <w:jc w:val="both"/>
        <w:rPr>
          <w:rFonts w:ascii="Montserrat Medium" w:eastAsia="Times New Roman" w:hAnsi="Montserrat Medium" w:cs="Arial"/>
          <w:color w:val="595959"/>
          <w:sz w:val="22"/>
        </w:rPr>
      </w:pPr>
    </w:p>
    <w:p w14:paraId="4A20B8DB" w14:textId="77777777" w:rsidR="00636952" w:rsidRDefault="00636952" w:rsidP="002F131C">
      <w:pPr>
        <w:pStyle w:val="Prrafodelista"/>
        <w:ind w:left="1068"/>
        <w:jc w:val="both"/>
        <w:rPr>
          <w:rFonts w:ascii="Montserrat Medium" w:eastAsia="Times New Roman" w:hAnsi="Montserrat Medium" w:cs="Arial"/>
          <w:color w:val="595959"/>
          <w:sz w:val="22"/>
        </w:rPr>
      </w:pPr>
    </w:p>
    <w:p w14:paraId="5C1926AC" w14:textId="77777777" w:rsidR="00636952" w:rsidRDefault="00636952" w:rsidP="002F131C">
      <w:pPr>
        <w:pStyle w:val="Prrafodelista"/>
        <w:ind w:left="1068"/>
        <w:jc w:val="both"/>
        <w:rPr>
          <w:rFonts w:ascii="Montserrat Medium" w:eastAsia="Times New Roman" w:hAnsi="Montserrat Medium" w:cs="Arial"/>
          <w:color w:val="595959"/>
          <w:sz w:val="22"/>
        </w:rPr>
      </w:pPr>
    </w:p>
    <w:p w14:paraId="4130C241" w14:textId="77777777" w:rsidR="000337B6" w:rsidRPr="000337B6" w:rsidRDefault="000337B6" w:rsidP="002F131C">
      <w:pPr>
        <w:rPr>
          <w:rFonts w:ascii="Montserrat Medium" w:eastAsia="Times New Roman" w:hAnsi="Montserrat Medium" w:cs="Arial"/>
          <w:iCs/>
          <w:color w:val="595959"/>
          <w:sz w:val="22"/>
        </w:rPr>
      </w:pPr>
      <w:r w:rsidRPr="000337B6">
        <w:rPr>
          <w:rFonts w:ascii="Montserrat Medium" w:eastAsia="Times New Roman" w:hAnsi="Montserrat Medium" w:cs="Arial"/>
          <w:iCs/>
          <w:color w:val="595959"/>
          <w:sz w:val="22"/>
        </w:rPr>
        <w:lastRenderedPageBreak/>
        <w:t>La depreciación de los activos intangibles inicia a partir del mes siguiente a la fecha de adquisición, utilizando el método de línea recta, aplicando los siguientes porcentajes:</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2268"/>
        <w:gridCol w:w="1689"/>
      </w:tblGrid>
      <w:tr w:rsidR="000337B6" w:rsidRPr="000337B6" w14:paraId="6034A36F" w14:textId="77777777" w:rsidTr="0037070D">
        <w:trPr>
          <w:trHeight w:val="283"/>
          <w:jc w:val="center"/>
        </w:trPr>
        <w:tc>
          <w:tcPr>
            <w:tcW w:w="2268" w:type="dxa"/>
            <w:tcBorders>
              <w:top w:val="single" w:sz="4" w:space="0" w:color="auto"/>
              <w:bottom w:val="single" w:sz="4" w:space="0" w:color="auto"/>
            </w:tcBorders>
            <w:shd w:val="clear" w:color="auto" w:fill="BFBFBF" w:themeFill="background1" w:themeFillShade="BF"/>
            <w:vAlign w:val="center"/>
          </w:tcPr>
          <w:p w14:paraId="3781D4DC" w14:textId="77777777" w:rsidR="000337B6" w:rsidRPr="000337B6" w:rsidRDefault="000337B6" w:rsidP="002F131C">
            <w:pPr>
              <w:jc w:val="center"/>
              <w:rPr>
                <w:rFonts w:ascii="Montserrat Medium" w:eastAsia="Times New Roman" w:hAnsi="Montserrat Medium" w:cs="Arial"/>
                <w:sz w:val="18"/>
                <w:szCs w:val="18"/>
                <w:lang w:eastAsia="en-US"/>
              </w:rPr>
            </w:pPr>
            <w:r w:rsidRPr="000337B6">
              <w:rPr>
                <w:rFonts w:ascii="Montserrat Medium" w:eastAsia="Times New Roman" w:hAnsi="Montserrat Medium" w:cs="Arial"/>
                <w:b/>
                <w:sz w:val="18"/>
                <w:szCs w:val="18"/>
                <w:lang w:eastAsia="en-US"/>
              </w:rPr>
              <w:t>Concepto</w:t>
            </w:r>
          </w:p>
        </w:tc>
        <w:tc>
          <w:tcPr>
            <w:tcW w:w="1689" w:type="dxa"/>
            <w:tcBorders>
              <w:top w:val="single" w:sz="4" w:space="0" w:color="auto"/>
              <w:bottom w:val="single" w:sz="4" w:space="0" w:color="auto"/>
            </w:tcBorders>
            <w:shd w:val="clear" w:color="auto" w:fill="BFBFBF" w:themeFill="background1" w:themeFillShade="BF"/>
            <w:vAlign w:val="center"/>
          </w:tcPr>
          <w:p w14:paraId="0ACFC7E7" w14:textId="77777777" w:rsidR="000337B6" w:rsidRPr="000337B6" w:rsidRDefault="000337B6" w:rsidP="002F131C">
            <w:pPr>
              <w:jc w:val="center"/>
              <w:rPr>
                <w:rFonts w:ascii="Montserrat Medium" w:eastAsia="Times New Roman" w:hAnsi="Montserrat Medium" w:cs="Arial"/>
                <w:b/>
                <w:sz w:val="18"/>
                <w:szCs w:val="18"/>
                <w:lang w:eastAsia="en-US"/>
              </w:rPr>
            </w:pPr>
            <w:r w:rsidRPr="000337B6">
              <w:rPr>
                <w:rFonts w:ascii="Montserrat Medium" w:hAnsi="Montserrat Medium" w:cs="Calibri"/>
                <w:b/>
                <w:bCs/>
                <w:color w:val="000000"/>
                <w:sz w:val="18"/>
                <w:szCs w:val="18"/>
              </w:rPr>
              <w:t>Porcentaje</w:t>
            </w:r>
          </w:p>
        </w:tc>
      </w:tr>
      <w:tr w:rsidR="000337B6" w:rsidRPr="000337B6" w14:paraId="2AA7A4A2" w14:textId="77777777" w:rsidTr="0037070D">
        <w:trPr>
          <w:trHeight w:val="255"/>
          <w:jc w:val="center"/>
        </w:trPr>
        <w:tc>
          <w:tcPr>
            <w:tcW w:w="2268" w:type="dxa"/>
            <w:tcBorders>
              <w:top w:val="single" w:sz="4" w:space="0" w:color="auto"/>
              <w:bottom w:val="nil"/>
            </w:tcBorders>
            <w:vAlign w:val="bottom"/>
          </w:tcPr>
          <w:p w14:paraId="5E6ED435" w14:textId="77777777" w:rsidR="000337B6" w:rsidRPr="000337B6" w:rsidRDefault="000337B6" w:rsidP="002F131C">
            <w:pPr>
              <w:jc w:val="both"/>
              <w:rPr>
                <w:rFonts w:ascii="Montserrat Medium" w:eastAsia="Times New Roman" w:hAnsi="Montserrat Medium" w:cs="Calibri"/>
                <w:color w:val="595959"/>
                <w:sz w:val="18"/>
                <w:szCs w:val="18"/>
                <w:lang w:eastAsia="es-MX"/>
              </w:rPr>
            </w:pPr>
            <w:r w:rsidRPr="000337B6">
              <w:rPr>
                <w:rFonts w:ascii="Montserrat Medium" w:eastAsia="Times New Roman" w:hAnsi="Montserrat Medium" w:cs="Calibri"/>
                <w:color w:val="595959"/>
                <w:sz w:val="18"/>
                <w:szCs w:val="18"/>
                <w:lang w:eastAsia="es-MX"/>
              </w:rPr>
              <w:t>Software</w:t>
            </w:r>
          </w:p>
        </w:tc>
        <w:tc>
          <w:tcPr>
            <w:tcW w:w="1689" w:type="dxa"/>
            <w:tcBorders>
              <w:top w:val="single" w:sz="4" w:space="0" w:color="auto"/>
              <w:bottom w:val="nil"/>
            </w:tcBorders>
            <w:vAlign w:val="center"/>
          </w:tcPr>
          <w:p w14:paraId="5CCFCAE5" w14:textId="77777777" w:rsidR="000337B6" w:rsidRPr="000337B6" w:rsidRDefault="000337B6" w:rsidP="002F131C">
            <w:pPr>
              <w:jc w:val="center"/>
              <w:rPr>
                <w:rFonts w:ascii="Montserrat Medium" w:eastAsia="Times New Roman" w:hAnsi="Montserrat Medium" w:cs="Calibri"/>
                <w:color w:val="595959"/>
                <w:sz w:val="18"/>
                <w:szCs w:val="18"/>
                <w:lang w:val="es-MX" w:eastAsia="es-MX"/>
              </w:rPr>
            </w:pPr>
            <w:r w:rsidRPr="000337B6">
              <w:rPr>
                <w:rFonts w:ascii="Montserrat Medium" w:eastAsia="Times New Roman" w:hAnsi="Montserrat Medium" w:cs="Calibri"/>
                <w:color w:val="595959"/>
                <w:sz w:val="18"/>
                <w:szCs w:val="18"/>
                <w:lang w:val="es-MX" w:eastAsia="es-MX"/>
              </w:rPr>
              <w:t>25%</w:t>
            </w:r>
          </w:p>
        </w:tc>
      </w:tr>
      <w:tr w:rsidR="000337B6" w:rsidRPr="00C92CAA" w14:paraId="3E1FECA1" w14:textId="77777777" w:rsidTr="0037070D">
        <w:trPr>
          <w:trHeight w:val="255"/>
          <w:jc w:val="center"/>
        </w:trPr>
        <w:tc>
          <w:tcPr>
            <w:tcW w:w="2268" w:type="dxa"/>
            <w:tcBorders>
              <w:top w:val="nil"/>
              <w:bottom w:val="single" w:sz="4" w:space="0" w:color="auto"/>
            </w:tcBorders>
            <w:vAlign w:val="bottom"/>
          </w:tcPr>
          <w:p w14:paraId="7C63B4D6" w14:textId="77777777" w:rsidR="000337B6" w:rsidRPr="000337B6" w:rsidRDefault="000337B6" w:rsidP="002F131C">
            <w:pPr>
              <w:jc w:val="both"/>
              <w:rPr>
                <w:rFonts w:ascii="Montserrat Medium" w:eastAsia="Times New Roman" w:hAnsi="Montserrat Medium" w:cs="Calibri"/>
                <w:color w:val="595959"/>
                <w:sz w:val="18"/>
                <w:szCs w:val="18"/>
                <w:lang w:eastAsia="es-MX"/>
              </w:rPr>
            </w:pPr>
            <w:r w:rsidRPr="000337B6">
              <w:rPr>
                <w:rFonts w:ascii="Montserrat Medium" w:eastAsia="Times New Roman" w:hAnsi="Montserrat Medium" w:cs="Calibri"/>
                <w:color w:val="595959"/>
                <w:sz w:val="18"/>
                <w:szCs w:val="18"/>
                <w:lang w:eastAsia="es-MX"/>
              </w:rPr>
              <w:t>Licencias</w:t>
            </w:r>
          </w:p>
        </w:tc>
        <w:tc>
          <w:tcPr>
            <w:tcW w:w="1689" w:type="dxa"/>
            <w:tcBorders>
              <w:top w:val="nil"/>
              <w:bottom w:val="single" w:sz="4" w:space="0" w:color="auto"/>
            </w:tcBorders>
            <w:vAlign w:val="center"/>
          </w:tcPr>
          <w:p w14:paraId="181D7BB7" w14:textId="77777777" w:rsidR="000337B6" w:rsidRPr="000337B6" w:rsidRDefault="000337B6" w:rsidP="002F131C">
            <w:pPr>
              <w:jc w:val="center"/>
              <w:rPr>
                <w:rFonts w:ascii="Montserrat Medium" w:eastAsia="Times New Roman" w:hAnsi="Montserrat Medium" w:cs="Calibri"/>
                <w:color w:val="595959"/>
                <w:sz w:val="18"/>
                <w:szCs w:val="18"/>
                <w:lang w:val="es-MX" w:eastAsia="es-MX"/>
              </w:rPr>
            </w:pPr>
            <w:r w:rsidRPr="000337B6">
              <w:rPr>
                <w:rFonts w:ascii="Montserrat Medium" w:eastAsia="Times New Roman" w:hAnsi="Montserrat Medium" w:cs="Calibri"/>
                <w:color w:val="595959"/>
                <w:sz w:val="18"/>
                <w:szCs w:val="18"/>
                <w:lang w:val="es-MX" w:eastAsia="es-MX"/>
              </w:rPr>
              <w:t>25%</w:t>
            </w:r>
          </w:p>
        </w:tc>
      </w:tr>
    </w:tbl>
    <w:p w14:paraId="51A1A481" w14:textId="77777777" w:rsidR="000337B6" w:rsidRPr="00D56579" w:rsidRDefault="000337B6" w:rsidP="002F131C">
      <w:pPr>
        <w:pStyle w:val="Prrafodelista"/>
        <w:ind w:left="1068"/>
        <w:jc w:val="both"/>
        <w:rPr>
          <w:rFonts w:ascii="Montserrat Medium" w:eastAsia="Times New Roman" w:hAnsi="Montserrat Medium" w:cs="Arial"/>
          <w:color w:val="595959"/>
          <w:sz w:val="22"/>
        </w:rPr>
      </w:pPr>
    </w:p>
    <w:p w14:paraId="7D18CA69" w14:textId="504725E3" w:rsidR="0093719D" w:rsidRPr="00D56579" w:rsidRDefault="0093719D" w:rsidP="002F131C">
      <w:p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 xml:space="preserve">La cuenta </w:t>
      </w:r>
      <w:r w:rsidR="00E27F0D" w:rsidRPr="00D56579">
        <w:rPr>
          <w:rFonts w:ascii="Montserrat Medium" w:eastAsia="Times New Roman" w:hAnsi="Montserrat Medium" w:cs="Arial"/>
          <w:color w:val="595959"/>
          <w:sz w:val="22"/>
        </w:rPr>
        <w:t>de</w:t>
      </w:r>
      <w:r w:rsidRPr="00D56579">
        <w:rPr>
          <w:rFonts w:ascii="Montserrat Medium" w:eastAsia="Times New Roman" w:hAnsi="Montserrat Medium" w:cs="Arial"/>
          <w:color w:val="595959"/>
          <w:sz w:val="22"/>
        </w:rPr>
        <w:t xml:space="preserve"> Edificios No Habitacionales se </w:t>
      </w:r>
      <w:r w:rsidR="00AC152F" w:rsidRPr="00D56579">
        <w:rPr>
          <w:rFonts w:ascii="Montserrat Medium" w:eastAsia="Times New Roman" w:hAnsi="Montserrat Medium" w:cs="Arial"/>
          <w:color w:val="595959"/>
          <w:sz w:val="22"/>
        </w:rPr>
        <w:t>deprecian</w:t>
      </w:r>
      <w:r w:rsidRPr="00D56579">
        <w:rPr>
          <w:rFonts w:ascii="Montserrat Medium" w:eastAsia="Times New Roman" w:hAnsi="Montserrat Medium" w:cs="Arial"/>
          <w:color w:val="595959"/>
          <w:sz w:val="22"/>
        </w:rPr>
        <w:t xml:space="preserve"> </w:t>
      </w:r>
      <w:r w:rsidR="00E27F0D" w:rsidRPr="00D56579">
        <w:rPr>
          <w:rFonts w:ascii="Montserrat Medium" w:eastAsia="Times New Roman" w:hAnsi="Montserrat Medium" w:cs="Arial"/>
          <w:color w:val="595959"/>
          <w:sz w:val="22"/>
        </w:rPr>
        <w:t xml:space="preserve">por el método de </w:t>
      </w:r>
      <w:r w:rsidR="008B4171" w:rsidRPr="00D56579">
        <w:rPr>
          <w:rFonts w:ascii="Montserrat Medium" w:eastAsia="Times New Roman" w:hAnsi="Montserrat Medium" w:cs="Arial"/>
          <w:color w:val="595959"/>
          <w:sz w:val="22"/>
        </w:rPr>
        <w:t xml:space="preserve"> línea recta a la tasa de</w:t>
      </w:r>
      <w:r w:rsidRPr="00D56579">
        <w:rPr>
          <w:rFonts w:ascii="Montserrat Medium" w:eastAsia="Times New Roman" w:hAnsi="Montserrat Medium" w:cs="Arial"/>
          <w:color w:val="595959"/>
          <w:sz w:val="22"/>
        </w:rPr>
        <w:t xml:space="preserve"> 3.3%. </w:t>
      </w:r>
    </w:p>
    <w:tbl>
      <w:tblPr>
        <w:tblW w:w="8019" w:type="dxa"/>
        <w:jc w:val="center"/>
        <w:tblCellMar>
          <w:left w:w="70" w:type="dxa"/>
          <w:right w:w="70" w:type="dxa"/>
        </w:tblCellMar>
        <w:tblLook w:val="04A0" w:firstRow="1" w:lastRow="0" w:firstColumn="1" w:lastColumn="0" w:noHBand="0" w:noVBand="1"/>
      </w:tblPr>
      <w:tblGrid>
        <w:gridCol w:w="2608"/>
        <w:gridCol w:w="1139"/>
        <w:gridCol w:w="1905"/>
        <w:gridCol w:w="2367"/>
      </w:tblGrid>
      <w:tr w:rsidR="0093719D" w:rsidRPr="00B52292" w14:paraId="7EEE17F5" w14:textId="77777777" w:rsidTr="00091916">
        <w:trPr>
          <w:cantSplit/>
          <w:trHeight w:val="479"/>
          <w:jc w:val="center"/>
        </w:trPr>
        <w:tc>
          <w:tcPr>
            <w:tcW w:w="2608"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4614A32" w14:textId="77777777" w:rsidR="0093719D" w:rsidRPr="00B52292" w:rsidRDefault="0093719D" w:rsidP="002F131C">
            <w:pPr>
              <w:jc w:val="center"/>
              <w:rPr>
                <w:rFonts w:ascii="Montserrat Medium" w:eastAsia="Times New Roman" w:hAnsi="Montserrat Medium" w:cs="Calibri"/>
                <w:b/>
                <w:bCs/>
                <w:sz w:val="18"/>
                <w:szCs w:val="18"/>
                <w:lang w:val="es-MX" w:eastAsia="es-MX"/>
              </w:rPr>
            </w:pPr>
            <w:r w:rsidRPr="00B52292">
              <w:rPr>
                <w:rFonts w:ascii="Montserrat Medium" w:eastAsia="Times New Roman" w:hAnsi="Montserrat Medium" w:cs="Calibri"/>
                <w:b/>
                <w:bCs/>
                <w:sz w:val="18"/>
                <w:szCs w:val="18"/>
                <w:lang w:eastAsia="es-MX"/>
              </w:rPr>
              <w:t>Concepto</w:t>
            </w:r>
          </w:p>
        </w:tc>
        <w:tc>
          <w:tcPr>
            <w:tcW w:w="1139" w:type="dxa"/>
            <w:tcBorders>
              <w:top w:val="single" w:sz="4" w:space="0" w:color="auto"/>
              <w:left w:val="nil"/>
              <w:bottom w:val="single" w:sz="4" w:space="0" w:color="auto"/>
              <w:right w:val="single" w:sz="4" w:space="0" w:color="auto"/>
            </w:tcBorders>
            <w:shd w:val="clear" w:color="000000" w:fill="A6A6A6"/>
            <w:vAlign w:val="center"/>
            <w:hideMark/>
          </w:tcPr>
          <w:p w14:paraId="53685E58" w14:textId="77777777" w:rsidR="0093719D" w:rsidRPr="00B52292" w:rsidRDefault="0093719D" w:rsidP="002F131C">
            <w:pPr>
              <w:jc w:val="center"/>
              <w:rPr>
                <w:rFonts w:ascii="Montserrat Medium" w:eastAsia="Times New Roman" w:hAnsi="Montserrat Medium" w:cs="Calibri"/>
                <w:b/>
                <w:bCs/>
                <w:sz w:val="18"/>
                <w:szCs w:val="18"/>
                <w:lang w:val="es-MX" w:eastAsia="es-MX"/>
              </w:rPr>
            </w:pPr>
            <w:r w:rsidRPr="00B52292">
              <w:rPr>
                <w:rFonts w:ascii="Montserrat Medium" w:eastAsia="Times New Roman" w:hAnsi="Montserrat Medium" w:cs="Calibri"/>
                <w:b/>
                <w:bCs/>
                <w:sz w:val="18"/>
                <w:szCs w:val="18"/>
                <w:lang w:val="es-MX" w:eastAsia="es-MX"/>
              </w:rPr>
              <w:t>Vida Útil</w:t>
            </w:r>
          </w:p>
        </w:tc>
        <w:tc>
          <w:tcPr>
            <w:tcW w:w="1905" w:type="dxa"/>
            <w:tcBorders>
              <w:top w:val="single" w:sz="4" w:space="0" w:color="auto"/>
              <w:left w:val="nil"/>
              <w:bottom w:val="single" w:sz="4" w:space="0" w:color="auto"/>
              <w:right w:val="single" w:sz="4" w:space="0" w:color="auto"/>
            </w:tcBorders>
            <w:shd w:val="clear" w:color="000000" w:fill="A6A6A6"/>
            <w:vAlign w:val="center"/>
            <w:hideMark/>
          </w:tcPr>
          <w:p w14:paraId="65F82B4F" w14:textId="3CC7B39C" w:rsidR="0093719D" w:rsidRPr="00B52292" w:rsidRDefault="0093719D" w:rsidP="002F131C">
            <w:pPr>
              <w:jc w:val="center"/>
              <w:rPr>
                <w:rFonts w:ascii="Montserrat Medium" w:eastAsia="Times New Roman" w:hAnsi="Montserrat Medium" w:cs="Calibri"/>
                <w:b/>
                <w:bCs/>
                <w:sz w:val="18"/>
                <w:szCs w:val="18"/>
                <w:lang w:val="es-MX" w:eastAsia="es-MX"/>
              </w:rPr>
            </w:pPr>
            <w:r w:rsidRPr="00B52292">
              <w:rPr>
                <w:rFonts w:ascii="Montserrat Medium" w:eastAsia="Times New Roman" w:hAnsi="Montserrat Medium" w:cs="Calibri"/>
                <w:b/>
                <w:bCs/>
                <w:sz w:val="18"/>
                <w:szCs w:val="18"/>
                <w:lang w:val="es-MX" w:eastAsia="es-MX"/>
              </w:rPr>
              <w:t xml:space="preserve">% de </w:t>
            </w:r>
            <w:r w:rsidR="00AC152F" w:rsidRPr="00B52292">
              <w:rPr>
                <w:rFonts w:ascii="Montserrat Medium" w:eastAsia="Times New Roman" w:hAnsi="Montserrat Medium" w:cs="Calibri"/>
                <w:b/>
                <w:bCs/>
                <w:sz w:val="18"/>
                <w:szCs w:val="18"/>
                <w:lang w:val="es-MX" w:eastAsia="es-MX"/>
              </w:rPr>
              <w:t>Depreciación</w:t>
            </w:r>
            <w:r w:rsidRPr="00B52292">
              <w:rPr>
                <w:rFonts w:ascii="Montserrat Medium" w:eastAsia="Times New Roman" w:hAnsi="Montserrat Medium" w:cs="Calibri"/>
                <w:b/>
                <w:bCs/>
                <w:sz w:val="18"/>
                <w:szCs w:val="18"/>
                <w:lang w:val="es-MX" w:eastAsia="es-MX"/>
              </w:rPr>
              <w:t xml:space="preserve"> anual</w:t>
            </w:r>
          </w:p>
        </w:tc>
        <w:tc>
          <w:tcPr>
            <w:tcW w:w="2367" w:type="dxa"/>
            <w:tcBorders>
              <w:top w:val="single" w:sz="4" w:space="0" w:color="auto"/>
              <w:left w:val="nil"/>
              <w:bottom w:val="single" w:sz="4" w:space="0" w:color="auto"/>
              <w:right w:val="single" w:sz="4" w:space="0" w:color="auto"/>
            </w:tcBorders>
            <w:shd w:val="clear" w:color="000000" w:fill="A6A6A6"/>
            <w:vAlign w:val="center"/>
            <w:hideMark/>
          </w:tcPr>
          <w:p w14:paraId="7CA271A1" w14:textId="17FFEDB7" w:rsidR="0093719D" w:rsidRPr="00B52292" w:rsidRDefault="00AC152F" w:rsidP="002F131C">
            <w:pPr>
              <w:jc w:val="center"/>
              <w:rPr>
                <w:rFonts w:ascii="Montserrat Medium" w:eastAsia="Times New Roman" w:hAnsi="Montserrat Medium" w:cs="Calibri"/>
                <w:b/>
                <w:bCs/>
                <w:sz w:val="18"/>
                <w:szCs w:val="18"/>
                <w:lang w:val="es-MX" w:eastAsia="es-MX"/>
              </w:rPr>
            </w:pPr>
            <w:r w:rsidRPr="00B52292">
              <w:rPr>
                <w:rFonts w:ascii="Montserrat Medium" w:eastAsia="Times New Roman" w:hAnsi="Montserrat Medium" w:cs="Calibri"/>
                <w:b/>
                <w:bCs/>
                <w:sz w:val="18"/>
                <w:szCs w:val="18"/>
                <w:lang w:val="es-MX" w:eastAsia="es-MX"/>
              </w:rPr>
              <w:t>Deprecia</w:t>
            </w:r>
            <w:r w:rsidR="0093719D" w:rsidRPr="00B52292">
              <w:rPr>
                <w:rFonts w:ascii="Montserrat Medium" w:eastAsia="Times New Roman" w:hAnsi="Montserrat Medium" w:cs="Calibri"/>
                <w:b/>
                <w:bCs/>
                <w:sz w:val="18"/>
                <w:szCs w:val="18"/>
                <w:lang w:val="es-MX" w:eastAsia="es-MX"/>
              </w:rPr>
              <w:t xml:space="preserve">ción </w:t>
            </w:r>
            <w:r w:rsidR="00FB683D" w:rsidRPr="00B52292">
              <w:rPr>
                <w:rFonts w:ascii="Montserrat Medium" w:eastAsia="Times New Roman" w:hAnsi="Montserrat Medium" w:cs="Calibri"/>
                <w:b/>
                <w:bCs/>
                <w:sz w:val="18"/>
                <w:szCs w:val="18"/>
                <w:lang w:val="es-MX" w:eastAsia="es-MX"/>
              </w:rPr>
              <w:t>al 3</w:t>
            </w:r>
            <w:r w:rsidR="00794968">
              <w:rPr>
                <w:rFonts w:ascii="Montserrat Medium" w:eastAsia="Times New Roman" w:hAnsi="Montserrat Medium" w:cs="Calibri"/>
                <w:b/>
                <w:bCs/>
                <w:sz w:val="18"/>
                <w:szCs w:val="18"/>
                <w:lang w:val="es-MX" w:eastAsia="es-MX"/>
              </w:rPr>
              <w:t>0</w:t>
            </w:r>
            <w:r w:rsidR="00FB683D" w:rsidRPr="00B52292">
              <w:rPr>
                <w:rFonts w:ascii="Montserrat Medium" w:eastAsia="Times New Roman" w:hAnsi="Montserrat Medium" w:cs="Calibri"/>
                <w:b/>
                <w:bCs/>
                <w:sz w:val="18"/>
                <w:szCs w:val="18"/>
                <w:lang w:val="es-MX" w:eastAsia="es-MX"/>
              </w:rPr>
              <w:t xml:space="preserve"> de </w:t>
            </w:r>
            <w:r w:rsidR="00794968">
              <w:rPr>
                <w:rFonts w:ascii="Montserrat Medium" w:eastAsia="Times New Roman" w:hAnsi="Montserrat Medium" w:cs="Calibri"/>
                <w:b/>
                <w:bCs/>
                <w:sz w:val="18"/>
                <w:szCs w:val="18"/>
                <w:lang w:val="es-MX" w:eastAsia="es-MX"/>
              </w:rPr>
              <w:t>junio</w:t>
            </w:r>
            <w:r w:rsidR="00FB683D" w:rsidRPr="00B52292">
              <w:rPr>
                <w:rFonts w:ascii="Montserrat Medium" w:eastAsia="Times New Roman" w:hAnsi="Montserrat Medium" w:cs="Calibri"/>
                <w:b/>
                <w:bCs/>
                <w:sz w:val="18"/>
                <w:szCs w:val="18"/>
                <w:lang w:val="es-MX" w:eastAsia="es-MX"/>
              </w:rPr>
              <w:t xml:space="preserve"> de 2025</w:t>
            </w:r>
          </w:p>
        </w:tc>
      </w:tr>
      <w:tr w:rsidR="0093719D" w:rsidRPr="00B52292" w14:paraId="4ECD9A92" w14:textId="77777777" w:rsidTr="000337B6">
        <w:trPr>
          <w:cantSplit/>
          <w:trHeight w:val="416"/>
          <w:jc w:val="center"/>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14:paraId="0F1A168E" w14:textId="77777777" w:rsidR="0093719D" w:rsidRPr="00B52292" w:rsidRDefault="0093719D" w:rsidP="002F131C">
            <w:pPr>
              <w:jc w:val="both"/>
              <w:rPr>
                <w:rFonts w:ascii="Montserrat Medium" w:eastAsia="Times New Roman" w:hAnsi="Montserrat Medium" w:cs="Calibri"/>
                <w:color w:val="595959"/>
                <w:sz w:val="18"/>
                <w:szCs w:val="18"/>
                <w:lang w:val="es-MX" w:eastAsia="es-MX"/>
              </w:rPr>
            </w:pPr>
            <w:r w:rsidRPr="00B52292">
              <w:rPr>
                <w:rFonts w:ascii="Montserrat Medium" w:eastAsia="Times New Roman" w:hAnsi="Montserrat Medium" w:cs="Calibri"/>
                <w:color w:val="595959"/>
                <w:sz w:val="18"/>
                <w:szCs w:val="18"/>
                <w:lang w:eastAsia="es-MX"/>
              </w:rPr>
              <w:t xml:space="preserve">Edificios no habitacionales </w:t>
            </w:r>
          </w:p>
        </w:tc>
        <w:tc>
          <w:tcPr>
            <w:tcW w:w="1139" w:type="dxa"/>
            <w:tcBorders>
              <w:top w:val="nil"/>
              <w:left w:val="nil"/>
              <w:bottom w:val="single" w:sz="4" w:space="0" w:color="auto"/>
              <w:right w:val="single" w:sz="4" w:space="0" w:color="auto"/>
            </w:tcBorders>
            <w:shd w:val="clear" w:color="auto" w:fill="auto"/>
            <w:noWrap/>
            <w:vAlign w:val="center"/>
            <w:hideMark/>
          </w:tcPr>
          <w:p w14:paraId="76E0057F" w14:textId="77777777" w:rsidR="0093719D" w:rsidRPr="00B52292" w:rsidRDefault="0093719D" w:rsidP="002F131C">
            <w:pPr>
              <w:jc w:val="center"/>
              <w:rPr>
                <w:rFonts w:ascii="Montserrat Medium" w:eastAsia="Times New Roman" w:hAnsi="Montserrat Medium" w:cs="Calibri"/>
                <w:color w:val="595959"/>
                <w:sz w:val="18"/>
                <w:szCs w:val="18"/>
                <w:lang w:val="es-MX" w:eastAsia="es-MX"/>
              </w:rPr>
            </w:pPr>
            <w:r w:rsidRPr="00B52292">
              <w:rPr>
                <w:rFonts w:ascii="Montserrat Medium" w:eastAsia="Times New Roman" w:hAnsi="Montserrat Medium" w:cs="Calibri"/>
                <w:color w:val="595959"/>
                <w:sz w:val="18"/>
                <w:szCs w:val="18"/>
                <w:lang w:val="es-MX" w:eastAsia="es-MX"/>
              </w:rPr>
              <w:t>30</w:t>
            </w:r>
          </w:p>
        </w:tc>
        <w:tc>
          <w:tcPr>
            <w:tcW w:w="1905" w:type="dxa"/>
            <w:tcBorders>
              <w:top w:val="nil"/>
              <w:left w:val="nil"/>
              <w:bottom w:val="single" w:sz="4" w:space="0" w:color="auto"/>
              <w:right w:val="single" w:sz="4" w:space="0" w:color="auto"/>
            </w:tcBorders>
            <w:shd w:val="clear" w:color="auto" w:fill="auto"/>
            <w:noWrap/>
            <w:vAlign w:val="center"/>
            <w:hideMark/>
          </w:tcPr>
          <w:p w14:paraId="0B3FD705" w14:textId="6EBD7869" w:rsidR="0093719D" w:rsidRPr="00B52292" w:rsidRDefault="0093719D" w:rsidP="002F131C">
            <w:pPr>
              <w:jc w:val="center"/>
              <w:rPr>
                <w:rFonts w:ascii="Montserrat Medium" w:eastAsia="Times New Roman" w:hAnsi="Montserrat Medium" w:cs="Calibri"/>
                <w:color w:val="595959"/>
                <w:sz w:val="18"/>
                <w:szCs w:val="18"/>
                <w:lang w:val="es-MX" w:eastAsia="es-MX"/>
              </w:rPr>
            </w:pPr>
            <w:r w:rsidRPr="00B52292">
              <w:rPr>
                <w:rFonts w:ascii="Montserrat Medium" w:eastAsia="Times New Roman" w:hAnsi="Montserrat Medium" w:cs="Calibri"/>
                <w:color w:val="595959"/>
                <w:sz w:val="18"/>
                <w:szCs w:val="18"/>
                <w:lang w:val="es-MX" w:eastAsia="es-MX"/>
              </w:rPr>
              <w:t>3</w:t>
            </w:r>
            <w:r w:rsidR="00144F2F" w:rsidRPr="00B52292">
              <w:rPr>
                <w:rFonts w:ascii="Montserrat Medium" w:eastAsia="Times New Roman" w:hAnsi="Montserrat Medium" w:cs="Calibri"/>
                <w:color w:val="595959"/>
                <w:sz w:val="18"/>
                <w:szCs w:val="18"/>
                <w:lang w:val="es-MX" w:eastAsia="es-MX"/>
              </w:rPr>
              <w:t>.3</w:t>
            </w:r>
            <w:r w:rsidRPr="00B52292">
              <w:rPr>
                <w:rFonts w:ascii="Montserrat Medium" w:eastAsia="Times New Roman" w:hAnsi="Montserrat Medium" w:cs="Calibri"/>
                <w:color w:val="595959"/>
                <w:sz w:val="18"/>
                <w:szCs w:val="18"/>
                <w:lang w:val="es-MX" w:eastAsia="es-MX"/>
              </w:rPr>
              <w:t>%</w:t>
            </w:r>
          </w:p>
        </w:tc>
        <w:tc>
          <w:tcPr>
            <w:tcW w:w="2367" w:type="dxa"/>
            <w:tcBorders>
              <w:top w:val="nil"/>
              <w:left w:val="nil"/>
              <w:bottom w:val="single" w:sz="4" w:space="0" w:color="auto"/>
              <w:right w:val="single" w:sz="4" w:space="0" w:color="auto"/>
            </w:tcBorders>
            <w:shd w:val="clear" w:color="auto" w:fill="auto"/>
            <w:noWrap/>
            <w:vAlign w:val="center"/>
            <w:hideMark/>
          </w:tcPr>
          <w:p w14:paraId="2B28944A" w14:textId="7F7F3311" w:rsidR="00E771EB" w:rsidRPr="00B52292" w:rsidRDefault="000337B6" w:rsidP="002F131C">
            <w:pPr>
              <w:jc w:val="center"/>
              <w:rPr>
                <w:rFonts w:ascii="Montserrat Medium" w:eastAsia="Times New Roman" w:hAnsi="Montserrat Medium" w:cs="Calibri"/>
                <w:color w:val="595959"/>
                <w:sz w:val="18"/>
                <w:szCs w:val="18"/>
                <w:lang w:val="es-MX" w:eastAsia="es-MX"/>
              </w:rPr>
            </w:pPr>
            <w:r w:rsidRPr="000337B6">
              <w:rPr>
                <w:rFonts w:ascii="Montserrat Medium" w:eastAsia="Times New Roman" w:hAnsi="Montserrat Medium" w:cs="Calibri"/>
                <w:color w:val="595959"/>
                <w:sz w:val="18"/>
                <w:szCs w:val="18"/>
                <w:lang w:val="es-MX" w:eastAsia="es-MX"/>
              </w:rPr>
              <w:t>58,842,868.93</w:t>
            </w:r>
          </w:p>
        </w:tc>
      </w:tr>
    </w:tbl>
    <w:p w14:paraId="194C92C8" w14:textId="77777777" w:rsidR="001F7F17" w:rsidRPr="00D56579" w:rsidRDefault="001F7F17" w:rsidP="002F131C">
      <w:pPr>
        <w:contextualSpacing/>
        <w:jc w:val="both"/>
        <w:rPr>
          <w:rFonts w:ascii="Montserrat Medium" w:eastAsia="Times New Roman" w:hAnsi="Montserrat Medium" w:cs="Arial"/>
          <w:color w:val="595959"/>
          <w:sz w:val="20"/>
          <w:szCs w:val="20"/>
        </w:rPr>
      </w:pPr>
    </w:p>
    <w:p w14:paraId="450BE3D7" w14:textId="5A1EDFFC" w:rsidR="008B4171" w:rsidRDefault="001F7F17" w:rsidP="002F131C">
      <w:p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 xml:space="preserve">La depreciación de los </w:t>
      </w:r>
      <w:r w:rsidR="00794968">
        <w:rPr>
          <w:rFonts w:ascii="Montserrat Medium" w:eastAsia="Times New Roman" w:hAnsi="Montserrat Medium" w:cs="Arial"/>
          <w:color w:val="595959"/>
          <w:sz w:val="22"/>
        </w:rPr>
        <w:t xml:space="preserve">Bienes Muebles e Inmuebles </w:t>
      </w:r>
      <w:r w:rsidRPr="00D56579">
        <w:rPr>
          <w:rFonts w:ascii="Montserrat Medium" w:eastAsia="Times New Roman" w:hAnsi="Montserrat Medium" w:cs="Arial"/>
          <w:color w:val="595959"/>
          <w:sz w:val="22"/>
        </w:rPr>
        <w:t>se realiza de forma manual ya que se está implementando un módulo en el Sistema de Contabilidad Gubernamental, esto con el fin de  cumplir con lo establecido en el Artículo 19 Fracción VII de la Ley General de Contabilidad Gubernamental (LGCG) que a la letra menciona: “Los entes públicos deberán asegurarse que el Sistema: VII. Facilite el registro y control de los inventarios de los bienes muebles e inmuebles de los entes públicos.</w:t>
      </w:r>
    </w:p>
    <w:p w14:paraId="452ECF3A" w14:textId="77777777" w:rsidR="00A01A94" w:rsidRPr="00D56579" w:rsidRDefault="00A01A94" w:rsidP="002F131C">
      <w:pPr>
        <w:contextualSpacing/>
        <w:jc w:val="both"/>
        <w:rPr>
          <w:rFonts w:ascii="Montserrat Medium" w:eastAsia="Times New Roman" w:hAnsi="Montserrat Medium" w:cs="Arial"/>
          <w:color w:val="595959"/>
          <w:sz w:val="22"/>
        </w:rPr>
      </w:pPr>
    </w:p>
    <w:p w14:paraId="7DD8E9EC" w14:textId="77777777" w:rsidR="00025F56" w:rsidRPr="00D56579" w:rsidRDefault="00025F56" w:rsidP="002F131C">
      <w:pPr>
        <w:pStyle w:val="Prrafodelista"/>
        <w:numPr>
          <w:ilvl w:val="0"/>
          <w:numId w:val="30"/>
        </w:numPr>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Cambios en el porcentaje de depreciación de los bienes muebles</w:t>
      </w:r>
      <w:r w:rsidR="00D63DC1" w:rsidRPr="00D56579">
        <w:rPr>
          <w:rFonts w:ascii="Montserrat Medium" w:eastAsia="Times New Roman" w:hAnsi="Montserrat Medium" w:cs="Tahoma"/>
          <w:color w:val="595959"/>
          <w:sz w:val="22"/>
          <w:szCs w:val="22"/>
          <w:lang w:eastAsia="en-US"/>
        </w:rPr>
        <w:t xml:space="preserve"> e inmuebles</w:t>
      </w:r>
      <w:r w:rsidRPr="00D56579">
        <w:rPr>
          <w:rFonts w:ascii="Montserrat Medium" w:eastAsia="Times New Roman" w:hAnsi="Montserrat Medium" w:cs="Tahoma"/>
          <w:color w:val="595959"/>
          <w:sz w:val="22"/>
          <w:szCs w:val="22"/>
          <w:lang w:eastAsia="en-US"/>
        </w:rPr>
        <w:t xml:space="preserve">. </w:t>
      </w:r>
    </w:p>
    <w:p w14:paraId="4C3D89D0" w14:textId="2AAB2573" w:rsidR="00A21EB3" w:rsidRDefault="00025F56" w:rsidP="002F131C">
      <w:pPr>
        <w:pStyle w:val="Prrafodelista"/>
        <w:ind w:left="1068"/>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La Administración Pública Central del Estado de Quintana Roo</w:t>
      </w:r>
      <w:r w:rsidR="003B7245" w:rsidRPr="00D56579">
        <w:rPr>
          <w:rFonts w:ascii="Montserrat Medium" w:eastAsia="Times New Roman" w:hAnsi="Montserrat Medium" w:cs="Tahoma"/>
          <w:color w:val="595959"/>
          <w:sz w:val="22"/>
          <w:szCs w:val="22"/>
          <w:lang w:eastAsia="en-US"/>
        </w:rPr>
        <w:t>, a</w:t>
      </w:r>
      <w:r w:rsidR="00802500" w:rsidRPr="00D56579">
        <w:rPr>
          <w:rFonts w:ascii="Montserrat Medium" w:eastAsia="Times New Roman" w:hAnsi="Montserrat Medium" w:cs="Tahoma"/>
          <w:color w:val="595959"/>
          <w:sz w:val="22"/>
          <w:szCs w:val="22"/>
          <w:lang w:eastAsia="en-US"/>
        </w:rPr>
        <w:t>l 3</w:t>
      </w:r>
      <w:r w:rsidR="00794968">
        <w:rPr>
          <w:rFonts w:ascii="Montserrat Medium" w:eastAsia="Times New Roman" w:hAnsi="Montserrat Medium" w:cs="Tahoma"/>
          <w:color w:val="595959"/>
          <w:sz w:val="22"/>
          <w:szCs w:val="22"/>
          <w:lang w:eastAsia="en-US"/>
        </w:rPr>
        <w:t>0</w:t>
      </w:r>
      <w:r w:rsidR="00802500" w:rsidRPr="00D56579">
        <w:rPr>
          <w:rFonts w:ascii="Montserrat Medium" w:eastAsia="Times New Roman" w:hAnsi="Montserrat Medium" w:cs="Tahoma"/>
          <w:color w:val="595959"/>
          <w:sz w:val="22"/>
          <w:szCs w:val="22"/>
          <w:lang w:eastAsia="en-US"/>
        </w:rPr>
        <w:t xml:space="preserve"> de </w:t>
      </w:r>
      <w:r w:rsidR="00794968">
        <w:rPr>
          <w:rFonts w:ascii="Montserrat Medium" w:eastAsia="Times New Roman" w:hAnsi="Montserrat Medium" w:cs="Tahoma"/>
          <w:color w:val="595959"/>
          <w:sz w:val="22"/>
          <w:szCs w:val="22"/>
          <w:lang w:eastAsia="en-US"/>
        </w:rPr>
        <w:t>junio</w:t>
      </w:r>
      <w:r w:rsidR="00802500" w:rsidRPr="00D56579">
        <w:rPr>
          <w:rFonts w:ascii="Montserrat Medium" w:eastAsia="Times New Roman" w:hAnsi="Montserrat Medium" w:cs="Tahoma"/>
          <w:color w:val="595959"/>
          <w:sz w:val="22"/>
          <w:szCs w:val="22"/>
          <w:lang w:eastAsia="en-US"/>
        </w:rPr>
        <w:t xml:space="preserve"> de 202</w:t>
      </w:r>
      <w:r w:rsidR="00FB683D">
        <w:rPr>
          <w:rFonts w:ascii="Montserrat Medium" w:eastAsia="Times New Roman" w:hAnsi="Montserrat Medium" w:cs="Tahoma"/>
          <w:color w:val="595959"/>
          <w:sz w:val="22"/>
          <w:szCs w:val="22"/>
          <w:lang w:eastAsia="en-US"/>
        </w:rPr>
        <w:t>5</w:t>
      </w:r>
      <w:r w:rsidR="003B7245" w:rsidRPr="00D56579">
        <w:rPr>
          <w:rFonts w:ascii="Montserrat Medium" w:eastAsia="Times New Roman" w:hAnsi="Montserrat Medium" w:cs="Tahoma"/>
          <w:color w:val="595959"/>
          <w:sz w:val="22"/>
          <w:szCs w:val="22"/>
          <w:lang w:eastAsia="en-US"/>
        </w:rPr>
        <w:t xml:space="preserve"> </w:t>
      </w:r>
      <w:r w:rsidR="00794968" w:rsidRPr="00794968">
        <w:rPr>
          <w:rFonts w:ascii="Montserrat Medium" w:eastAsia="Times New Roman" w:hAnsi="Montserrat Medium" w:cs="Tahoma"/>
          <w:color w:val="595959"/>
          <w:sz w:val="22"/>
          <w:szCs w:val="22"/>
          <w:lang w:eastAsia="en-US"/>
        </w:rPr>
        <w:t>realizó la depreciación de forma manual de los bienes muebles, por lo tanto el monto es calculado de acuerdo a las reglas estipuladas, las cuales mencionan que el monto de la depreciación como la amortización se calculara considerando el costo de adquisición del activo depreciable o amortizable, menos su valor de desecho, entre los años correspondientes a su vida útil o su vida económica; registrándose en los gastos del periodo, con el objetivo de conocer el gasto patrimonial, a efecto de poder determinar el valor neto o el monto por depreciar o amortizar restante y las cuentas de terrenos y edificios no habitacionales se deprecian a la tasa del 3.3% con el método de línea recta.</w:t>
      </w:r>
    </w:p>
    <w:p w14:paraId="02C8644E" w14:textId="77777777" w:rsidR="00794968" w:rsidRPr="00D56579" w:rsidRDefault="00794968" w:rsidP="002F131C">
      <w:pPr>
        <w:pStyle w:val="Prrafodelista"/>
        <w:ind w:left="1068"/>
        <w:jc w:val="both"/>
        <w:rPr>
          <w:rFonts w:ascii="Montserrat Medium" w:eastAsia="Times New Roman" w:hAnsi="Montserrat Medium" w:cs="Tahoma"/>
          <w:color w:val="595959"/>
          <w:sz w:val="22"/>
          <w:szCs w:val="22"/>
          <w:lang w:eastAsia="en-US"/>
        </w:rPr>
      </w:pPr>
    </w:p>
    <w:p w14:paraId="00DA8718" w14:textId="498AD719" w:rsidR="00025F56" w:rsidRPr="00D56579" w:rsidRDefault="00025F56" w:rsidP="002F131C">
      <w:pPr>
        <w:pStyle w:val="Prrafodelista"/>
        <w:numPr>
          <w:ilvl w:val="0"/>
          <w:numId w:val="30"/>
        </w:numPr>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Ningún concepto de gastos de investigación o financiero fue capitalizado en los bienes muebles o activos intangibles a</w:t>
      </w:r>
      <w:r w:rsidR="00A4586C" w:rsidRPr="00D56579">
        <w:rPr>
          <w:rFonts w:ascii="Montserrat Medium" w:eastAsia="Times New Roman" w:hAnsi="Montserrat Medium" w:cs="Tahoma"/>
          <w:color w:val="595959"/>
          <w:sz w:val="22"/>
          <w:szCs w:val="22"/>
          <w:lang w:eastAsia="en-US"/>
        </w:rPr>
        <w:t>l 3</w:t>
      </w:r>
      <w:r w:rsidR="00794968">
        <w:rPr>
          <w:rFonts w:ascii="Montserrat Medium" w:eastAsia="Times New Roman" w:hAnsi="Montserrat Medium" w:cs="Tahoma"/>
          <w:color w:val="595959"/>
          <w:sz w:val="22"/>
          <w:szCs w:val="22"/>
          <w:lang w:eastAsia="en-US"/>
        </w:rPr>
        <w:t>0</w:t>
      </w:r>
      <w:r w:rsidR="00A4586C" w:rsidRPr="00D56579">
        <w:rPr>
          <w:rFonts w:ascii="Montserrat Medium" w:eastAsia="Times New Roman" w:hAnsi="Montserrat Medium" w:cs="Tahoma"/>
          <w:color w:val="595959"/>
          <w:sz w:val="22"/>
          <w:szCs w:val="22"/>
          <w:lang w:eastAsia="en-US"/>
        </w:rPr>
        <w:t xml:space="preserve"> de </w:t>
      </w:r>
      <w:r w:rsidR="00794968">
        <w:rPr>
          <w:rFonts w:ascii="Montserrat Medium" w:eastAsia="Times New Roman" w:hAnsi="Montserrat Medium" w:cs="Tahoma"/>
          <w:color w:val="595959"/>
          <w:sz w:val="22"/>
          <w:szCs w:val="22"/>
          <w:lang w:eastAsia="en-US"/>
        </w:rPr>
        <w:t>junio</w:t>
      </w:r>
      <w:r w:rsidR="00A4586C" w:rsidRPr="00D56579">
        <w:rPr>
          <w:rFonts w:ascii="Montserrat Medium" w:eastAsia="Times New Roman" w:hAnsi="Montserrat Medium" w:cs="Tahoma"/>
          <w:color w:val="595959"/>
          <w:sz w:val="22"/>
          <w:szCs w:val="22"/>
          <w:lang w:eastAsia="en-US"/>
        </w:rPr>
        <w:t xml:space="preserve"> de 202</w:t>
      </w:r>
      <w:r w:rsidR="00FB683D">
        <w:rPr>
          <w:rFonts w:ascii="Montserrat Medium" w:eastAsia="Times New Roman" w:hAnsi="Montserrat Medium" w:cs="Tahoma"/>
          <w:color w:val="595959"/>
          <w:sz w:val="22"/>
          <w:szCs w:val="22"/>
          <w:lang w:eastAsia="en-US"/>
        </w:rPr>
        <w:t>5</w:t>
      </w:r>
      <w:r w:rsidRPr="00D56579">
        <w:rPr>
          <w:rFonts w:ascii="Montserrat Medium" w:eastAsia="Times New Roman" w:hAnsi="Montserrat Medium" w:cs="Tahoma"/>
          <w:color w:val="595959"/>
          <w:sz w:val="22"/>
          <w:szCs w:val="22"/>
          <w:lang w:eastAsia="en-US"/>
        </w:rPr>
        <w:t>.</w:t>
      </w:r>
    </w:p>
    <w:p w14:paraId="5A7D632F" w14:textId="77777777" w:rsidR="008257FE" w:rsidRPr="00D56579" w:rsidRDefault="008257FE" w:rsidP="002F131C">
      <w:pPr>
        <w:pStyle w:val="Prrafodelista"/>
        <w:rPr>
          <w:rFonts w:ascii="Montserrat Medium" w:eastAsia="Times New Roman" w:hAnsi="Montserrat Medium" w:cs="Arial"/>
          <w:color w:val="595959"/>
          <w:sz w:val="22"/>
          <w:szCs w:val="22"/>
        </w:rPr>
      </w:pPr>
    </w:p>
    <w:p w14:paraId="1752D626" w14:textId="77777777" w:rsidR="008257FE" w:rsidRPr="00D56579" w:rsidRDefault="00B6700E" w:rsidP="002F131C">
      <w:pPr>
        <w:pStyle w:val="Prrafodelista"/>
        <w:numPr>
          <w:ilvl w:val="0"/>
          <w:numId w:val="30"/>
        </w:numPr>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N</w:t>
      </w:r>
      <w:r w:rsidR="008257FE" w:rsidRPr="00D56579">
        <w:rPr>
          <w:rFonts w:ascii="Montserrat Medium" w:eastAsia="Times New Roman" w:hAnsi="Montserrat Medium" w:cs="Tahoma"/>
          <w:color w:val="595959"/>
          <w:sz w:val="22"/>
          <w:szCs w:val="22"/>
          <w:lang w:eastAsia="en-US"/>
        </w:rPr>
        <w:t>o existen riesgos de tipo de cambio o de interés ya que se encuentran contratadas en moneda nacional y a tasa de interés fijo.</w:t>
      </w:r>
    </w:p>
    <w:p w14:paraId="5FEE271A" w14:textId="77777777" w:rsidR="0017771B" w:rsidRPr="00D56579" w:rsidRDefault="0017771B" w:rsidP="002F131C">
      <w:pPr>
        <w:pStyle w:val="Prrafodelista"/>
        <w:rPr>
          <w:rFonts w:ascii="Montserrat Medium" w:eastAsia="Times New Roman" w:hAnsi="Montserrat Medium" w:cs="Arial"/>
          <w:color w:val="595959"/>
          <w:sz w:val="22"/>
          <w:szCs w:val="22"/>
        </w:rPr>
      </w:pPr>
    </w:p>
    <w:p w14:paraId="4E5EEC3B" w14:textId="6EE7B53C" w:rsidR="00025F56" w:rsidRPr="00D56579" w:rsidRDefault="00025F56" w:rsidP="002F131C">
      <w:pPr>
        <w:pStyle w:val="Prrafodelista"/>
        <w:numPr>
          <w:ilvl w:val="0"/>
          <w:numId w:val="30"/>
        </w:numPr>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Valor en el ejercicio de los bienes construidos por la entidad</w:t>
      </w:r>
      <w:r w:rsidR="00636952">
        <w:rPr>
          <w:rFonts w:ascii="Montserrat Medium" w:eastAsia="Times New Roman" w:hAnsi="Montserrat Medium" w:cs="Tahoma"/>
          <w:color w:val="595959"/>
          <w:sz w:val="22"/>
          <w:szCs w:val="22"/>
          <w:lang w:eastAsia="en-US"/>
        </w:rPr>
        <w:t>:</w:t>
      </w:r>
    </w:p>
    <w:p w14:paraId="5DF02659" w14:textId="361807EC" w:rsidR="00025F56" w:rsidRDefault="00794968" w:rsidP="002F131C">
      <w:pPr>
        <w:pStyle w:val="Prrafodelista"/>
        <w:jc w:val="both"/>
        <w:rPr>
          <w:rFonts w:ascii="Montserrat Medium" w:eastAsia="Times New Roman" w:hAnsi="Montserrat Medium" w:cs="Tahoma"/>
          <w:color w:val="595959"/>
          <w:sz w:val="22"/>
          <w:szCs w:val="22"/>
          <w:lang w:eastAsia="en-US"/>
        </w:rPr>
      </w:pPr>
      <w:r w:rsidRPr="00794968">
        <w:rPr>
          <w:rFonts w:ascii="Montserrat Medium" w:eastAsia="Times New Roman" w:hAnsi="Montserrat Medium" w:cs="Tahoma"/>
          <w:color w:val="595959"/>
          <w:sz w:val="22"/>
          <w:szCs w:val="22"/>
          <w:lang w:eastAsia="en-US"/>
        </w:rPr>
        <w:t>Al 30 de junio de 2025 existen activos inmuebles relativos a Terrenos y Edificios No Habitacionales construidos para el uso de la Administración Pública Central por un importe de 413</w:t>
      </w:r>
      <w:proofErr w:type="gramStart"/>
      <w:r w:rsidRPr="00794968">
        <w:rPr>
          <w:rFonts w:ascii="Montserrat Medium" w:eastAsia="Times New Roman" w:hAnsi="Montserrat Medium" w:cs="Tahoma"/>
          <w:color w:val="595959"/>
          <w:sz w:val="22"/>
          <w:szCs w:val="22"/>
          <w:lang w:eastAsia="en-US"/>
        </w:rPr>
        <w:t>,900,492.14</w:t>
      </w:r>
      <w:proofErr w:type="gramEnd"/>
      <w:r w:rsidRPr="00794968">
        <w:rPr>
          <w:rFonts w:ascii="Montserrat Medium" w:eastAsia="Times New Roman" w:hAnsi="Montserrat Medium" w:cs="Tahoma"/>
          <w:color w:val="595959"/>
          <w:sz w:val="22"/>
          <w:szCs w:val="22"/>
          <w:lang w:eastAsia="en-US"/>
        </w:rPr>
        <w:t xml:space="preserve"> en el rubro de Bienes Inmuebles e Infraestructura, sin considerar las construcciones en proceso.</w:t>
      </w:r>
    </w:p>
    <w:p w14:paraId="52F4BFE0" w14:textId="77777777" w:rsidR="00794968" w:rsidRPr="00D56579" w:rsidRDefault="00794968" w:rsidP="002F131C">
      <w:pPr>
        <w:pStyle w:val="Prrafodelista"/>
        <w:jc w:val="both"/>
        <w:rPr>
          <w:rFonts w:ascii="Montserrat Medium" w:eastAsia="Times New Roman" w:hAnsi="Montserrat Medium" w:cs="Tahoma"/>
          <w:color w:val="595959"/>
          <w:sz w:val="22"/>
          <w:szCs w:val="22"/>
          <w:lang w:eastAsia="en-US"/>
        </w:rPr>
      </w:pPr>
    </w:p>
    <w:p w14:paraId="60FBFC4C" w14:textId="267C2A5B" w:rsidR="00025F56" w:rsidRPr="00D56579" w:rsidRDefault="00025F56" w:rsidP="002F131C">
      <w:pPr>
        <w:pStyle w:val="Prrafodelista"/>
        <w:numPr>
          <w:ilvl w:val="0"/>
          <w:numId w:val="30"/>
        </w:numPr>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A</w:t>
      </w:r>
      <w:r w:rsidR="00A4586C" w:rsidRPr="00D56579">
        <w:rPr>
          <w:rFonts w:ascii="Montserrat Medium" w:eastAsia="Times New Roman" w:hAnsi="Montserrat Medium" w:cs="Tahoma"/>
          <w:color w:val="595959"/>
          <w:sz w:val="22"/>
          <w:szCs w:val="22"/>
          <w:lang w:eastAsia="en-US"/>
        </w:rPr>
        <w:t>l 3</w:t>
      </w:r>
      <w:r w:rsidR="00794968">
        <w:rPr>
          <w:rFonts w:ascii="Montserrat Medium" w:eastAsia="Times New Roman" w:hAnsi="Montserrat Medium" w:cs="Tahoma"/>
          <w:color w:val="595959"/>
          <w:sz w:val="22"/>
          <w:szCs w:val="22"/>
          <w:lang w:eastAsia="en-US"/>
        </w:rPr>
        <w:t>0</w:t>
      </w:r>
      <w:r w:rsidR="00A4586C" w:rsidRPr="00D56579">
        <w:rPr>
          <w:rFonts w:ascii="Montserrat Medium" w:eastAsia="Times New Roman" w:hAnsi="Montserrat Medium" w:cs="Tahoma"/>
          <w:color w:val="595959"/>
          <w:sz w:val="22"/>
          <w:szCs w:val="22"/>
          <w:lang w:eastAsia="en-US"/>
        </w:rPr>
        <w:t xml:space="preserve"> de </w:t>
      </w:r>
      <w:r w:rsidR="00794968">
        <w:rPr>
          <w:rFonts w:ascii="Montserrat Medium" w:eastAsia="Times New Roman" w:hAnsi="Montserrat Medium" w:cs="Tahoma"/>
          <w:color w:val="595959"/>
          <w:sz w:val="22"/>
          <w:szCs w:val="22"/>
          <w:lang w:eastAsia="en-US"/>
        </w:rPr>
        <w:t>junio</w:t>
      </w:r>
      <w:r w:rsidR="00A4586C" w:rsidRPr="00D56579">
        <w:rPr>
          <w:rFonts w:ascii="Montserrat Medium" w:eastAsia="Times New Roman" w:hAnsi="Montserrat Medium" w:cs="Tahoma"/>
          <w:color w:val="595959"/>
          <w:sz w:val="22"/>
          <w:szCs w:val="22"/>
          <w:lang w:eastAsia="en-US"/>
        </w:rPr>
        <w:t xml:space="preserve"> de 202</w:t>
      </w:r>
      <w:r w:rsidR="00FB683D">
        <w:rPr>
          <w:rFonts w:ascii="Montserrat Medium" w:eastAsia="Times New Roman" w:hAnsi="Montserrat Medium" w:cs="Tahoma"/>
          <w:color w:val="595959"/>
          <w:sz w:val="22"/>
          <w:szCs w:val="22"/>
          <w:lang w:eastAsia="en-US"/>
        </w:rPr>
        <w:t>5</w:t>
      </w:r>
      <w:r w:rsidRPr="00D56579">
        <w:rPr>
          <w:rFonts w:ascii="Montserrat Medium" w:eastAsia="Times New Roman" w:hAnsi="Montserrat Medium" w:cs="Tahoma"/>
          <w:color w:val="595959"/>
          <w:sz w:val="22"/>
          <w:szCs w:val="22"/>
          <w:lang w:eastAsia="en-US"/>
        </w:rPr>
        <w:t>, los bienes inmuebles y muebles no se encuentran dados en gar</w:t>
      </w:r>
      <w:r w:rsidR="00376BFD" w:rsidRPr="00D56579">
        <w:rPr>
          <w:rFonts w:ascii="Montserrat Medium" w:eastAsia="Times New Roman" w:hAnsi="Montserrat Medium" w:cs="Tahoma"/>
          <w:color w:val="595959"/>
          <w:sz w:val="22"/>
          <w:szCs w:val="22"/>
          <w:lang w:eastAsia="en-US"/>
        </w:rPr>
        <w:t>antía ni están sujetos a embargo.</w:t>
      </w:r>
      <w:r w:rsidR="00D63DC1" w:rsidRPr="00D56579">
        <w:rPr>
          <w:rFonts w:ascii="Montserrat Medium" w:eastAsia="Times New Roman" w:hAnsi="Montserrat Medium" w:cs="Tahoma"/>
          <w:color w:val="595959"/>
          <w:sz w:val="22"/>
          <w:szCs w:val="22"/>
          <w:lang w:eastAsia="en-US"/>
        </w:rPr>
        <w:t xml:space="preserve"> </w:t>
      </w:r>
    </w:p>
    <w:p w14:paraId="44515D2F" w14:textId="77777777" w:rsidR="00026B14" w:rsidRPr="00D56579" w:rsidRDefault="00026B14" w:rsidP="002F131C">
      <w:pPr>
        <w:pStyle w:val="Prrafodelista"/>
        <w:jc w:val="both"/>
        <w:rPr>
          <w:rFonts w:ascii="Montserrat Medium" w:eastAsia="Times New Roman" w:hAnsi="Montserrat Medium" w:cs="Tahoma"/>
          <w:color w:val="595959"/>
          <w:sz w:val="22"/>
          <w:szCs w:val="22"/>
          <w:lang w:eastAsia="en-US"/>
        </w:rPr>
      </w:pPr>
    </w:p>
    <w:p w14:paraId="40494228" w14:textId="39D9F2BB" w:rsidR="00025F56" w:rsidRPr="00D56579" w:rsidRDefault="00025F56" w:rsidP="002F131C">
      <w:pPr>
        <w:pStyle w:val="Prrafodelista"/>
        <w:numPr>
          <w:ilvl w:val="0"/>
          <w:numId w:val="30"/>
        </w:numPr>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A</w:t>
      </w:r>
      <w:r w:rsidR="00A4586C" w:rsidRPr="00D56579">
        <w:rPr>
          <w:rFonts w:ascii="Montserrat Medium" w:eastAsia="Times New Roman" w:hAnsi="Montserrat Medium" w:cs="Tahoma"/>
          <w:color w:val="595959"/>
          <w:sz w:val="22"/>
          <w:szCs w:val="22"/>
          <w:lang w:eastAsia="en-US"/>
        </w:rPr>
        <w:t>l 3</w:t>
      </w:r>
      <w:r w:rsidR="00794968">
        <w:rPr>
          <w:rFonts w:ascii="Montserrat Medium" w:eastAsia="Times New Roman" w:hAnsi="Montserrat Medium" w:cs="Tahoma"/>
          <w:color w:val="595959"/>
          <w:sz w:val="22"/>
          <w:szCs w:val="22"/>
          <w:lang w:eastAsia="en-US"/>
        </w:rPr>
        <w:t>0</w:t>
      </w:r>
      <w:r w:rsidR="00A4586C" w:rsidRPr="00D56579">
        <w:rPr>
          <w:rFonts w:ascii="Montserrat Medium" w:eastAsia="Times New Roman" w:hAnsi="Montserrat Medium" w:cs="Tahoma"/>
          <w:color w:val="595959"/>
          <w:sz w:val="22"/>
          <w:szCs w:val="22"/>
          <w:lang w:eastAsia="en-US"/>
        </w:rPr>
        <w:t xml:space="preserve"> de </w:t>
      </w:r>
      <w:r w:rsidR="00794968">
        <w:rPr>
          <w:rFonts w:ascii="Montserrat Medium" w:eastAsia="Times New Roman" w:hAnsi="Montserrat Medium" w:cs="Tahoma"/>
          <w:color w:val="595959"/>
          <w:sz w:val="22"/>
          <w:szCs w:val="22"/>
          <w:lang w:eastAsia="en-US"/>
        </w:rPr>
        <w:t>junio</w:t>
      </w:r>
      <w:r w:rsidR="00A4586C" w:rsidRPr="00D56579">
        <w:rPr>
          <w:rFonts w:ascii="Montserrat Medium" w:eastAsia="Times New Roman" w:hAnsi="Montserrat Medium" w:cs="Tahoma"/>
          <w:color w:val="595959"/>
          <w:sz w:val="22"/>
          <w:szCs w:val="22"/>
          <w:lang w:eastAsia="en-US"/>
        </w:rPr>
        <w:t xml:space="preserve"> de 202</w:t>
      </w:r>
      <w:r w:rsidR="00FB683D">
        <w:rPr>
          <w:rFonts w:ascii="Montserrat Medium" w:eastAsia="Times New Roman" w:hAnsi="Montserrat Medium" w:cs="Tahoma"/>
          <w:color w:val="595959"/>
          <w:sz w:val="22"/>
          <w:szCs w:val="22"/>
          <w:lang w:eastAsia="en-US"/>
        </w:rPr>
        <w:t>5</w:t>
      </w:r>
      <w:r w:rsidRPr="00D56579">
        <w:rPr>
          <w:rFonts w:ascii="Montserrat Medium" w:eastAsia="Times New Roman" w:hAnsi="Montserrat Medium" w:cs="Tahoma"/>
          <w:color w:val="595959"/>
          <w:sz w:val="22"/>
          <w:szCs w:val="22"/>
          <w:lang w:eastAsia="en-US"/>
        </w:rPr>
        <w:t xml:space="preserve"> no se realizaron desmantelamientos de activos, procedimientos, implicaciones y efectos contables. </w:t>
      </w:r>
    </w:p>
    <w:p w14:paraId="557BBD64" w14:textId="77777777" w:rsidR="00025F56" w:rsidRPr="00D56579" w:rsidRDefault="00025F56" w:rsidP="002F131C">
      <w:pPr>
        <w:pStyle w:val="Prrafodelista"/>
        <w:jc w:val="both"/>
        <w:rPr>
          <w:rFonts w:ascii="Montserrat Medium" w:eastAsia="Times New Roman" w:hAnsi="Montserrat Medium" w:cs="Tahoma"/>
          <w:color w:val="595959"/>
          <w:sz w:val="20"/>
          <w:lang w:eastAsia="en-US"/>
        </w:rPr>
      </w:pPr>
    </w:p>
    <w:p w14:paraId="071D7C66" w14:textId="77777777" w:rsidR="00025F56" w:rsidRDefault="004E77AF" w:rsidP="002F131C">
      <w:pPr>
        <w:pStyle w:val="Prrafodelista"/>
        <w:numPr>
          <w:ilvl w:val="0"/>
          <w:numId w:val="30"/>
        </w:numPr>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Se lleva un control</w:t>
      </w:r>
      <w:r w:rsidR="00025F56" w:rsidRPr="00D56579">
        <w:rPr>
          <w:rFonts w:ascii="Montserrat Medium" w:eastAsia="Times New Roman" w:hAnsi="Montserrat Medium" w:cs="Tahoma"/>
          <w:color w:val="595959"/>
          <w:sz w:val="22"/>
          <w:szCs w:val="22"/>
          <w:lang w:eastAsia="en-US"/>
        </w:rPr>
        <w:t xml:space="preserve"> de los activos para garantizar el uso óptimo y aplicación de los mismos.</w:t>
      </w:r>
    </w:p>
    <w:p w14:paraId="6B92B639" w14:textId="77777777" w:rsidR="00961F32" w:rsidRDefault="00961F32" w:rsidP="002F131C">
      <w:pPr>
        <w:pStyle w:val="Prrafodelista"/>
        <w:rPr>
          <w:rFonts w:ascii="Montserrat Medium" w:eastAsia="Times New Roman" w:hAnsi="Montserrat Medium" w:cs="Tahoma"/>
          <w:color w:val="595959"/>
          <w:sz w:val="22"/>
          <w:szCs w:val="22"/>
          <w:lang w:eastAsia="en-US"/>
        </w:rPr>
      </w:pPr>
    </w:p>
    <w:p w14:paraId="7AC7D6AE" w14:textId="77777777" w:rsidR="00E842D6" w:rsidRPr="00D56579" w:rsidRDefault="00374602" w:rsidP="002F131C">
      <w:pPr>
        <w:spacing w:after="160"/>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 xml:space="preserve">Las principales variaciones de la cuenta de inversiones </w:t>
      </w:r>
      <w:r w:rsidR="006A7957" w:rsidRPr="00D56579">
        <w:rPr>
          <w:rFonts w:ascii="Montserrat Medium" w:eastAsia="Times New Roman" w:hAnsi="Montserrat Medium" w:cs="Arial"/>
          <w:color w:val="595959"/>
          <w:sz w:val="22"/>
        </w:rPr>
        <w:t>temporales (hasta 3 meses),</w:t>
      </w:r>
      <w:r w:rsidRPr="00D56579">
        <w:rPr>
          <w:rFonts w:ascii="Montserrat Medium" w:eastAsia="Times New Roman" w:hAnsi="Montserrat Medium" w:cs="Arial"/>
          <w:color w:val="595959"/>
          <w:sz w:val="22"/>
        </w:rPr>
        <w:t xml:space="preserve"> se presentan a continuación:</w:t>
      </w:r>
    </w:p>
    <w:tbl>
      <w:tblPr>
        <w:tblW w:w="6721" w:type="dxa"/>
        <w:jc w:val="center"/>
        <w:tblCellMar>
          <w:left w:w="70" w:type="dxa"/>
          <w:right w:w="70" w:type="dxa"/>
        </w:tblCellMar>
        <w:tblLook w:val="04A0" w:firstRow="1" w:lastRow="0" w:firstColumn="1" w:lastColumn="0" w:noHBand="0" w:noVBand="1"/>
      </w:tblPr>
      <w:tblGrid>
        <w:gridCol w:w="3070"/>
        <w:gridCol w:w="1876"/>
        <w:gridCol w:w="1775"/>
      </w:tblGrid>
      <w:tr w:rsidR="003731A1" w:rsidRPr="00B52292" w14:paraId="6EBACDED" w14:textId="77777777" w:rsidTr="00D56579">
        <w:trPr>
          <w:trHeight w:val="459"/>
          <w:jc w:val="center"/>
        </w:trPr>
        <w:tc>
          <w:tcPr>
            <w:tcW w:w="3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F78CD2F" w14:textId="77777777" w:rsidR="003731A1" w:rsidRPr="00B52292" w:rsidRDefault="003731A1" w:rsidP="002F131C">
            <w:pPr>
              <w:jc w:val="center"/>
              <w:rPr>
                <w:rFonts w:ascii="Montserrat Medium" w:eastAsia="Times New Roman" w:hAnsi="Montserrat Medium" w:cs="Calibri"/>
                <w:b/>
                <w:bCs/>
                <w:sz w:val="18"/>
                <w:szCs w:val="18"/>
                <w:lang w:val="es-MX" w:eastAsia="es-MX"/>
              </w:rPr>
            </w:pPr>
            <w:r w:rsidRPr="00B52292">
              <w:rPr>
                <w:rFonts w:ascii="Montserrat Medium" w:eastAsia="Times New Roman" w:hAnsi="Montserrat Medium" w:cs="Calibri"/>
                <w:b/>
                <w:bCs/>
                <w:sz w:val="18"/>
                <w:szCs w:val="18"/>
                <w:lang w:val="es-MX" w:eastAsia="es-MX"/>
              </w:rPr>
              <w:t>Concepto</w:t>
            </w:r>
          </w:p>
        </w:tc>
        <w:tc>
          <w:tcPr>
            <w:tcW w:w="18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8645DB1" w14:textId="6640603D" w:rsidR="003731A1" w:rsidRPr="00B52292" w:rsidRDefault="00961F32" w:rsidP="002F131C">
            <w:pPr>
              <w:jc w:val="center"/>
              <w:rPr>
                <w:rFonts w:ascii="Montserrat Medium" w:eastAsia="Times New Roman" w:hAnsi="Montserrat Medium" w:cs="Calibri"/>
                <w:b/>
                <w:bCs/>
                <w:sz w:val="18"/>
                <w:szCs w:val="18"/>
                <w:lang w:val="es-MX" w:eastAsia="es-MX"/>
              </w:rPr>
            </w:pPr>
            <w:r w:rsidRPr="00B52292">
              <w:rPr>
                <w:rFonts w:ascii="Montserrat Medium" w:eastAsia="Times New Roman" w:hAnsi="Montserrat Medium" w:cs="Calibri"/>
                <w:b/>
                <w:bCs/>
                <w:sz w:val="18"/>
                <w:szCs w:val="18"/>
                <w:lang w:val="es-MX" w:eastAsia="es-MX"/>
              </w:rPr>
              <w:t>Al 3</w:t>
            </w:r>
            <w:r w:rsidR="00794968">
              <w:rPr>
                <w:rFonts w:ascii="Montserrat Medium" w:eastAsia="Times New Roman" w:hAnsi="Montserrat Medium" w:cs="Calibri"/>
                <w:b/>
                <w:bCs/>
                <w:sz w:val="18"/>
                <w:szCs w:val="18"/>
                <w:lang w:val="es-MX" w:eastAsia="es-MX"/>
              </w:rPr>
              <w:t>0</w:t>
            </w:r>
            <w:r w:rsidRPr="00B52292">
              <w:rPr>
                <w:rFonts w:ascii="Montserrat Medium" w:eastAsia="Times New Roman" w:hAnsi="Montserrat Medium" w:cs="Calibri"/>
                <w:b/>
                <w:bCs/>
                <w:sz w:val="18"/>
                <w:szCs w:val="18"/>
                <w:lang w:val="es-MX" w:eastAsia="es-MX"/>
              </w:rPr>
              <w:t xml:space="preserve"> de </w:t>
            </w:r>
            <w:r w:rsidR="00794968">
              <w:rPr>
                <w:rFonts w:ascii="Montserrat Medium" w:eastAsia="Times New Roman" w:hAnsi="Montserrat Medium" w:cs="Calibri"/>
                <w:b/>
                <w:bCs/>
                <w:sz w:val="18"/>
                <w:szCs w:val="18"/>
                <w:lang w:val="es-MX" w:eastAsia="es-MX"/>
              </w:rPr>
              <w:t>Junio</w:t>
            </w:r>
            <w:r w:rsidRPr="00B52292">
              <w:rPr>
                <w:rFonts w:ascii="Montserrat Medium" w:eastAsia="Times New Roman" w:hAnsi="Montserrat Medium" w:cs="Calibri"/>
                <w:b/>
                <w:bCs/>
                <w:sz w:val="18"/>
                <w:szCs w:val="18"/>
                <w:lang w:val="es-MX" w:eastAsia="es-MX"/>
              </w:rPr>
              <w:t xml:space="preserve"> de </w:t>
            </w:r>
            <w:r w:rsidR="00A4586C" w:rsidRPr="00B52292">
              <w:rPr>
                <w:rFonts w:ascii="Montserrat Medium" w:eastAsia="Times New Roman" w:hAnsi="Montserrat Medium" w:cs="Calibri"/>
                <w:b/>
                <w:bCs/>
                <w:sz w:val="18"/>
                <w:szCs w:val="18"/>
                <w:lang w:val="es-MX" w:eastAsia="es-MX"/>
              </w:rPr>
              <w:t>202</w:t>
            </w:r>
            <w:r w:rsidRPr="00B52292">
              <w:rPr>
                <w:rFonts w:ascii="Montserrat Medium" w:eastAsia="Times New Roman" w:hAnsi="Montserrat Medium" w:cs="Calibri"/>
                <w:b/>
                <w:bCs/>
                <w:sz w:val="18"/>
                <w:szCs w:val="18"/>
                <w:lang w:val="es-MX" w:eastAsia="es-MX"/>
              </w:rPr>
              <w:t>5</w:t>
            </w:r>
          </w:p>
        </w:tc>
        <w:tc>
          <w:tcPr>
            <w:tcW w:w="17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2DAF38D" w14:textId="77777777" w:rsidR="003731A1" w:rsidRPr="00B52292" w:rsidRDefault="00961F32" w:rsidP="002F131C">
            <w:pPr>
              <w:jc w:val="center"/>
              <w:rPr>
                <w:rFonts w:ascii="Montserrat Medium" w:eastAsia="Times New Roman" w:hAnsi="Montserrat Medium" w:cs="Calibri"/>
                <w:b/>
                <w:bCs/>
                <w:sz w:val="18"/>
                <w:szCs w:val="18"/>
                <w:lang w:val="es-MX" w:eastAsia="es-MX"/>
              </w:rPr>
            </w:pPr>
            <w:r w:rsidRPr="00B52292">
              <w:rPr>
                <w:rFonts w:ascii="Montserrat Medium" w:eastAsia="Times New Roman" w:hAnsi="Montserrat Medium" w:cs="Calibri"/>
                <w:b/>
                <w:bCs/>
                <w:sz w:val="18"/>
                <w:szCs w:val="18"/>
                <w:lang w:val="es-MX" w:eastAsia="es-MX"/>
              </w:rPr>
              <w:t>2024</w:t>
            </w:r>
          </w:p>
          <w:p w14:paraId="5D6B0C11" w14:textId="7ACC18A9" w:rsidR="00961F32" w:rsidRPr="00B52292" w:rsidRDefault="00961F32" w:rsidP="002F131C">
            <w:pPr>
              <w:jc w:val="center"/>
              <w:rPr>
                <w:rFonts w:ascii="Montserrat Medium" w:eastAsia="Times New Roman" w:hAnsi="Montserrat Medium" w:cs="Calibri"/>
                <w:b/>
                <w:bCs/>
                <w:sz w:val="18"/>
                <w:szCs w:val="18"/>
                <w:lang w:val="es-MX" w:eastAsia="es-MX"/>
              </w:rPr>
            </w:pPr>
          </w:p>
        </w:tc>
      </w:tr>
      <w:tr w:rsidR="00596E7B" w:rsidRPr="00B52292" w14:paraId="59887D86" w14:textId="77777777" w:rsidTr="0003514D">
        <w:trPr>
          <w:trHeight w:hRule="exact" w:val="227"/>
          <w:jc w:val="center"/>
        </w:trPr>
        <w:tc>
          <w:tcPr>
            <w:tcW w:w="3070" w:type="dxa"/>
            <w:tcBorders>
              <w:top w:val="single" w:sz="4" w:space="0" w:color="auto"/>
              <w:left w:val="single" w:sz="4" w:space="0" w:color="auto"/>
              <w:right w:val="single" w:sz="4" w:space="0" w:color="auto"/>
            </w:tcBorders>
            <w:shd w:val="clear" w:color="auto" w:fill="auto"/>
            <w:noWrap/>
            <w:vAlign w:val="bottom"/>
            <w:hideMark/>
          </w:tcPr>
          <w:p w14:paraId="0F7AF091" w14:textId="77777777" w:rsidR="00596E7B" w:rsidRPr="00B52292" w:rsidRDefault="00596E7B" w:rsidP="002F131C">
            <w:pPr>
              <w:rPr>
                <w:rFonts w:ascii="Montserrat Medium" w:eastAsia="Times New Roman" w:hAnsi="Montserrat Medium" w:cs="Calibri"/>
                <w:b/>
                <w:bCs/>
                <w:color w:val="595959"/>
                <w:sz w:val="18"/>
                <w:szCs w:val="18"/>
                <w:lang w:val="es-MX" w:eastAsia="es-MX"/>
              </w:rPr>
            </w:pPr>
            <w:r w:rsidRPr="00B52292">
              <w:rPr>
                <w:rFonts w:ascii="Montserrat Medium" w:eastAsia="Times New Roman" w:hAnsi="Montserrat Medium" w:cs="Calibri"/>
                <w:b/>
                <w:bCs/>
                <w:color w:val="595959"/>
                <w:sz w:val="18"/>
                <w:szCs w:val="18"/>
                <w:lang w:val="es-MX" w:eastAsia="es-MX"/>
              </w:rPr>
              <w:t>Fondo de Inversión</w:t>
            </w:r>
          </w:p>
        </w:tc>
        <w:tc>
          <w:tcPr>
            <w:tcW w:w="1876" w:type="dxa"/>
            <w:tcBorders>
              <w:top w:val="single" w:sz="4" w:space="0" w:color="auto"/>
              <w:left w:val="nil"/>
              <w:right w:val="single" w:sz="4" w:space="0" w:color="auto"/>
            </w:tcBorders>
            <w:shd w:val="clear" w:color="auto" w:fill="auto"/>
            <w:noWrap/>
            <w:vAlign w:val="center"/>
            <w:hideMark/>
          </w:tcPr>
          <w:p w14:paraId="7A6B9AB4" w14:textId="1271D0F1" w:rsidR="00596E7B" w:rsidRPr="00794968" w:rsidRDefault="00596E7B" w:rsidP="002F131C">
            <w:pPr>
              <w:jc w:val="right"/>
              <w:rPr>
                <w:rFonts w:ascii="Montserrat Medium" w:hAnsi="Montserrat Medium" w:cs="Calibri"/>
                <w:b/>
                <w:bCs/>
                <w:color w:val="595959"/>
                <w:sz w:val="18"/>
                <w:szCs w:val="18"/>
              </w:rPr>
            </w:pPr>
            <w:r>
              <w:rPr>
                <w:rFonts w:ascii="Montserrat Medium" w:hAnsi="Montserrat Medium" w:cs="Calibri"/>
                <w:b/>
                <w:bCs/>
                <w:color w:val="000000"/>
                <w:sz w:val="18"/>
                <w:szCs w:val="18"/>
              </w:rPr>
              <w:t>1,600,186,238.65</w:t>
            </w:r>
          </w:p>
        </w:tc>
        <w:tc>
          <w:tcPr>
            <w:tcW w:w="1775" w:type="dxa"/>
            <w:tcBorders>
              <w:top w:val="single" w:sz="4" w:space="0" w:color="auto"/>
              <w:left w:val="nil"/>
              <w:right w:val="single" w:sz="4" w:space="0" w:color="auto"/>
            </w:tcBorders>
            <w:shd w:val="clear" w:color="auto" w:fill="auto"/>
            <w:noWrap/>
            <w:vAlign w:val="center"/>
            <w:hideMark/>
          </w:tcPr>
          <w:p w14:paraId="0D1AD5CB" w14:textId="15859490" w:rsidR="00596E7B" w:rsidRPr="00B52292" w:rsidRDefault="00596E7B" w:rsidP="002F131C">
            <w:pPr>
              <w:jc w:val="right"/>
              <w:rPr>
                <w:rFonts w:ascii="Montserrat Medium" w:eastAsia="Times New Roman" w:hAnsi="Montserrat Medium" w:cs="Calibri"/>
                <w:b/>
                <w:bCs/>
                <w:color w:val="595959"/>
                <w:sz w:val="18"/>
                <w:szCs w:val="18"/>
                <w:lang w:val="es-MX" w:eastAsia="es-MX"/>
              </w:rPr>
            </w:pPr>
            <w:r w:rsidRPr="00B52292">
              <w:rPr>
                <w:rFonts w:ascii="Montserrat Medium" w:hAnsi="Montserrat Medium" w:cs="Calibri"/>
                <w:b/>
                <w:bCs/>
                <w:color w:val="595959"/>
                <w:sz w:val="18"/>
                <w:szCs w:val="18"/>
              </w:rPr>
              <w:t>186,235.50</w:t>
            </w:r>
          </w:p>
        </w:tc>
      </w:tr>
      <w:tr w:rsidR="00596E7B" w:rsidRPr="00B52292" w14:paraId="315DA2F3" w14:textId="77777777" w:rsidTr="0003514D">
        <w:trPr>
          <w:trHeight w:hRule="exact" w:val="227"/>
          <w:jc w:val="center"/>
        </w:trPr>
        <w:tc>
          <w:tcPr>
            <w:tcW w:w="3070" w:type="dxa"/>
            <w:tcBorders>
              <w:top w:val="nil"/>
              <w:left w:val="single" w:sz="4" w:space="0" w:color="auto"/>
              <w:right w:val="single" w:sz="4" w:space="0" w:color="auto"/>
            </w:tcBorders>
            <w:shd w:val="clear" w:color="auto" w:fill="auto"/>
            <w:noWrap/>
            <w:vAlign w:val="bottom"/>
            <w:hideMark/>
          </w:tcPr>
          <w:p w14:paraId="64446108" w14:textId="77777777" w:rsidR="00596E7B" w:rsidRPr="00B52292" w:rsidRDefault="00596E7B" w:rsidP="002F131C">
            <w:pPr>
              <w:rPr>
                <w:rFonts w:ascii="Montserrat Medium" w:eastAsia="Times New Roman" w:hAnsi="Montserrat Medium" w:cs="Calibri"/>
                <w:color w:val="595959"/>
                <w:sz w:val="18"/>
                <w:szCs w:val="18"/>
                <w:lang w:val="es-MX" w:eastAsia="es-MX"/>
              </w:rPr>
            </w:pPr>
            <w:r w:rsidRPr="00B52292">
              <w:rPr>
                <w:rFonts w:ascii="Montserrat Medium" w:eastAsia="Times New Roman" w:hAnsi="Montserrat Medium" w:cs="Calibri"/>
                <w:color w:val="595959"/>
                <w:sz w:val="18"/>
                <w:szCs w:val="18"/>
                <w:lang w:val="es-MX" w:eastAsia="es-MX"/>
              </w:rPr>
              <w:t>Bancos</w:t>
            </w:r>
          </w:p>
        </w:tc>
        <w:tc>
          <w:tcPr>
            <w:tcW w:w="1876" w:type="dxa"/>
            <w:tcBorders>
              <w:top w:val="nil"/>
              <w:left w:val="nil"/>
              <w:right w:val="single" w:sz="4" w:space="0" w:color="auto"/>
            </w:tcBorders>
            <w:shd w:val="clear" w:color="auto" w:fill="auto"/>
            <w:noWrap/>
            <w:vAlign w:val="center"/>
            <w:hideMark/>
          </w:tcPr>
          <w:p w14:paraId="2E4B6A91" w14:textId="6C90FD27" w:rsidR="00596E7B" w:rsidRPr="009C26EF" w:rsidRDefault="00596E7B" w:rsidP="002F131C">
            <w:pPr>
              <w:jc w:val="right"/>
              <w:rPr>
                <w:rFonts w:ascii="Montserrat Medium" w:hAnsi="Montserrat Medium" w:cs="Calibri"/>
                <w:bCs/>
                <w:color w:val="595959"/>
                <w:sz w:val="18"/>
                <w:szCs w:val="18"/>
              </w:rPr>
            </w:pPr>
            <w:r>
              <w:rPr>
                <w:rFonts w:ascii="Montserrat Medium" w:hAnsi="Montserrat Medium" w:cs="Calibri"/>
                <w:color w:val="000000"/>
                <w:sz w:val="18"/>
                <w:szCs w:val="18"/>
              </w:rPr>
              <w:t>1,100,186,238.65</w:t>
            </w:r>
          </w:p>
        </w:tc>
        <w:tc>
          <w:tcPr>
            <w:tcW w:w="1775" w:type="dxa"/>
            <w:tcBorders>
              <w:top w:val="nil"/>
              <w:left w:val="nil"/>
              <w:right w:val="single" w:sz="4" w:space="0" w:color="auto"/>
            </w:tcBorders>
            <w:shd w:val="clear" w:color="auto" w:fill="auto"/>
            <w:noWrap/>
            <w:vAlign w:val="center"/>
            <w:hideMark/>
          </w:tcPr>
          <w:p w14:paraId="1E43FD6B" w14:textId="7CCC7409" w:rsidR="00596E7B" w:rsidRPr="00B52292" w:rsidRDefault="00596E7B" w:rsidP="002F131C">
            <w:pPr>
              <w:jc w:val="right"/>
              <w:rPr>
                <w:rFonts w:ascii="Montserrat Medium" w:eastAsia="Times New Roman" w:hAnsi="Montserrat Medium" w:cs="Calibri"/>
                <w:bCs/>
                <w:color w:val="595959"/>
                <w:sz w:val="18"/>
                <w:szCs w:val="18"/>
                <w:lang w:val="es-MX" w:eastAsia="es-MX"/>
              </w:rPr>
            </w:pPr>
            <w:r w:rsidRPr="00B52292">
              <w:rPr>
                <w:rFonts w:ascii="Montserrat Medium" w:hAnsi="Montserrat Medium" w:cs="Calibri"/>
                <w:color w:val="595959"/>
                <w:sz w:val="18"/>
                <w:szCs w:val="18"/>
              </w:rPr>
              <w:t>186,235.50</w:t>
            </w:r>
          </w:p>
        </w:tc>
      </w:tr>
      <w:tr w:rsidR="00596E7B" w:rsidRPr="00B52292" w14:paraId="76D70F6B" w14:textId="77777777" w:rsidTr="0003514D">
        <w:trPr>
          <w:trHeight w:hRule="exact" w:val="227"/>
          <w:jc w:val="center"/>
        </w:trPr>
        <w:tc>
          <w:tcPr>
            <w:tcW w:w="3070" w:type="dxa"/>
            <w:tcBorders>
              <w:top w:val="nil"/>
              <w:left w:val="single" w:sz="4" w:space="0" w:color="auto"/>
              <w:right w:val="single" w:sz="4" w:space="0" w:color="auto"/>
            </w:tcBorders>
            <w:shd w:val="clear" w:color="auto" w:fill="auto"/>
            <w:noWrap/>
            <w:vAlign w:val="bottom"/>
            <w:hideMark/>
          </w:tcPr>
          <w:p w14:paraId="70411D24" w14:textId="77777777" w:rsidR="00596E7B" w:rsidRPr="00B52292" w:rsidRDefault="00596E7B" w:rsidP="002F131C">
            <w:pPr>
              <w:rPr>
                <w:rFonts w:ascii="Montserrat Medium" w:eastAsia="Times New Roman" w:hAnsi="Montserrat Medium" w:cs="Calibri"/>
                <w:color w:val="595959"/>
                <w:sz w:val="18"/>
                <w:szCs w:val="18"/>
                <w:lang w:val="es-MX" w:eastAsia="es-MX"/>
              </w:rPr>
            </w:pPr>
            <w:r w:rsidRPr="00B52292">
              <w:rPr>
                <w:rFonts w:ascii="Montserrat Medium" w:eastAsia="Times New Roman" w:hAnsi="Montserrat Medium" w:cs="Calibri"/>
                <w:color w:val="595959"/>
                <w:sz w:val="18"/>
                <w:szCs w:val="18"/>
                <w:lang w:val="es-MX" w:eastAsia="es-MX"/>
              </w:rPr>
              <w:t>Inversiones</w:t>
            </w:r>
          </w:p>
        </w:tc>
        <w:tc>
          <w:tcPr>
            <w:tcW w:w="1876" w:type="dxa"/>
            <w:tcBorders>
              <w:top w:val="nil"/>
              <w:left w:val="nil"/>
              <w:right w:val="single" w:sz="4" w:space="0" w:color="auto"/>
            </w:tcBorders>
            <w:shd w:val="clear" w:color="auto" w:fill="auto"/>
            <w:noWrap/>
            <w:vAlign w:val="center"/>
            <w:hideMark/>
          </w:tcPr>
          <w:p w14:paraId="0D07D841" w14:textId="4655E5D8" w:rsidR="00596E7B" w:rsidRPr="009C26EF" w:rsidRDefault="00596E7B" w:rsidP="002F131C">
            <w:pPr>
              <w:jc w:val="right"/>
              <w:rPr>
                <w:rFonts w:ascii="Montserrat Medium" w:hAnsi="Montserrat Medium" w:cs="Calibri"/>
                <w:bCs/>
                <w:color w:val="595959"/>
                <w:sz w:val="18"/>
                <w:szCs w:val="18"/>
              </w:rPr>
            </w:pPr>
            <w:r>
              <w:rPr>
                <w:rFonts w:ascii="Montserrat Medium" w:hAnsi="Montserrat Medium" w:cs="Calibri"/>
                <w:color w:val="000000"/>
                <w:sz w:val="18"/>
                <w:szCs w:val="18"/>
              </w:rPr>
              <w:t>500,000,000.00</w:t>
            </w:r>
          </w:p>
        </w:tc>
        <w:tc>
          <w:tcPr>
            <w:tcW w:w="1775" w:type="dxa"/>
            <w:tcBorders>
              <w:top w:val="nil"/>
              <w:left w:val="nil"/>
              <w:right w:val="single" w:sz="4" w:space="0" w:color="auto"/>
            </w:tcBorders>
            <w:shd w:val="clear" w:color="auto" w:fill="auto"/>
            <w:noWrap/>
            <w:vAlign w:val="center"/>
            <w:hideMark/>
          </w:tcPr>
          <w:p w14:paraId="00FFF7EE" w14:textId="203BB547" w:rsidR="00596E7B" w:rsidRPr="00B52292" w:rsidRDefault="00596E7B" w:rsidP="002F131C">
            <w:pPr>
              <w:jc w:val="right"/>
              <w:rPr>
                <w:rFonts w:ascii="Montserrat Medium" w:eastAsia="Times New Roman" w:hAnsi="Montserrat Medium" w:cs="Calibri"/>
                <w:bCs/>
                <w:color w:val="595959"/>
                <w:sz w:val="18"/>
                <w:szCs w:val="18"/>
                <w:lang w:val="es-MX" w:eastAsia="es-MX"/>
              </w:rPr>
            </w:pPr>
            <w:r w:rsidRPr="00B52292">
              <w:rPr>
                <w:rFonts w:ascii="Montserrat Medium" w:hAnsi="Montserrat Medium" w:cs="Calibri"/>
                <w:color w:val="595959"/>
                <w:sz w:val="18"/>
                <w:szCs w:val="18"/>
              </w:rPr>
              <w:t>0.00 </w:t>
            </w:r>
          </w:p>
        </w:tc>
      </w:tr>
      <w:tr w:rsidR="00596E7B" w:rsidRPr="00B52292" w14:paraId="41CF7FD3" w14:textId="77777777" w:rsidTr="0003514D">
        <w:trPr>
          <w:trHeight w:hRule="exact" w:val="227"/>
          <w:jc w:val="center"/>
        </w:trPr>
        <w:tc>
          <w:tcPr>
            <w:tcW w:w="3070" w:type="dxa"/>
            <w:tcBorders>
              <w:top w:val="nil"/>
              <w:left w:val="single" w:sz="4" w:space="0" w:color="auto"/>
              <w:right w:val="single" w:sz="4" w:space="0" w:color="auto"/>
            </w:tcBorders>
            <w:shd w:val="clear" w:color="auto" w:fill="auto"/>
            <w:noWrap/>
            <w:vAlign w:val="bottom"/>
            <w:hideMark/>
          </w:tcPr>
          <w:p w14:paraId="33777149" w14:textId="77777777" w:rsidR="00596E7B" w:rsidRPr="00B52292" w:rsidRDefault="00596E7B" w:rsidP="002F131C">
            <w:pPr>
              <w:rPr>
                <w:rFonts w:ascii="Montserrat Medium" w:eastAsia="Times New Roman" w:hAnsi="Montserrat Medium" w:cs="Calibri"/>
                <w:b/>
                <w:bCs/>
                <w:color w:val="595959"/>
                <w:sz w:val="18"/>
                <w:szCs w:val="18"/>
                <w:lang w:val="es-MX" w:eastAsia="es-MX"/>
              </w:rPr>
            </w:pPr>
            <w:r w:rsidRPr="00B52292">
              <w:rPr>
                <w:rFonts w:ascii="Montserrat Medium" w:eastAsia="Times New Roman" w:hAnsi="Montserrat Medium" w:cs="Calibri"/>
                <w:b/>
                <w:bCs/>
                <w:color w:val="595959"/>
                <w:sz w:val="18"/>
                <w:szCs w:val="18"/>
                <w:lang w:val="es-MX" w:eastAsia="es-MX"/>
              </w:rPr>
              <w:t>Inversiones en Fideicomisos</w:t>
            </w:r>
          </w:p>
        </w:tc>
        <w:tc>
          <w:tcPr>
            <w:tcW w:w="1876" w:type="dxa"/>
            <w:tcBorders>
              <w:top w:val="nil"/>
              <w:left w:val="nil"/>
              <w:right w:val="single" w:sz="4" w:space="0" w:color="auto"/>
            </w:tcBorders>
            <w:shd w:val="clear" w:color="auto" w:fill="auto"/>
            <w:noWrap/>
            <w:vAlign w:val="center"/>
            <w:hideMark/>
          </w:tcPr>
          <w:p w14:paraId="0841D4D1" w14:textId="317CD4AC" w:rsidR="00596E7B" w:rsidRPr="00794968" w:rsidRDefault="00596E7B" w:rsidP="002F131C">
            <w:pPr>
              <w:jc w:val="right"/>
              <w:rPr>
                <w:rFonts w:ascii="Montserrat Medium" w:hAnsi="Montserrat Medium" w:cs="Calibri"/>
                <w:b/>
                <w:bCs/>
                <w:color w:val="595959"/>
                <w:sz w:val="18"/>
                <w:szCs w:val="18"/>
              </w:rPr>
            </w:pPr>
            <w:r>
              <w:rPr>
                <w:rFonts w:ascii="Montserrat Medium" w:hAnsi="Montserrat Medium" w:cs="Calibri"/>
                <w:b/>
                <w:bCs/>
                <w:color w:val="000000"/>
                <w:sz w:val="18"/>
                <w:szCs w:val="18"/>
              </w:rPr>
              <w:t>0.00</w:t>
            </w:r>
          </w:p>
        </w:tc>
        <w:tc>
          <w:tcPr>
            <w:tcW w:w="1775" w:type="dxa"/>
            <w:tcBorders>
              <w:top w:val="nil"/>
              <w:left w:val="nil"/>
              <w:right w:val="single" w:sz="4" w:space="0" w:color="auto"/>
            </w:tcBorders>
            <w:shd w:val="clear" w:color="auto" w:fill="auto"/>
            <w:noWrap/>
            <w:vAlign w:val="center"/>
            <w:hideMark/>
          </w:tcPr>
          <w:p w14:paraId="608DFA7D" w14:textId="4294F26A" w:rsidR="00596E7B" w:rsidRPr="00B52292" w:rsidRDefault="00596E7B" w:rsidP="002F131C">
            <w:pPr>
              <w:jc w:val="right"/>
              <w:rPr>
                <w:rFonts w:ascii="Montserrat Medium" w:eastAsia="Times New Roman" w:hAnsi="Montserrat Medium" w:cs="Calibri"/>
                <w:b/>
                <w:bCs/>
                <w:color w:val="595959"/>
                <w:sz w:val="18"/>
                <w:szCs w:val="18"/>
                <w:lang w:val="es-MX" w:eastAsia="es-MX"/>
              </w:rPr>
            </w:pPr>
            <w:r w:rsidRPr="00B52292">
              <w:rPr>
                <w:rFonts w:ascii="Montserrat Medium" w:hAnsi="Montserrat Medium" w:cs="Calibri"/>
                <w:b/>
                <w:color w:val="595959"/>
                <w:sz w:val="18"/>
                <w:szCs w:val="18"/>
              </w:rPr>
              <w:t>0.00</w:t>
            </w:r>
          </w:p>
        </w:tc>
      </w:tr>
      <w:tr w:rsidR="00596E7B" w:rsidRPr="00B52292" w14:paraId="53464AFA" w14:textId="77777777" w:rsidTr="0003514D">
        <w:trPr>
          <w:trHeight w:hRule="exact" w:val="227"/>
          <w:jc w:val="center"/>
        </w:trPr>
        <w:tc>
          <w:tcPr>
            <w:tcW w:w="3070" w:type="dxa"/>
            <w:tcBorders>
              <w:top w:val="nil"/>
              <w:left w:val="single" w:sz="4" w:space="0" w:color="auto"/>
              <w:bottom w:val="single" w:sz="4" w:space="0" w:color="auto"/>
              <w:right w:val="single" w:sz="4" w:space="0" w:color="auto"/>
            </w:tcBorders>
            <w:shd w:val="clear" w:color="auto" w:fill="auto"/>
            <w:noWrap/>
            <w:vAlign w:val="bottom"/>
            <w:hideMark/>
          </w:tcPr>
          <w:p w14:paraId="5067A981" w14:textId="77777777" w:rsidR="00596E7B" w:rsidRPr="00B52292" w:rsidRDefault="00596E7B" w:rsidP="002F131C">
            <w:pPr>
              <w:rPr>
                <w:rFonts w:ascii="Montserrat Medium" w:eastAsia="Times New Roman" w:hAnsi="Montserrat Medium" w:cs="Calibri"/>
                <w:color w:val="595959"/>
                <w:sz w:val="18"/>
                <w:szCs w:val="18"/>
                <w:lang w:val="es-MX" w:eastAsia="es-MX"/>
              </w:rPr>
            </w:pPr>
            <w:r w:rsidRPr="00B52292">
              <w:rPr>
                <w:rFonts w:ascii="Montserrat Medium" w:eastAsia="Times New Roman" w:hAnsi="Montserrat Medium" w:cs="Calibri"/>
                <w:color w:val="595959"/>
                <w:sz w:val="18"/>
                <w:szCs w:val="18"/>
                <w:lang w:val="es-MX" w:eastAsia="es-MX"/>
              </w:rPr>
              <w:t>Banorte S.A.</w:t>
            </w:r>
          </w:p>
        </w:tc>
        <w:tc>
          <w:tcPr>
            <w:tcW w:w="1876" w:type="dxa"/>
            <w:tcBorders>
              <w:top w:val="nil"/>
              <w:left w:val="single" w:sz="4" w:space="0" w:color="auto"/>
              <w:bottom w:val="single" w:sz="4" w:space="0" w:color="auto"/>
              <w:right w:val="single" w:sz="4" w:space="0" w:color="auto"/>
            </w:tcBorders>
            <w:shd w:val="clear" w:color="auto" w:fill="auto"/>
            <w:noWrap/>
            <w:vAlign w:val="center"/>
            <w:hideMark/>
          </w:tcPr>
          <w:p w14:paraId="33DE8A43" w14:textId="605CD8DF" w:rsidR="00596E7B" w:rsidRPr="009C26EF" w:rsidRDefault="00596E7B" w:rsidP="002F131C">
            <w:pPr>
              <w:jc w:val="right"/>
              <w:rPr>
                <w:rFonts w:ascii="Montserrat Medium" w:hAnsi="Montserrat Medium" w:cs="Calibri"/>
                <w:bCs/>
                <w:color w:val="595959"/>
                <w:sz w:val="18"/>
                <w:szCs w:val="18"/>
              </w:rPr>
            </w:pPr>
            <w:r>
              <w:rPr>
                <w:rFonts w:ascii="Montserrat Medium" w:hAnsi="Montserrat Medium" w:cs="Calibri"/>
                <w:color w:val="000000"/>
                <w:sz w:val="18"/>
                <w:szCs w:val="18"/>
              </w:rPr>
              <w:t>0.00</w:t>
            </w:r>
          </w:p>
        </w:tc>
        <w:tc>
          <w:tcPr>
            <w:tcW w:w="1775" w:type="dxa"/>
            <w:tcBorders>
              <w:top w:val="nil"/>
              <w:left w:val="nil"/>
              <w:bottom w:val="single" w:sz="4" w:space="0" w:color="auto"/>
              <w:right w:val="single" w:sz="4" w:space="0" w:color="auto"/>
            </w:tcBorders>
            <w:shd w:val="clear" w:color="auto" w:fill="auto"/>
            <w:noWrap/>
            <w:vAlign w:val="center"/>
            <w:hideMark/>
          </w:tcPr>
          <w:p w14:paraId="7B6B025B" w14:textId="2B099AC5" w:rsidR="00596E7B" w:rsidRPr="00B52292" w:rsidRDefault="00596E7B" w:rsidP="002F131C">
            <w:pPr>
              <w:jc w:val="right"/>
              <w:rPr>
                <w:rFonts w:ascii="Montserrat Medium" w:eastAsia="Times New Roman" w:hAnsi="Montserrat Medium" w:cs="Calibri"/>
                <w:bCs/>
                <w:color w:val="595959"/>
                <w:sz w:val="18"/>
                <w:szCs w:val="18"/>
                <w:lang w:val="es-MX" w:eastAsia="es-MX"/>
              </w:rPr>
            </w:pPr>
            <w:r w:rsidRPr="00B52292">
              <w:rPr>
                <w:rFonts w:ascii="Montserrat Medium" w:hAnsi="Montserrat Medium" w:cs="Calibri"/>
                <w:bCs/>
                <w:color w:val="595959"/>
                <w:sz w:val="18"/>
                <w:szCs w:val="18"/>
              </w:rPr>
              <w:t>0.00</w:t>
            </w:r>
          </w:p>
        </w:tc>
      </w:tr>
      <w:tr w:rsidR="00596E7B" w:rsidRPr="00B52292" w14:paraId="302B71A4" w14:textId="77777777" w:rsidTr="0003514D">
        <w:trPr>
          <w:trHeight w:hRule="exact" w:val="227"/>
          <w:jc w:val="center"/>
        </w:trPr>
        <w:tc>
          <w:tcPr>
            <w:tcW w:w="3070" w:type="dxa"/>
            <w:tcBorders>
              <w:top w:val="nil"/>
              <w:left w:val="single" w:sz="4" w:space="0" w:color="auto"/>
              <w:bottom w:val="single" w:sz="4" w:space="0" w:color="auto"/>
              <w:right w:val="single" w:sz="4" w:space="0" w:color="auto"/>
            </w:tcBorders>
            <w:shd w:val="clear" w:color="auto" w:fill="auto"/>
            <w:noWrap/>
            <w:vAlign w:val="bottom"/>
            <w:hideMark/>
          </w:tcPr>
          <w:p w14:paraId="4AB744A4" w14:textId="77777777" w:rsidR="00596E7B" w:rsidRPr="00B52292" w:rsidRDefault="00596E7B" w:rsidP="002F131C">
            <w:pPr>
              <w:rPr>
                <w:rFonts w:ascii="Montserrat Medium" w:eastAsia="Times New Roman" w:hAnsi="Montserrat Medium" w:cs="Calibri"/>
                <w:b/>
                <w:bCs/>
                <w:color w:val="595959"/>
                <w:sz w:val="18"/>
                <w:szCs w:val="18"/>
                <w:lang w:val="es-MX" w:eastAsia="es-MX"/>
              </w:rPr>
            </w:pPr>
            <w:r w:rsidRPr="00B52292">
              <w:rPr>
                <w:rFonts w:ascii="Montserrat Medium" w:eastAsia="Times New Roman" w:hAnsi="Montserrat Medium" w:cs="Calibri"/>
                <w:b/>
                <w:bCs/>
                <w:color w:val="595959"/>
                <w:sz w:val="18"/>
                <w:szCs w:val="18"/>
                <w:lang w:val="es-MX" w:eastAsia="es-MX"/>
              </w:rPr>
              <w:t>Total</w:t>
            </w:r>
          </w:p>
        </w:tc>
        <w:tc>
          <w:tcPr>
            <w:tcW w:w="1876" w:type="dxa"/>
            <w:tcBorders>
              <w:top w:val="nil"/>
              <w:left w:val="single" w:sz="4" w:space="0" w:color="auto"/>
              <w:bottom w:val="single" w:sz="4" w:space="0" w:color="auto"/>
              <w:right w:val="single" w:sz="4" w:space="0" w:color="auto"/>
            </w:tcBorders>
            <w:shd w:val="clear" w:color="auto" w:fill="auto"/>
            <w:noWrap/>
            <w:vAlign w:val="center"/>
            <w:hideMark/>
          </w:tcPr>
          <w:p w14:paraId="73D13006" w14:textId="36046246" w:rsidR="00596E7B" w:rsidRPr="00794968" w:rsidRDefault="00596E7B" w:rsidP="002F131C">
            <w:pPr>
              <w:jc w:val="right"/>
              <w:rPr>
                <w:rFonts w:ascii="Montserrat Medium" w:hAnsi="Montserrat Medium" w:cs="Calibri"/>
                <w:b/>
                <w:bCs/>
                <w:color w:val="595959"/>
                <w:sz w:val="18"/>
                <w:szCs w:val="18"/>
              </w:rPr>
            </w:pPr>
            <w:r>
              <w:rPr>
                <w:rFonts w:ascii="Montserrat Medium" w:hAnsi="Montserrat Medium" w:cs="Calibri"/>
                <w:b/>
                <w:bCs/>
                <w:color w:val="000000"/>
                <w:sz w:val="18"/>
                <w:szCs w:val="18"/>
              </w:rPr>
              <w:t>1,600,186,238.65</w:t>
            </w:r>
          </w:p>
        </w:tc>
        <w:tc>
          <w:tcPr>
            <w:tcW w:w="1775" w:type="dxa"/>
            <w:tcBorders>
              <w:top w:val="nil"/>
              <w:left w:val="nil"/>
              <w:bottom w:val="single" w:sz="4" w:space="0" w:color="auto"/>
              <w:right w:val="single" w:sz="4" w:space="0" w:color="auto"/>
            </w:tcBorders>
            <w:shd w:val="clear" w:color="auto" w:fill="auto"/>
            <w:noWrap/>
            <w:vAlign w:val="center"/>
            <w:hideMark/>
          </w:tcPr>
          <w:p w14:paraId="3B2C5E53" w14:textId="0E67B067" w:rsidR="00596E7B" w:rsidRPr="00B52292" w:rsidRDefault="00596E7B" w:rsidP="002F131C">
            <w:pPr>
              <w:jc w:val="right"/>
              <w:rPr>
                <w:rFonts w:ascii="Montserrat Medium" w:eastAsia="Times New Roman" w:hAnsi="Montserrat Medium" w:cs="Calibri"/>
                <w:b/>
                <w:bCs/>
                <w:color w:val="595959"/>
                <w:sz w:val="18"/>
                <w:szCs w:val="18"/>
                <w:lang w:val="es-MX" w:eastAsia="es-MX"/>
              </w:rPr>
            </w:pPr>
            <w:r w:rsidRPr="00B52292">
              <w:rPr>
                <w:rFonts w:ascii="Montserrat Medium" w:hAnsi="Montserrat Medium" w:cs="Calibri"/>
                <w:b/>
                <w:bCs/>
                <w:color w:val="595959"/>
                <w:sz w:val="18"/>
                <w:szCs w:val="18"/>
              </w:rPr>
              <w:t>186,235.50</w:t>
            </w:r>
          </w:p>
        </w:tc>
      </w:tr>
    </w:tbl>
    <w:p w14:paraId="690C4379" w14:textId="77777777" w:rsidR="009A191D" w:rsidRDefault="009A191D" w:rsidP="002F131C">
      <w:pPr>
        <w:rPr>
          <w:rFonts w:ascii="Montserrat Medium" w:eastAsia="Times New Roman" w:hAnsi="Montserrat Medium" w:cs="Arial"/>
          <w:b/>
          <w:i/>
          <w:iCs/>
          <w:color w:val="595959"/>
          <w:sz w:val="22"/>
        </w:rPr>
      </w:pPr>
    </w:p>
    <w:p w14:paraId="72EEABCD" w14:textId="6E568FED" w:rsidR="008257FE" w:rsidRPr="00D56579" w:rsidRDefault="00412190" w:rsidP="002F131C">
      <w:pPr>
        <w:rPr>
          <w:rFonts w:ascii="Montserrat Medium" w:eastAsia="Times New Roman" w:hAnsi="Montserrat Medium" w:cs="Arial"/>
          <w:b/>
          <w:i/>
          <w:iCs/>
          <w:color w:val="595959"/>
          <w:sz w:val="22"/>
        </w:rPr>
      </w:pPr>
      <w:r w:rsidRPr="00B52292">
        <w:rPr>
          <w:rFonts w:ascii="Montserrat Medium" w:eastAsia="Times New Roman" w:hAnsi="Montserrat Medium" w:cs="Arial"/>
          <w:b/>
          <w:i/>
          <w:iCs/>
          <w:color w:val="595959"/>
          <w:sz w:val="22"/>
        </w:rPr>
        <w:t>8.</w:t>
      </w:r>
      <w:r w:rsidR="008257FE" w:rsidRPr="00B52292">
        <w:rPr>
          <w:rFonts w:ascii="Montserrat Medium" w:eastAsia="Times New Roman" w:hAnsi="Montserrat Medium" w:cs="Arial"/>
          <w:b/>
          <w:i/>
          <w:iCs/>
          <w:color w:val="595959"/>
          <w:sz w:val="22"/>
        </w:rPr>
        <w:t xml:space="preserve"> Fideicomisos, Mandatos y Análogos</w:t>
      </w:r>
    </w:p>
    <w:p w14:paraId="4941C518" w14:textId="77777777" w:rsidR="008257FE" w:rsidRPr="00D56579" w:rsidRDefault="008257FE" w:rsidP="002F131C">
      <w:pPr>
        <w:jc w:val="both"/>
        <w:rPr>
          <w:rFonts w:ascii="Montserrat Medium" w:eastAsia="Times New Roman" w:hAnsi="Montserrat Medium" w:cs="Tahoma"/>
          <w:color w:val="595959"/>
          <w:sz w:val="22"/>
          <w:lang w:eastAsia="en-US"/>
        </w:rPr>
      </w:pPr>
    </w:p>
    <w:p w14:paraId="7B32F9AA" w14:textId="361C78A6" w:rsidR="001C646B" w:rsidRPr="00A76F9D" w:rsidRDefault="001C646B" w:rsidP="002F131C">
      <w:pPr>
        <w:contextualSpacing/>
        <w:jc w:val="both"/>
        <w:rPr>
          <w:rFonts w:ascii="Montserrat Medium" w:eastAsia="Times New Roman" w:hAnsi="Montserrat Medium" w:cs="Arial"/>
          <w:color w:val="595959"/>
          <w:sz w:val="22"/>
        </w:rPr>
      </w:pPr>
      <w:r w:rsidRPr="00A76F9D">
        <w:rPr>
          <w:rFonts w:ascii="Montserrat Medium" w:eastAsia="Times New Roman" w:hAnsi="Montserrat Medium" w:cs="Arial"/>
          <w:color w:val="595959"/>
          <w:sz w:val="22"/>
        </w:rPr>
        <w:t xml:space="preserve">A continuación se describen los activos por inversiones en valores e inversiones financieras </w:t>
      </w:r>
      <w:r w:rsidR="00B52292" w:rsidRPr="00A76F9D">
        <w:rPr>
          <w:rFonts w:ascii="Montserrat Medium" w:eastAsia="Times New Roman" w:hAnsi="Montserrat Medium" w:cs="Arial"/>
          <w:color w:val="595959"/>
          <w:sz w:val="22"/>
        </w:rPr>
        <w:t>al 3</w:t>
      </w:r>
      <w:r w:rsidR="00A76F9D" w:rsidRPr="00A76F9D">
        <w:rPr>
          <w:rFonts w:ascii="Montserrat Medium" w:eastAsia="Times New Roman" w:hAnsi="Montserrat Medium" w:cs="Arial"/>
          <w:color w:val="595959"/>
          <w:sz w:val="22"/>
        </w:rPr>
        <w:t>0</w:t>
      </w:r>
      <w:r w:rsidR="00B52292" w:rsidRPr="00A76F9D">
        <w:rPr>
          <w:rFonts w:ascii="Montserrat Medium" w:eastAsia="Times New Roman" w:hAnsi="Montserrat Medium" w:cs="Arial"/>
          <w:color w:val="595959"/>
          <w:sz w:val="22"/>
        </w:rPr>
        <w:t xml:space="preserve"> de </w:t>
      </w:r>
      <w:r w:rsidR="00A76F9D" w:rsidRPr="00A76F9D">
        <w:rPr>
          <w:rFonts w:ascii="Montserrat Medium" w:eastAsia="Times New Roman" w:hAnsi="Montserrat Medium" w:cs="Arial"/>
          <w:color w:val="595959"/>
          <w:sz w:val="22"/>
        </w:rPr>
        <w:t>junio</w:t>
      </w:r>
      <w:r w:rsidR="00B52292" w:rsidRPr="00A76F9D">
        <w:rPr>
          <w:rFonts w:ascii="Montserrat Medium" w:eastAsia="Times New Roman" w:hAnsi="Montserrat Medium" w:cs="Arial"/>
          <w:color w:val="595959"/>
          <w:sz w:val="22"/>
        </w:rPr>
        <w:t xml:space="preserve"> de 2025 y ejercicio fiscal 2024</w:t>
      </w:r>
    </w:p>
    <w:tbl>
      <w:tblPr>
        <w:tblW w:w="9682" w:type="dxa"/>
        <w:jc w:val="center"/>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5"/>
        <w:gridCol w:w="1701"/>
        <w:gridCol w:w="1426"/>
      </w:tblGrid>
      <w:tr w:rsidR="00B52292" w:rsidRPr="009C26EF" w14:paraId="499721BB" w14:textId="77777777" w:rsidTr="00782EB0">
        <w:trPr>
          <w:trHeight w:val="283"/>
          <w:tblHeader/>
          <w:jc w:val="center"/>
        </w:trPr>
        <w:tc>
          <w:tcPr>
            <w:tcW w:w="6555"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4A5F8C6D" w14:textId="77777777" w:rsidR="00B52292" w:rsidRPr="00A76F9D" w:rsidRDefault="00B52292" w:rsidP="002F131C">
            <w:pPr>
              <w:jc w:val="center"/>
              <w:rPr>
                <w:rFonts w:ascii="Montserrat Medium" w:eastAsia="Times New Roman" w:hAnsi="Montserrat Medium" w:cs="Futura Medium"/>
                <w:b/>
                <w:sz w:val="16"/>
                <w:szCs w:val="18"/>
                <w:lang w:eastAsia="en-US"/>
              </w:rPr>
            </w:pPr>
            <w:r w:rsidRPr="00A76F9D">
              <w:rPr>
                <w:rFonts w:ascii="Montserrat Medium" w:eastAsia="Times New Roman" w:hAnsi="Montserrat Medium" w:cs="Futura Medium"/>
                <w:sz w:val="16"/>
                <w:szCs w:val="18"/>
                <w:lang w:eastAsia="en-US"/>
              </w:rPr>
              <w:br w:type="page"/>
            </w:r>
            <w:r w:rsidRPr="00A76F9D">
              <w:rPr>
                <w:rFonts w:ascii="Montserrat Medium" w:eastAsia="Times New Roman" w:hAnsi="Montserrat Medium" w:cs="Futura Medium"/>
                <w:b/>
                <w:sz w:val="16"/>
                <w:szCs w:val="18"/>
                <w:lang w:eastAsia="en-US"/>
              </w:rPr>
              <w:t>Fideicomiso</w:t>
            </w:r>
          </w:p>
        </w:tc>
        <w:tc>
          <w:tcPr>
            <w:tcW w:w="1701" w:type="dxa"/>
            <w:tcBorders>
              <w:top w:val="single" w:sz="4" w:space="0" w:color="auto"/>
              <w:left w:val="single" w:sz="4" w:space="0" w:color="auto"/>
              <w:bottom w:val="single" w:sz="4" w:space="0" w:color="auto"/>
              <w:right w:val="single" w:sz="4" w:space="0" w:color="auto"/>
            </w:tcBorders>
            <w:shd w:val="clear" w:color="auto" w:fill="A6A6A6"/>
            <w:vAlign w:val="center"/>
          </w:tcPr>
          <w:p w14:paraId="4E9B0345" w14:textId="3FB16F1B" w:rsidR="00B52292" w:rsidRPr="00A76F9D" w:rsidRDefault="00B52292" w:rsidP="00A76F9D">
            <w:pPr>
              <w:jc w:val="center"/>
              <w:rPr>
                <w:rFonts w:ascii="Montserrat Medium" w:eastAsia="Times New Roman" w:hAnsi="Montserrat Medium" w:cs="Futura Medium"/>
                <w:b/>
                <w:sz w:val="16"/>
                <w:szCs w:val="18"/>
                <w:lang w:eastAsia="en-US"/>
              </w:rPr>
            </w:pPr>
            <w:r w:rsidRPr="00A76F9D">
              <w:rPr>
                <w:rFonts w:ascii="Montserrat Medium" w:eastAsia="Times New Roman" w:hAnsi="Montserrat Medium" w:cs="Futura Medium"/>
                <w:b/>
                <w:sz w:val="16"/>
                <w:szCs w:val="18"/>
                <w:lang w:eastAsia="en-US"/>
              </w:rPr>
              <w:t>Al 3</w:t>
            </w:r>
            <w:r w:rsidR="00A76F9D">
              <w:rPr>
                <w:rFonts w:ascii="Montserrat Medium" w:eastAsia="Times New Roman" w:hAnsi="Montserrat Medium" w:cs="Futura Medium"/>
                <w:b/>
                <w:sz w:val="16"/>
                <w:szCs w:val="18"/>
                <w:lang w:eastAsia="en-US"/>
              </w:rPr>
              <w:t>0</w:t>
            </w:r>
            <w:r w:rsidRPr="00A76F9D">
              <w:rPr>
                <w:rFonts w:ascii="Montserrat Medium" w:eastAsia="Times New Roman" w:hAnsi="Montserrat Medium" w:cs="Futura Medium"/>
                <w:b/>
                <w:sz w:val="16"/>
                <w:szCs w:val="18"/>
                <w:lang w:eastAsia="en-US"/>
              </w:rPr>
              <w:t xml:space="preserve"> de </w:t>
            </w:r>
            <w:r w:rsidR="00A76F9D">
              <w:rPr>
                <w:rFonts w:ascii="Montserrat Medium" w:eastAsia="Times New Roman" w:hAnsi="Montserrat Medium" w:cs="Futura Medium"/>
                <w:b/>
                <w:sz w:val="16"/>
                <w:szCs w:val="18"/>
                <w:lang w:eastAsia="en-US"/>
              </w:rPr>
              <w:t>Junio</w:t>
            </w:r>
            <w:r w:rsidRPr="00A76F9D">
              <w:rPr>
                <w:rFonts w:ascii="Montserrat Medium" w:eastAsia="Times New Roman" w:hAnsi="Montserrat Medium" w:cs="Futura Medium"/>
                <w:b/>
                <w:sz w:val="16"/>
                <w:szCs w:val="18"/>
                <w:lang w:eastAsia="en-US"/>
              </w:rPr>
              <w:t xml:space="preserve"> 2025</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2BD94775" w14:textId="77777777" w:rsidR="00B52292" w:rsidRPr="00A76F9D" w:rsidRDefault="00B52292" w:rsidP="002F131C">
            <w:pPr>
              <w:jc w:val="center"/>
              <w:rPr>
                <w:rFonts w:ascii="Montserrat Medium" w:eastAsia="Times New Roman" w:hAnsi="Montserrat Medium" w:cs="Futura Medium"/>
                <w:b/>
                <w:sz w:val="16"/>
                <w:szCs w:val="18"/>
                <w:lang w:eastAsia="en-US"/>
              </w:rPr>
            </w:pPr>
            <w:r w:rsidRPr="00A76F9D">
              <w:rPr>
                <w:rFonts w:ascii="Montserrat Medium" w:eastAsia="Times New Roman" w:hAnsi="Montserrat Medium" w:cs="Futura Medium"/>
                <w:b/>
                <w:sz w:val="16"/>
                <w:szCs w:val="18"/>
                <w:lang w:eastAsia="en-US"/>
              </w:rPr>
              <w:t>2024</w:t>
            </w:r>
          </w:p>
        </w:tc>
      </w:tr>
      <w:tr w:rsidR="00B52292" w:rsidRPr="009C26EF" w14:paraId="1B9C555A" w14:textId="77777777" w:rsidTr="00782EB0">
        <w:trPr>
          <w:trHeight w:val="394"/>
          <w:jc w:val="center"/>
        </w:trPr>
        <w:tc>
          <w:tcPr>
            <w:tcW w:w="6555" w:type="dxa"/>
            <w:tcBorders>
              <w:top w:val="single" w:sz="4" w:space="0" w:color="auto"/>
              <w:left w:val="single" w:sz="4" w:space="0" w:color="auto"/>
              <w:bottom w:val="nil"/>
              <w:right w:val="single" w:sz="4" w:space="0" w:color="auto"/>
            </w:tcBorders>
            <w:shd w:val="clear" w:color="auto" w:fill="FFFFFF"/>
            <w:noWrap/>
          </w:tcPr>
          <w:p w14:paraId="6B02FDED" w14:textId="77777777" w:rsidR="00B52292" w:rsidRPr="00A76F9D" w:rsidRDefault="00B52292" w:rsidP="002F131C">
            <w:pPr>
              <w:rPr>
                <w:rFonts w:ascii="Montserrat Medium" w:eastAsia="Times New Roman" w:hAnsi="Montserrat Medium" w:cs="Futura Medium"/>
                <w:color w:val="595959"/>
                <w:sz w:val="16"/>
                <w:szCs w:val="18"/>
                <w:lang w:eastAsia="en-US"/>
              </w:rPr>
            </w:pPr>
            <w:r w:rsidRPr="00A76F9D">
              <w:rPr>
                <w:rFonts w:ascii="Montserrat Medium" w:eastAsia="Times New Roman" w:hAnsi="Montserrat Medium" w:cs="Futura Medium"/>
                <w:color w:val="595959"/>
                <w:sz w:val="16"/>
                <w:szCs w:val="18"/>
                <w:lang w:eastAsia="en-US"/>
              </w:rPr>
              <w:t>Contrato de Fideicomiso Irrevocable de Administración y Fuente de Pago No. F/967 de fecha 4 de noviembre de 2011 y al Convenio Modificatorio del Contrato de Fideicomiso irrevocable de administración y fuente de pago identificado administrativamente con el número F/967, celebrado el 8 de diciembre de 2011 y actualmente número 744634, constituido para registrar los contratos de créditos de largo plazo del Gobierno del Estado de Quintana Roo autorizados a suscribirse por el Congreso del Estado mediante decretos números 016 y 017 publicados en el Periódico Oficial del Estado el día 23 de septiembre de 2011; y los que de tiempo en tiempo sean autorizados por la Legislatura Local, mediante los decretos correspondientes. Es fideicomitente el Estado de Quintana Roo. Son fideicomisarios, en primer lugar cada uno de los acreedores por cada uno de sus financiamientos inscritos en el Registro de Financiamientos de este fideicomiso, en el entendido que cada fideicomisario en primer lugar solo tendrá derecho respecto a las cantidades que deban ser y que sean efectivamente depositadas en la cuenta individual que corresponda al financiamiento con el cual está relacionado, son fideicomisarios en segundo lugar, la o las instituciones de crédito constituidas como las acreedoras del fideicomitente derivado de la celebración de los contratos de garantía por el fideicomitente y es fideicomisario en tercer lugar el Estado de Quintana Roo. Es fiduciario IXE Banco, S.A. Institución de Banca Múltiple, Grupo Financiero Banorte, derivado de la fusión actualmente el Fiduciario es Banorte.</w:t>
            </w:r>
          </w:p>
          <w:p w14:paraId="45F5CEB0" w14:textId="77777777" w:rsidR="00782EB0" w:rsidRPr="00A76F9D" w:rsidRDefault="00782EB0" w:rsidP="002F131C">
            <w:pPr>
              <w:rPr>
                <w:rFonts w:ascii="Montserrat Medium" w:eastAsia="Times New Roman" w:hAnsi="Montserrat Medium" w:cs="Futura Medium"/>
                <w:color w:val="595959"/>
                <w:sz w:val="16"/>
                <w:szCs w:val="18"/>
                <w:lang w:eastAsia="en-US"/>
              </w:rPr>
            </w:pPr>
          </w:p>
        </w:tc>
        <w:tc>
          <w:tcPr>
            <w:tcW w:w="1701" w:type="dxa"/>
            <w:tcBorders>
              <w:top w:val="single" w:sz="4" w:space="0" w:color="auto"/>
              <w:left w:val="single" w:sz="4" w:space="0" w:color="auto"/>
              <w:bottom w:val="nil"/>
              <w:right w:val="single" w:sz="4" w:space="0" w:color="auto"/>
            </w:tcBorders>
            <w:shd w:val="clear" w:color="auto" w:fill="auto"/>
          </w:tcPr>
          <w:p w14:paraId="58107B55" w14:textId="77777777" w:rsidR="00B52292" w:rsidRPr="00A76F9D" w:rsidRDefault="00A76F9D" w:rsidP="002F131C">
            <w:pPr>
              <w:jc w:val="right"/>
              <w:rPr>
                <w:rFonts w:ascii="Montserrat Medium" w:eastAsia="Times New Roman" w:hAnsi="Montserrat Medium" w:cs="Futura Medium"/>
                <w:color w:val="595959"/>
                <w:sz w:val="16"/>
                <w:szCs w:val="18"/>
                <w:lang w:eastAsia="en-US"/>
              </w:rPr>
            </w:pPr>
            <w:r w:rsidRPr="00A76F9D">
              <w:rPr>
                <w:rFonts w:ascii="Montserrat Medium" w:eastAsia="Times New Roman" w:hAnsi="Montserrat Medium" w:cs="Futura Medium"/>
                <w:color w:val="595959"/>
                <w:sz w:val="16"/>
                <w:szCs w:val="18"/>
                <w:lang w:eastAsia="en-US"/>
              </w:rPr>
              <w:t>300,772,448.04</w:t>
            </w:r>
          </w:p>
          <w:p w14:paraId="020701EB" w14:textId="00445228" w:rsidR="00A76F9D" w:rsidRPr="00A76F9D" w:rsidRDefault="00A76F9D" w:rsidP="002F131C">
            <w:pPr>
              <w:jc w:val="right"/>
              <w:rPr>
                <w:rFonts w:ascii="Montserrat Medium" w:eastAsia="Times New Roman" w:hAnsi="Montserrat Medium" w:cs="Futura Medium"/>
                <w:color w:val="595959"/>
                <w:sz w:val="16"/>
                <w:szCs w:val="18"/>
                <w:lang w:eastAsia="en-US"/>
              </w:rPr>
            </w:pPr>
          </w:p>
        </w:tc>
        <w:tc>
          <w:tcPr>
            <w:tcW w:w="1426" w:type="dxa"/>
            <w:tcBorders>
              <w:top w:val="single" w:sz="4" w:space="0" w:color="auto"/>
              <w:left w:val="single" w:sz="4" w:space="0" w:color="auto"/>
              <w:bottom w:val="nil"/>
              <w:right w:val="single" w:sz="4" w:space="0" w:color="auto"/>
            </w:tcBorders>
          </w:tcPr>
          <w:p w14:paraId="61E14EE3" w14:textId="77777777" w:rsidR="00B52292" w:rsidRPr="00A76F9D" w:rsidRDefault="00B52292" w:rsidP="002F131C">
            <w:pPr>
              <w:jc w:val="right"/>
              <w:rPr>
                <w:rFonts w:ascii="Montserrat Medium" w:eastAsia="Times New Roman" w:hAnsi="Montserrat Medium" w:cs="Futura Medium"/>
                <w:color w:val="595959"/>
                <w:sz w:val="16"/>
                <w:szCs w:val="18"/>
                <w:lang w:eastAsia="en-US"/>
              </w:rPr>
            </w:pPr>
            <w:r w:rsidRPr="00A76F9D">
              <w:rPr>
                <w:rFonts w:ascii="Montserrat Medium" w:eastAsia="Times New Roman" w:hAnsi="Montserrat Medium" w:cs="Futura Medium"/>
                <w:color w:val="595959"/>
                <w:sz w:val="16"/>
                <w:szCs w:val="18"/>
                <w:lang w:eastAsia="en-US"/>
              </w:rPr>
              <w:t>374,364,392.91</w:t>
            </w:r>
          </w:p>
        </w:tc>
      </w:tr>
      <w:tr w:rsidR="00B52292" w:rsidRPr="009C26EF" w14:paraId="643D945A" w14:textId="77777777" w:rsidTr="00636952">
        <w:trPr>
          <w:trHeight w:val="394"/>
          <w:jc w:val="center"/>
        </w:trPr>
        <w:tc>
          <w:tcPr>
            <w:tcW w:w="6555" w:type="dxa"/>
            <w:tcBorders>
              <w:top w:val="nil"/>
              <w:left w:val="single" w:sz="4" w:space="0" w:color="auto"/>
              <w:bottom w:val="nil"/>
              <w:right w:val="single" w:sz="4" w:space="0" w:color="auto"/>
            </w:tcBorders>
            <w:shd w:val="clear" w:color="auto" w:fill="FFFFFF"/>
            <w:noWrap/>
          </w:tcPr>
          <w:p w14:paraId="6CD455EC" w14:textId="77777777" w:rsidR="00B52292" w:rsidRPr="00A76F9D" w:rsidRDefault="00B52292" w:rsidP="002F131C">
            <w:pPr>
              <w:rPr>
                <w:rFonts w:ascii="Montserrat Medium" w:eastAsia="Times New Roman" w:hAnsi="Montserrat Medium" w:cs="Futura Medium"/>
                <w:color w:val="595959"/>
                <w:sz w:val="16"/>
                <w:szCs w:val="18"/>
                <w:lang w:eastAsia="en-US"/>
              </w:rPr>
            </w:pPr>
            <w:r w:rsidRPr="00A76F9D">
              <w:rPr>
                <w:rFonts w:ascii="Montserrat Medium" w:eastAsia="Times New Roman" w:hAnsi="Montserrat Medium" w:cs="Futura Medium"/>
                <w:color w:val="595959"/>
                <w:sz w:val="16"/>
                <w:szCs w:val="18"/>
                <w:lang w:eastAsia="en-US"/>
              </w:rPr>
              <w:t>Fideicomiso de Administración F/2003859 para administrar y aplicar de manera correcta, transparente, confiable y oportuna el manejo de los recursos materia del Fideicomiso, que se destinarán al financiamiento de las obras y acciones de reconstrucción de la infraestructura estatal aprobadas en el marco de las reglas generales del Fondo de Desastres Naturales.</w:t>
            </w:r>
          </w:p>
          <w:p w14:paraId="578323FA" w14:textId="77777777" w:rsidR="00782EB0" w:rsidRPr="00A76F9D" w:rsidRDefault="00782EB0" w:rsidP="002F131C">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5D081632" w14:textId="73F53FEB" w:rsidR="00B52292" w:rsidRPr="00A76F9D" w:rsidRDefault="00A76F9D" w:rsidP="002F131C">
            <w:pPr>
              <w:jc w:val="right"/>
              <w:rPr>
                <w:rFonts w:ascii="Montserrat Medium" w:eastAsia="Times New Roman" w:hAnsi="Montserrat Medium" w:cs="Futura Medium"/>
                <w:color w:val="595959"/>
                <w:sz w:val="16"/>
                <w:szCs w:val="18"/>
                <w:lang w:eastAsia="en-US"/>
              </w:rPr>
            </w:pPr>
            <w:r w:rsidRPr="00A76F9D">
              <w:rPr>
                <w:rFonts w:ascii="Montserrat Medium" w:eastAsia="Times New Roman" w:hAnsi="Montserrat Medium" w:cs="Futura Medium"/>
                <w:color w:val="595959"/>
                <w:sz w:val="16"/>
                <w:szCs w:val="18"/>
                <w:lang w:eastAsia="en-US"/>
              </w:rPr>
              <w:t>55,480,898.70</w:t>
            </w:r>
          </w:p>
        </w:tc>
        <w:tc>
          <w:tcPr>
            <w:tcW w:w="1426" w:type="dxa"/>
            <w:tcBorders>
              <w:top w:val="nil"/>
              <w:left w:val="single" w:sz="4" w:space="0" w:color="auto"/>
              <w:bottom w:val="nil"/>
              <w:right w:val="single" w:sz="4" w:space="0" w:color="auto"/>
            </w:tcBorders>
          </w:tcPr>
          <w:p w14:paraId="1A4856FB" w14:textId="77777777" w:rsidR="00B52292" w:rsidRPr="00A76F9D" w:rsidRDefault="00B52292" w:rsidP="002F131C">
            <w:pPr>
              <w:jc w:val="right"/>
              <w:rPr>
                <w:rFonts w:ascii="Montserrat Medium" w:eastAsia="Times New Roman" w:hAnsi="Montserrat Medium" w:cs="Futura Medium"/>
                <w:color w:val="595959"/>
                <w:sz w:val="16"/>
                <w:szCs w:val="18"/>
                <w:lang w:eastAsia="en-US"/>
              </w:rPr>
            </w:pPr>
            <w:r w:rsidRPr="00A76F9D">
              <w:rPr>
                <w:rFonts w:ascii="Montserrat Medium" w:eastAsia="Times New Roman" w:hAnsi="Montserrat Medium" w:cs="Futura Medium"/>
                <w:color w:val="595959"/>
                <w:sz w:val="16"/>
                <w:szCs w:val="18"/>
                <w:lang w:eastAsia="en-US"/>
              </w:rPr>
              <w:t>46,633,567.71</w:t>
            </w:r>
          </w:p>
        </w:tc>
      </w:tr>
      <w:tr w:rsidR="00B52292" w:rsidRPr="009C26EF" w14:paraId="345BB5B7" w14:textId="77777777" w:rsidTr="00636952">
        <w:trPr>
          <w:trHeight w:val="394"/>
          <w:jc w:val="center"/>
        </w:trPr>
        <w:tc>
          <w:tcPr>
            <w:tcW w:w="6555" w:type="dxa"/>
            <w:tcBorders>
              <w:top w:val="nil"/>
              <w:left w:val="single" w:sz="4" w:space="0" w:color="auto"/>
              <w:bottom w:val="single" w:sz="4" w:space="0" w:color="auto"/>
              <w:right w:val="single" w:sz="4" w:space="0" w:color="auto"/>
            </w:tcBorders>
            <w:shd w:val="clear" w:color="auto" w:fill="FFFFFF"/>
            <w:noWrap/>
          </w:tcPr>
          <w:p w14:paraId="2971313D" w14:textId="64607F59" w:rsidR="00782EB0" w:rsidRPr="00A76F9D" w:rsidRDefault="00B52292" w:rsidP="002F131C">
            <w:pPr>
              <w:rPr>
                <w:rFonts w:ascii="Montserrat Medium" w:eastAsia="Times New Roman" w:hAnsi="Montserrat Medium" w:cs="Futura Medium"/>
                <w:color w:val="595959"/>
                <w:sz w:val="16"/>
                <w:szCs w:val="18"/>
                <w:lang w:eastAsia="en-US"/>
              </w:rPr>
            </w:pPr>
            <w:r w:rsidRPr="00A76F9D">
              <w:rPr>
                <w:rFonts w:ascii="Montserrat Medium" w:eastAsia="Times New Roman" w:hAnsi="Montserrat Medium" w:cs="Futura Medium"/>
                <w:color w:val="595959"/>
                <w:sz w:val="16"/>
                <w:szCs w:val="18"/>
                <w:lang w:eastAsia="en-US"/>
              </w:rPr>
              <w:t>Fideicomiso de Administración e inversión N° 2004216 denominado Fideicomiso para el manejo integral de la zona costera, desarrollo social y seguridad para el Estado de Quintana Roo</w:t>
            </w:r>
          </w:p>
        </w:tc>
        <w:tc>
          <w:tcPr>
            <w:tcW w:w="1701" w:type="dxa"/>
            <w:tcBorders>
              <w:top w:val="nil"/>
              <w:left w:val="single" w:sz="4" w:space="0" w:color="auto"/>
              <w:bottom w:val="single" w:sz="4" w:space="0" w:color="auto"/>
              <w:right w:val="single" w:sz="4" w:space="0" w:color="auto"/>
            </w:tcBorders>
            <w:shd w:val="clear" w:color="auto" w:fill="auto"/>
          </w:tcPr>
          <w:p w14:paraId="767AC441" w14:textId="77777777" w:rsidR="00B52292" w:rsidRPr="00A76F9D" w:rsidRDefault="00B52292" w:rsidP="002F131C">
            <w:pPr>
              <w:jc w:val="right"/>
              <w:rPr>
                <w:rFonts w:ascii="Montserrat Medium" w:eastAsia="Times New Roman" w:hAnsi="Montserrat Medium" w:cs="Futura Medium"/>
                <w:color w:val="595959"/>
                <w:sz w:val="16"/>
                <w:szCs w:val="18"/>
                <w:lang w:eastAsia="en-US"/>
              </w:rPr>
            </w:pPr>
            <w:r w:rsidRPr="00A76F9D">
              <w:rPr>
                <w:rFonts w:ascii="Montserrat Medium" w:eastAsia="Times New Roman" w:hAnsi="Montserrat Medium" w:cs="Futura Medium"/>
                <w:color w:val="595959"/>
                <w:sz w:val="16"/>
                <w:szCs w:val="18"/>
                <w:lang w:eastAsia="en-US"/>
              </w:rPr>
              <w:t>27,745,507.97</w:t>
            </w:r>
          </w:p>
        </w:tc>
        <w:tc>
          <w:tcPr>
            <w:tcW w:w="1426" w:type="dxa"/>
            <w:tcBorders>
              <w:top w:val="nil"/>
              <w:left w:val="single" w:sz="4" w:space="0" w:color="auto"/>
              <w:bottom w:val="single" w:sz="4" w:space="0" w:color="auto"/>
              <w:right w:val="single" w:sz="4" w:space="0" w:color="auto"/>
            </w:tcBorders>
          </w:tcPr>
          <w:p w14:paraId="5EC7DC4F" w14:textId="77777777" w:rsidR="00B52292" w:rsidRPr="00A76F9D" w:rsidRDefault="00B52292" w:rsidP="002F131C">
            <w:pPr>
              <w:jc w:val="right"/>
              <w:rPr>
                <w:rFonts w:ascii="Montserrat Medium" w:eastAsia="Times New Roman" w:hAnsi="Montserrat Medium" w:cs="Futura Medium"/>
                <w:color w:val="595959"/>
                <w:sz w:val="16"/>
                <w:szCs w:val="18"/>
                <w:lang w:eastAsia="en-US"/>
              </w:rPr>
            </w:pPr>
            <w:r w:rsidRPr="00A76F9D">
              <w:rPr>
                <w:rFonts w:ascii="Montserrat Medium" w:eastAsia="Times New Roman" w:hAnsi="Montserrat Medium" w:cs="Futura Medium"/>
                <w:color w:val="595959"/>
                <w:sz w:val="16"/>
                <w:szCs w:val="18"/>
                <w:lang w:eastAsia="en-US"/>
              </w:rPr>
              <w:t>27,715,375.34</w:t>
            </w:r>
          </w:p>
        </w:tc>
      </w:tr>
      <w:tr w:rsidR="00B52292" w:rsidRPr="009C26EF" w14:paraId="34754D58" w14:textId="77777777" w:rsidTr="00636952">
        <w:trPr>
          <w:trHeight w:val="394"/>
          <w:jc w:val="center"/>
        </w:trPr>
        <w:tc>
          <w:tcPr>
            <w:tcW w:w="6555" w:type="dxa"/>
            <w:tcBorders>
              <w:top w:val="single" w:sz="4" w:space="0" w:color="auto"/>
              <w:left w:val="single" w:sz="4" w:space="0" w:color="auto"/>
              <w:bottom w:val="nil"/>
              <w:right w:val="single" w:sz="4" w:space="0" w:color="auto"/>
            </w:tcBorders>
            <w:shd w:val="clear" w:color="auto" w:fill="FFFFFF"/>
            <w:noWrap/>
          </w:tcPr>
          <w:p w14:paraId="3D57005A" w14:textId="77777777" w:rsidR="00B52292" w:rsidRPr="00491DCB" w:rsidRDefault="00B52292" w:rsidP="002F131C">
            <w:pPr>
              <w:rPr>
                <w:rFonts w:ascii="Montserrat Medium" w:eastAsia="Times New Roman" w:hAnsi="Montserrat Medium" w:cs="Futura Medium"/>
                <w:color w:val="595959"/>
                <w:sz w:val="16"/>
                <w:szCs w:val="18"/>
                <w:lang w:eastAsia="en-US"/>
              </w:rPr>
            </w:pPr>
            <w:r w:rsidRPr="00491DCB">
              <w:rPr>
                <w:rFonts w:ascii="Montserrat Medium" w:eastAsia="Times New Roman" w:hAnsi="Montserrat Medium" w:cs="Futura Medium"/>
                <w:color w:val="595959"/>
                <w:sz w:val="16"/>
                <w:szCs w:val="18"/>
                <w:lang w:eastAsia="en-US"/>
              </w:rPr>
              <w:lastRenderedPageBreak/>
              <w:t>Contrato de fideicomiso irrevocable de inversión y administración N° 2230 para la implementación del sistema de justicia penal, es fideicomitente el Estado de Quintana Roo por conducto de la Secretaría de Finanzas y Planeación del Estado de Quintana Roo, Son fideicomisarios A) el Banco Nacional de Obras y Servicios, S.N.C. fiduciario del fideicomiso No. 2211 B) el Estado de Quintana Roo.</w:t>
            </w:r>
          </w:p>
        </w:tc>
        <w:tc>
          <w:tcPr>
            <w:tcW w:w="1701" w:type="dxa"/>
            <w:tcBorders>
              <w:top w:val="single" w:sz="4" w:space="0" w:color="auto"/>
              <w:left w:val="single" w:sz="4" w:space="0" w:color="auto"/>
              <w:bottom w:val="nil"/>
              <w:right w:val="single" w:sz="4" w:space="0" w:color="auto"/>
            </w:tcBorders>
            <w:shd w:val="clear" w:color="auto" w:fill="auto"/>
          </w:tcPr>
          <w:p w14:paraId="622A5F23" w14:textId="77777777" w:rsidR="00B52292" w:rsidRPr="00491DCB" w:rsidRDefault="00491DCB" w:rsidP="002F131C">
            <w:pPr>
              <w:jc w:val="right"/>
              <w:rPr>
                <w:rFonts w:ascii="Montserrat Medium" w:eastAsia="Times New Roman" w:hAnsi="Montserrat Medium" w:cs="Futura Medium"/>
                <w:bCs/>
                <w:color w:val="595959"/>
                <w:sz w:val="16"/>
                <w:szCs w:val="18"/>
              </w:rPr>
            </w:pPr>
            <w:r w:rsidRPr="00491DCB">
              <w:rPr>
                <w:rFonts w:ascii="Montserrat Medium" w:eastAsia="Times New Roman" w:hAnsi="Montserrat Medium" w:cs="Futura Medium"/>
                <w:bCs/>
                <w:color w:val="595959"/>
                <w:sz w:val="16"/>
                <w:szCs w:val="18"/>
              </w:rPr>
              <w:t>9,507,611.63</w:t>
            </w:r>
          </w:p>
          <w:p w14:paraId="4DB5527D" w14:textId="0C5CE0D7" w:rsidR="00491DCB" w:rsidRPr="00491DCB" w:rsidRDefault="00491DCB" w:rsidP="002F131C">
            <w:pPr>
              <w:jc w:val="right"/>
              <w:rPr>
                <w:rFonts w:ascii="Montserrat Medium" w:eastAsia="Times New Roman" w:hAnsi="Montserrat Medium" w:cs="Futura Medium"/>
                <w:color w:val="595959"/>
                <w:sz w:val="16"/>
                <w:szCs w:val="18"/>
                <w:lang w:eastAsia="en-US"/>
              </w:rPr>
            </w:pPr>
          </w:p>
        </w:tc>
        <w:tc>
          <w:tcPr>
            <w:tcW w:w="1426" w:type="dxa"/>
            <w:tcBorders>
              <w:top w:val="single" w:sz="4" w:space="0" w:color="auto"/>
              <w:left w:val="single" w:sz="4" w:space="0" w:color="auto"/>
              <w:bottom w:val="nil"/>
              <w:right w:val="single" w:sz="4" w:space="0" w:color="auto"/>
            </w:tcBorders>
          </w:tcPr>
          <w:p w14:paraId="402A5E6D" w14:textId="77777777" w:rsidR="00B52292" w:rsidRPr="00491DCB" w:rsidRDefault="00B52292" w:rsidP="002F131C">
            <w:pPr>
              <w:jc w:val="right"/>
              <w:rPr>
                <w:rFonts w:ascii="Montserrat Medium" w:eastAsia="Times New Roman" w:hAnsi="Montserrat Medium" w:cs="Futura Medium"/>
                <w:color w:val="595959"/>
                <w:sz w:val="16"/>
                <w:szCs w:val="18"/>
                <w:lang w:eastAsia="en-US"/>
              </w:rPr>
            </w:pPr>
            <w:r w:rsidRPr="00491DCB">
              <w:rPr>
                <w:rFonts w:ascii="Montserrat Medium" w:eastAsia="Times New Roman" w:hAnsi="Montserrat Medium" w:cs="Futura Medium"/>
                <w:color w:val="595959"/>
                <w:sz w:val="16"/>
                <w:szCs w:val="18"/>
                <w:lang w:eastAsia="en-US"/>
              </w:rPr>
              <w:t>9,805,231.83</w:t>
            </w:r>
          </w:p>
        </w:tc>
      </w:tr>
      <w:tr w:rsidR="00B52292" w:rsidRPr="009C26EF" w14:paraId="43A44349" w14:textId="77777777" w:rsidTr="00636952">
        <w:trPr>
          <w:trHeight w:val="394"/>
          <w:jc w:val="center"/>
        </w:trPr>
        <w:tc>
          <w:tcPr>
            <w:tcW w:w="6555" w:type="dxa"/>
            <w:tcBorders>
              <w:top w:val="nil"/>
              <w:left w:val="single" w:sz="4" w:space="0" w:color="auto"/>
              <w:bottom w:val="nil"/>
              <w:right w:val="single" w:sz="4" w:space="0" w:color="auto"/>
            </w:tcBorders>
            <w:shd w:val="clear" w:color="auto" w:fill="FFFFFF"/>
            <w:noWrap/>
          </w:tcPr>
          <w:p w14:paraId="44F50964" w14:textId="77777777" w:rsidR="00B52292" w:rsidRPr="00491DCB" w:rsidRDefault="00B52292" w:rsidP="002F131C">
            <w:pPr>
              <w:rPr>
                <w:rFonts w:ascii="Montserrat Medium" w:eastAsia="Times New Roman" w:hAnsi="Montserrat Medium" w:cs="Futura Medium"/>
                <w:color w:val="595959"/>
                <w:sz w:val="16"/>
                <w:szCs w:val="18"/>
                <w:lang w:eastAsia="en-US"/>
              </w:rPr>
            </w:pPr>
            <w:r w:rsidRPr="00491DCB">
              <w:rPr>
                <w:rFonts w:ascii="Montserrat Medium" w:eastAsia="Times New Roman" w:hAnsi="Montserrat Medium" w:cs="Futura Medium"/>
                <w:color w:val="595959"/>
                <w:sz w:val="16"/>
                <w:szCs w:val="18"/>
                <w:lang w:eastAsia="en-US"/>
              </w:rPr>
              <w:t>Contrato de fideicomiso irrevocable de inversión y administración N°745372 de aprovisionamiento para el pago de aguinaldo, es fideicomitente el Estado de Quintana Roo por conducto de la Secretaría de Finanzas y Planeación del Estado de Quintana Roo, es fideicomisario único, el propio Fideicomitente; es fiduciario el Banco Mercantil del Norte, Sociedad Anónima, Institución de Banca Múltiple, Grupo Financiero Banorte.</w:t>
            </w:r>
          </w:p>
          <w:p w14:paraId="13250954" w14:textId="77777777" w:rsidR="00782EB0" w:rsidRPr="00491DCB" w:rsidRDefault="00782EB0" w:rsidP="002F131C">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0EE3A59F" w14:textId="72BF7FB7" w:rsidR="00B52292" w:rsidRPr="00491DCB" w:rsidRDefault="00491DCB" w:rsidP="002F131C">
            <w:pPr>
              <w:ind w:left="351" w:hanging="351"/>
              <w:jc w:val="right"/>
              <w:rPr>
                <w:rFonts w:ascii="Montserrat Medium" w:eastAsia="Times New Roman" w:hAnsi="Montserrat Medium" w:cs="Futura Medium"/>
                <w:bCs/>
                <w:color w:val="595959"/>
                <w:sz w:val="16"/>
                <w:szCs w:val="18"/>
              </w:rPr>
            </w:pPr>
            <w:r w:rsidRPr="00491DCB">
              <w:rPr>
                <w:rFonts w:ascii="Montserrat Medium" w:eastAsia="Times New Roman" w:hAnsi="Montserrat Medium" w:cs="Futura Medium"/>
                <w:bCs/>
                <w:color w:val="595959"/>
                <w:sz w:val="16"/>
                <w:szCs w:val="18"/>
              </w:rPr>
              <w:t>205,352,115.70</w:t>
            </w:r>
          </w:p>
        </w:tc>
        <w:tc>
          <w:tcPr>
            <w:tcW w:w="1426" w:type="dxa"/>
            <w:tcBorders>
              <w:top w:val="nil"/>
              <w:left w:val="single" w:sz="4" w:space="0" w:color="auto"/>
              <w:bottom w:val="nil"/>
              <w:right w:val="single" w:sz="4" w:space="0" w:color="auto"/>
            </w:tcBorders>
          </w:tcPr>
          <w:p w14:paraId="4E5590E3" w14:textId="77777777" w:rsidR="00B52292" w:rsidRPr="00491DCB" w:rsidRDefault="00B52292" w:rsidP="002F131C">
            <w:pPr>
              <w:jc w:val="right"/>
              <w:rPr>
                <w:rFonts w:ascii="Montserrat Medium" w:eastAsia="Times New Roman" w:hAnsi="Montserrat Medium" w:cs="Futura Medium"/>
                <w:bCs/>
                <w:color w:val="595959"/>
                <w:sz w:val="16"/>
                <w:szCs w:val="18"/>
              </w:rPr>
            </w:pPr>
            <w:r w:rsidRPr="00491DCB">
              <w:rPr>
                <w:rFonts w:ascii="Montserrat Medium" w:eastAsia="Times New Roman" w:hAnsi="Montserrat Medium" w:cs="Futura Medium"/>
                <w:color w:val="595959"/>
                <w:sz w:val="16"/>
                <w:szCs w:val="18"/>
              </w:rPr>
              <w:t>21,625.03</w:t>
            </w:r>
          </w:p>
        </w:tc>
      </w:tr>
      <w:tr w:rsidR="00B52292" w:rsidRPr="009C26EF" w14:paraId="30170AE0" w14:textId="77777777" w:rsidTr="00D51385">
        <w:trPr>
          <w:trHeight w:val="394"/>
          <w:jc w:val="center"/>
        </w:trPr>
        <w:tc>
          <w:tcPr>
            <w:tcW w:w="6555" w:type="dxa"/>
            <w:tcBorders>
              <w:top w:val="nil"/>
              <w:left w:val="single" w:sz="4" w:space="0" w:color="auto"/>
              <w:bottom w:val="nil"/>
              <w:right w:val="single" w:sz="4" w:space="0" w:color="auto"/>
            </w:tcBorders>
            <w:shd w:val="clear" w:color="auto" w:fill="FFFFFF"/>
            <w:noWrap/>
          </w:tcPr>
          <w:p w14:paraId="5767C487" w14:textId="77777777" w:rsidR="00B52292" w:rsidRPr="00491DCB" w:rsidRDefault="00B52292" w:rsidP="002F131C">
            <w:pPr>
              <w:rPr>
                <w:rFonts w:ascii="Montserrat Medium" w:eastAsia="Times New Roman" w:hAnsi="Montserrat Medium" w:cs="Futura Medium"/>
                <w:color w:val="595959"/>
                <w:sz w:val="16"/>
                <w:szCs w:val="18"/>
                <w:lang w:eastAsia="en-US"/>
              </w:rPr>
            </w:pPr>
            <w:r w:rsidRPr="00491DCB">
              <w:rPr>
                <w:rFonts w:ascii="Montserrat Medium" w:eastAsia="Times New Roman" w:hAnsi="Montserrat Medium" w:cs="Futura Medium"/>
                <w:color w:val="595959"/>
                <w:sz w:val="16"/>
                <w:szCs w:val="18"/>
                <w:lang w:eastAsia="en-US"/>
              </w:rPr>
              <w:t>Fideicomiso Irrevocable de Administración, Inversión y Fuente de Pago número 753641 denominado “Fideicomiso para el Fortalecimiento de la Seguridad del Estado de Quintana Roo” celebrado el 10 de agosto de 2023 por el Gobierno del Estado Libre y Soberano de Quintana Roo como “FIDEICOMITENTE”, la Secretaría de Seguridad Ciudadana del Estado de Quintana Roo como “FIDEICOMISARIO”; y en su calidad de Institución Fiduciaria, Banco Mercantil del Norte, S.A., Institución de Banca Múltiple, Grupo Financiero Banorte, División Fiduciaria. Su objeto es  recibir y administrar los recursos definidos en el artículo 6 último párrafo de la Ley del Impuesto Sobre Nóminas del Estado de Quintana Roo. Los recursos que integran su patrimonio serán destinados a la ejecución de convenios, acciones y proyectos para el fortalecimiento de la Seguridad Ciudadana en el Estado de Quintana Roo.</w:t>
            </w:r>
          </w:p>
          <w:p w14:paraId="05394906" w14:textId="77777777" w:rsidR="00782EB0" w:rsidRPr="00491DCB" w:rsidRDefault="00782EB0" w:rsidP="002F131C">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01B3191D" w14:textId="3EB156AA" w:rsidR="00B52292" w:rsidRPr="00491DCB" w:rsidRDefault="00491DCB" w:rsidP="002F131C">
            <w:pPr>
              <w:ind w:left="351" w:hanging="351"/>
              <w:jc w:val="right"/>
              <w:rPr>
                <w:rFonts w:ascii="Montserrat Medium" w:eastAsia="Times New Roman" w:hAnsi="Montserrat Medium" w:cs="Futura Medium"/>
                <w:color w:val="595959"/>
                <w:sz w:val="16"/>
                <w:szCs w:val="18"/>
              </w:rPr>
            </w:pPr>
            <w:r w:rsidRPr="00491DCB">
              <w:rPr>
                <w:rFonts w:ascii="Montserrat Medium" w:eastAsia="Times New Roman" w:hAnsi="Montserrat Medium" w:cs="Futura Medium"/>
                <w:color w:val="595959"/>
                <w:sz w:val="16"/>
                <w:szCs w:val="18"/>
              </w:rPr>
              <w:t>381,812,357.24</w:t>
            </w:r>
          </w:p>
        </w:tc>
        <w:tc>
          <w:tcPr>
            <w:tcW w:w="1426" w:type="dxa"/>
            <w:tcBorders>
              <w:top w:val="nil"/>
              <w:left w:val="single" w:sz="4" w:space="0" w:color="auto"/>
              <w:bottom w:val="nil"/>
              <w:right w:val="single" w:sz="4" w:space="0" w:color="auto"/>
            </w:tcBorders>
          </w:tcPr>
          <w:p w14:paraId="4ED72E46" w14:textId="77777777" w:rsidR="00B52292" w:rsidRPr="00491DCB" w:rsidRDefault="00B52292" w:rsidP="002F131C">
            <w:pPr>
              <w:ind w:left="351" w:hanging="351"/>
              <w:jc w:val="right"/>
              <w:rPr>
                <w:rFonts w:ascii="Montserrat Medium" w:eastAsia="Times New Roman" w:hAnsi="Montserrat Medium" w:cs="Futura Medium"/>
                <w:color w:val="595959"/>
                <w:sz w:val="16"/>
                <w:szCs w:val="18"/>
              </w:rPr>
            </w:pPr>
            <w:r w:rsidRPr="00491DCB">
              <w:rPr>
                <w:rFonts w:ascii="Montserrat Medium" w:eastAsia="Times New Roman" w:hAnsi="Montserrat Medium" w:cs="Futura Medium"/>
                <w:color w:val="595959"/>
                <w:sz w:val="16"/>
                <w:szCs w:val="18"/>
              </w:rPr>
              <w:t>191,656,643.55</w:t>
            </w:r>
          </w:p>
        </w:tc>
      </w:tr>
      <w:tr w:rsidR="00B52292" w:rsidRPr="009C26EF" w14:paraId="0D06297A" w14:textId="77777777" w:rsidTr="00D51385">
        <w:trPr>
          <w:trHeight w:val="394"/>
          <w:jc w:val="center"/>
        </w:trPr>
        <w:tc>
          <w:tcPr>
            <w:tcW w:w="6555" w:type="dxa"/>
            <w:tcBorders>
              <w:top w:val="nil"/>
              <w:left w:val="single" w:sz="4" w:space="0" w:color="auto"/>
              <w:bottom w:val="nil"/>
              <w:right w:val="single" w:sz="4" w:space="0" w:color="auto"/>
            </w:tcBorders>
            <w:shd w:val="clear" w:color="auto" w:fill="FFFFFF"/>
            <w:noWrap/>
          </w:tcPr>
          <w:p w14:paraId="7F08FCE0" w14:textId="2578FFDD" w:rsidR="00050920" w:rsidRPr="00491DCB" w:rsidRDefault="00B52292" w:rsidP="002F131C">
            <w:pPr>
              <w:rPr>
                <w:rFonts w:ascii="Montserrat Medium" w:eastAsia="Times New Roman" w:hAnsi="Montserrat Medium" w:cs="Futura Medium"/>
                <w:color w:val="595959"/>
                <w:sz w:val="16"/>
                <w:szCs w:val="18"/>
                <w:lang w:eastAsia="en-US"/>
              </w:rPr>
            </w:pPr>
            <w:r w:rsidRPr="00491DCB">
              <w:rPr>
                <w:rFonts w:ascii="Montserrat Medium" w:eastAsia="Times New Roman" w:hAnsi="Montserrat Medium" w:cs="Futura Medium"/>
                <w:color w:val="595959"/>
                <w:sz w:val="16"/>
                <w:szCs w:val="18"/>
                <w:lang w:eastAsia="en-US"/>
              </w:rPr>
              <w:t>Fideicomiso Irrevocable de Administración, Inversión y Fuente de Pago número 753637 denominado “Fideicomiso del Bienestar del Estado de Quintana Roo” celebrado el 14 de agosto de 2023 por el Gobierno del Estado Libre y Soberano de Quintana Roo como “FIDEICOMITENTE”, la Secretaría de Bienestar del Estado de Quintana Roo como “FIDEICOMISARIO”; y en su calidad de Institución Fiduciaria, Banco Mercantil del Norte, S.A., Institución de Banca Múltiple, Grupo Financiero Banorte, División Fiduciaria. Su objeto es recibir y administrar los recursos definidos en el artículo 19 fracción II de la Ley del Impuesto al Hospedaje (aportar un monto equivalente al 10% (diez por ciento) del monto aprobado en la ley de ingresos correspondiente por dicha contribución para la conformación del fideicomiso. los recursos que integran su patrimonio serán destinados al fortalecimiento de proyectos y acciones productivas que promuevan el bienestar social y mejoren la calidad de vida de los ciudadanos en el Estado de Quintana Roo.</w:t>
            </w:r>
          </w:p>
        </w:tc>
        <w:tc>
          <w:tcPr>
            <w:tcW w:w="1701" w:type="dxa"/>
            <w:tcBorders>
              <w:top w:val="nil"/>
              <w:left w:val="single" w:sz="4" w:space="0" w:color="auto"/>
              <w:bottom w:val="nil"/>
              <w:right w:val="single" w:sz="4" w:space="0" w:color="auto"/>
            </w:tcBorders>
            <w:shd w:val="clear" w:color="auto" w:fill="auto"/>
          </w:tcPr>
          <w:p w14:paraId="16DA24D9" w14:textId="3CF140E6" w:rsidR="00B52292" w:rsidRPr="00491DCB" w:rsidRDefault="00491DCB" w:rsidP="002F131C">
            <w:pPr>
              <w:ind w:left="351" w:hanging="351"/>
              <w:jc w:val="right"/>
              <w:rPr>
                <w:rFonts w:ascii="Montserrat Medium" w:eastAsia="Times New Roman" w:hAnsi="Montserrat Medium" w:cs="Futura Medium"/>
                <w:color w:val="595959"/>
                <w:sz w:val="16"/>
                <w:szCs w:val="18"/>
              </w:rPr>
            </w:pPr>
            <w:r w:rsidRPr="00491DCB">
              <w:rPr>
                <w:rFonts w:ascii="Montserrat Medium" w:eastAsia="Times New Roman" w:hAnsi="Montserrat Medium" w:cs="Futura Medium"/>
                <w:color w:val="595959"/>
                <w:sz w:val="16"/>
                <w:szCs w:val="18"/>
              </w:rPr>
              <w:t>230,550,133.45</w:t>
            </w:r>
          </w:p>
        </w:tc>
        <w:tc>
          <w:tcPr>
            <w:tcW w:w="1426" w:type="dxa"/>
            <w:tcBorders>
              <w:top w:val="nil"/>
              <w:left w:val="single" w:sz="4" w:space="0" w:color="auto"/>
              <w:bottom w:val="nil"/>
              <w:right w:val="single" w:sz="4" w:space="0" w:color="auto"/>
            </w:tcBorders>
          </w:tcPr>
          <w:p w14:paraId="49C45BE5" w14:textId="77777777" w:rsidR="00B52292" w:rsidRPr="00491DCB" w:rsidRDefault="00B52292" w:rsidP="002F131C">
            <w:pPr>
              <w:ind w:left="351" w:hanging="351"/>
              <w:jc w:val="right"/>
              <w:rPr>
                <w:rFonts w:ascii="Montserrat Medium" w:eastAsia="Times New Roman" w:hAnsi="Montserrat Medium" w:cs="Futura Medium"/>
                <w:color w:val="595959"/>
                <w:sz w:val="16"/>
                <w:szCs w:val="18"/>
              </w:rPr>
            </w:pPr>
            <w:r w:rsidRPr="00491DCB">
              <w:rPr>
                <w:rFonts w:ascii="Montserrat Medium" w:eastAsia="Times New Roman" w:hAnsi="Montserrat Medium" w:cs="Futura Medium"/>
                <w:color w:val="595959"/>
                <w:sz w:val="16"/>
                <w:szCs w:val="18"/>
              </w:rPr>
              <w:t>83,704,928.54</w:t>
            </w:r>
          </w:p>
        </w:tc>
      </w:tr>
      <w:tr w:rsidR="00050920" w:rsidRPr="009C26EF" w14:paraId="56B8A1E8" w14:textId="77777777" w:rsidTr="00D51385">
        <w:trPr>
          <w:trHeight w:val="60"/>
          <w:jc w:val="center"/>
        </w:trPr>
        <w:tc>
          <w:tcPr>
            <w:tcW w:w="6555" w:type="dxa"/>
            <w:tcBorders>
              <w:top w:val="nil"/>
              <w:left w:val="single" w:sz="4" w:space="0" w:color="auto"/>
              <w:bottom w:val="nil"/>
              <w:right w:val="single" w:sz="4" w:space="0" w:color="auto"/>
            </w:tcBorders>
            <w:shd w:val="clear" w:color="auto" w:fill="FFFFFF"/>
            <w:noWrap/>
          </w:tcPr>
          <w:p w14:paraId="3731C3A6" w14:textId="77777777" w:rsidR="00050920" w:rsidRPr="009C26EF" w:rsidRDefault="00050920" w:rsidP="002F131C">
            <w:pPr>
              <w:rPr>
                <w:rFonts w:ascii="Montserrat Medium" w:eastAsia="Times New Roman" w:hAnsi="Montserrat Medium" w:cs="Futura Medium"/>
                <w:color w:val="595959"/>
                <w:sz w:val="16"/>
                <w:szCs w:val="18"/>
                <w:highlight w:val="yellow"/>
                <w:lang w:eastAsia="en-US"/>
              </w:rPr>
            </w:pPr>
          </w:p>
        </w:tc>
        <w:tc>
          <w:tcPr>
            <w:tcW w:w="1701" w:type="dxa"/>
            <w:tcBorders>
              <w:top w:val="nil"/>
              <w:left w:val="single" w:sz="4" w:space="0" w:color="auto"/>
              <w:bottom w:val="nil"/>
              <w:right w:val="single" w:sz="4" w:space="0" w:color="auto"/>
            </w:tcBorders>
            <w:shd w:val="clear" w:color="auto" w:fill="auto"/>
          </w:tcPr>
          <w:p w14:paraId="0B2B8BAD" w14:textId="77777777" w:rsidR="00050920" w:rsidRPr="009C26EF" w:rsidRDefault="00050920" w:rsidP="002F131C">
            <w:pPr>
              <w:ind w:left="351" w:hanging="351"/>
              <w:jc w:val="right"/>
              <w:rPr>
                <w:rFonts w:ascii="Montserrat Medium" w:eastAsia="Times New Roman" w:hAnsi="Montserrat Medium" w:cs="Futura Medium"/>
                <w:color w:val="595959"/>
                <w:sz w:val="16"/>
                <w:szCs w:val="18"/>
                <w:highlight w:val="yellow"/>
              </w:rPr>
            </w:pPr>
          </w:p>
        </w:tc>
        <w:tc>
          <w:tcPr>
            <w:tcW w:w="1426" w:type="dxa"/>
            <w:tcBorders>
              <w:top w:val="nil"/>
              <w:left w:val="single" w:sz="4" w:space="0" w:color="auto"/>
              <w:bottom w:val="nil"/>
              <w:right w:val="single" w:sz="4" w:space="0" w:color="auto"/>
            </w:tcBorders>
          </w:tcPr>
          <w:p w14:paraId="209A338E" w14:textId="77777777" w:rsidR="00050920" w:rsidRPr="009C26EF" w:rsidRDefault="00050920" w:rsidP="002F131C">
            <w:pPr>
              <w:ind w:left="351" w:hanging="351"/>
              <w:jc w:val="right"/>
              <w:rPr>
                <w:rFonts w:ascii="Montserrat Medium" w:eastAsia="Times New Roman" w:hAnsi="Montserrat Medium" w:cs="Futura Medium"/>
                <w:color w:val="595959"/>
                <w:sz w:val="16"/>
                <w:szCs w:val="18"/>
                <w:highlight w:val="yellow"/>
              </w:rPr>
            </w:pPr>
          </w:p>
        </w:tc>
      </w:tr>
      <w:tr w:rsidR="00B52292" w:rsidRPr="009C26EF" w14:paraId="0FE8FAAF" w14:textId="77777777" w:rsidTr="00D51385">
        <w:trPr>
          <w:trHeight w:val="2847"/>
          <w:jc w:val="center"/>
        </w:trPr>
        <w:tc>
          <w:tcPr>
            <w:tcW w:w="6555" w:type="dxa"/>
            <w:tcBorders>
              <w:top w:val="nil"/>
              <w:left w:val="single" w:sz="4" w:space="0" w:color="auto"/>
              <w:bottom w:val="single" w:sz="4" w:space="0" w:color="auto"/>
              <w:right w:val="single" w:sz="4" w:space="0" w:color="auto"/>
            </w:tcBorders>
            <w:shd w:val="clear" w:color="auto" w:fill="FFFFFF"/>
            <w:noWrap/>
          </w:tcPr>
          <w:p w14:paraId="581E2ED9" w14:textId="77777777" w:rsidR="00B52292" w:rsidRPr="00491DCB" w:rsidRDefault="00B52292" w:rsidP="002F131C">
            <w:pPr>
              <w:rPr>
                <w:rFonts w:ascii="Montserrat Medium" w:eastAsia="Times New Roman" w:hAnsi="Montserrat Medium" w:cs="Futura Medium"/>
                <w:color w:val="595959"/>
                <w:sz w:val="16"/>
                <w:szCs w:val="18"/>
                <w:lang w:eastAsia="en-US"/>
              </w:rPr>
            </w:pPr>
            <w:r w:rsidRPr="00491DCB">
              <w:rPr>
                <w:rFonts w:ascii="Montserrat Medium" w:eastAsia="Times New Roman" w:hAnsi="Montserrat Medium" w:cs="Futura Medium"/>
                <w:color w:val="595959"/>
                <w:sz w:val="16"/>
                <w:szCs w:val="18"/>
                <w:lang w:eastAsia="en-US"/>
              </w:rPr>
              <w:t>Fideicomiso Irrevocable de Administración, Inversión y Fuente de Pago número 753639 denominado “Fideicomiso para el Mejoramiento de la Salud en el Estado de Quintana Roo” celebrado el 24 de agosto de 2023 por el Gobierno del Estado Libre y Soberano de Quintana Roo como “FIDEICOMITENTE”, el organismo público descentralizado denominado Servicios estatales de Salud del Estado de Quintana Roo como “FIDEICOMISARIO”, y en su calidad de Institución Fiduciaria, Banco Mercantil del Norte, S.A., Institución de Banca Múltiple, Grupo Financiero Banorte, División Fiduciaria. Su objeto es  recibir y administrar los recursos definidos en el artículo 19 fracción III de la Ley del Impuesto al Hospedaje (aportar un monto equivalente al 10% (diez por ciento) del monto aprobado en la ley de ingresos correspondiente por dicha contribución para la conformación del fideicomiso. serán destinados a financiar gasto encaminado a fortalecer los Servicios estatales de Salud del Estado de Quintana Roo.</w:t>
            </w:r>
          </w:p>
          <w:p w14:paraId="4071D329" w14:textId="77777777" w:rsidR="00782EB0" w:rsidRPr="00491DCB" w:rsidRDefault="00782EB0" w:rsidP="002F131C">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single" w:sz="4" w:space="0" w:color="auto"/>
              <w:right w:val="single" w:sz="4" w:space="0" w:color="auto"/>
            </w:tcBorders>
            <w:shd w:val="clear" w:color="auto" w:fill="auto"/>
          </w:tcPr>
          <w:p w14:paraId="69BE9B51" w14:textId="13F3B30B" w:rsidR="00B52292" w:rsidRPr="00491DCB" w:rsidRDefault="00491DCB" w:rsidP="002F131C">
            <w:pPr>
              <w:ind w:left="351" w:hanging="351"/>
              <w:jc w:val="right"/>
              <w:rPr>
                <w:rFonts w:ascii="Montserrat Medium" w:eastAsia="Times New Roman" w:hAnsi="Montserrat Medium" w:cs="Futura Medium"/>
                <w:color w:val="595959"/>
                <w:sz w:val="16"/>
                <w:szCs w:val="18"/>
              </w:rPr>
            </w:pPr>
            <w:r w:rsidRPr="00491DCB">
              <w:rPr>
                <w:rFonts w:ascii="Montserrat Medium" w:eastAsia="Times New Roman" w:hAnsi="Montserrat Medium" w:cs="Futura Medium"/>
                <w:color w:val="595959"/>
                <w:sz w:val="16"/>
                <w:szCs w:val="18"/>
              </w:rPr>
              <w:t>97,052,312.56</w:t>
            </w:r>
          </w:p>
        </w:tc>
        <w:tc>
          <w:tcPr>
            <w:tcW w:w="1426" w:type="dxa"/>
            <w:tcBorders>
              <w:top w:val="nil"/>
              <w:left w:val="single" w:sz="4" w:space="0" w:color="auto"/>
              <w:bottom w:val="single" w:sz="4" w:space="0" w:color="auto"/>
              <w:right w:val="single" w:sz="4" w:space="0" w:color="auto"/>
            </w:tcBorders>
          </w:tcPr>
          <w:p w14:paraId="505960F2" w14:textId="77777777" w:rsidR="00B52292" w:rsidRPr="00491DCB" w:rsidRDefault="00B52292" w:rsidP="002F131C">
            <w:pPr>
              <w:ind w:left="351" w:hanging="351"/>
              <w:jc w:val="right"/>
              <w:rPr>
                <w:rFonts w:ascii="Montserrat Medium" w:eastAsia="Times New Roman" w:hAnsi="Montserrat Medium" w:cs="Futura Medium"/>
                <w:color w:val="595959"/>
                <w:sz w:val="16"/>
                <w:szCs w:val="18"/>
              </w:rPr>
            </w:pPr>
            <w:r w:rsidRPr="00491DCB">
              <w:rPr>
                <w:rFonts w:ascii="Montserrat Medium" w:eastAsia="Times New Roman" w:hAnsi="Montserrat Medium" w:cs="Futura Medium"/>
                <w:color w:val="595959"/>
                <w:sz w:val="16"/>
                <w:szCs w:val="18"/>
              </w:rPr>
              <w:t>256,680.56</w:t>
            </w:r>
          </w:p>
        </w:tc>
      </w:tr>
      <w:tr w:rsidR="00B52292" w:rsidRPr="009C26EF" w14:paraId="7C81A222" w14:textId="77777777" w:rsidTr="00D51385">
        <w:trPr>
          <w:trHeight w:val="1897"/>
          <w:jc w:val="center"/>
        </w:trPr>
        <w:tc>
          <w:tcPr>
            <w:tcW w:w="6555" w:type="dxa"/>
            <w:tcBorders>
              <w:top w:val="single" w:sz="4" w:space="0" w:color="auto"/>
              <w:left w:val="single" w:sz="4" w:space="0" w:color="auto"/>
              <w:bottom w:val="nil"/>
              <w:right w:val="single" w:sz="4" w:space="0" w:color="auto"/>
            </w:tcBorders>
            <w:shd w:val="clear" w:color="auto" w:fill="FFFFFF"/>
            <w:noWrap/>
          </w:tcPr>
          <w:p w14:paraId="18F82AC7" w14:textId="77777777" w:rsidR="00B52292" w:rsidRPr="00491DCB" w:rsidRDefault="00B52292" w:rsidP="002F131C">
            <w:pPr>
              <w:rPr>
                <w:rFonts w:ascii="Montserrat Medium" w:eastAsia="Times New Roman" w:hAnsi="Montserrat Medium" w:cs="Futura Medium"/>
                <w:color w:val="595959"/>
                <w:sz w:val="16"/>
                <w:szCs w:val="18"/>
                <w:lang w:eastAsia="en-US"/>
              </w:rPr>
            </w:pPr>
            <w:r w:rsidRPr="00491DCB">
              <w:rPr>
                <w:rFonts w:ascii="Montserrat Medium" w:eastAsia="Times New Roman" w:hAnsi="Montserrat Medium" w:cs="Futura Medium"/>
                <w:color w:val="595959"/>
                <w:sz w:val="16"/>
                <w:szCs w:val="18"/>
                <w:lang w:eastAsia="en-US"/>
              </w:rPr>
              <w:lastRenderedPageBreak/>
              <w:t xml:space="preserve">Contrato de Fideicomiso de Administración e Inversión N° 2460773, denominado Fideicomiso para apoyar los programas y proyectos para la conservación de la Biodiversidad en el Estado de Quintana Roo, celebrado el 21 de junio de 2024, por el “FIDEICOMITENTE” por el Gobierno del Estado Libre y Soberano de Quintana Roo, a través de la Secretaría de Finanzas y Planeación del Gobierno del Estado de Quintana Roo; como “FIDEICOMISARIO” el Instituto de Biodiversidad y Áreas Naturales Protegidas del Estado de Quintana Roo y como “FIDUCIARIO” el Banco Santander (México), S.A. Institución de Banca Múltiple, Grupo Financiero Santander. </w:t>
            </w:r>
          </w:p>
          <w:p w14:paraId="77E5CC16" w14:textId="77777777" w:rsidR="00782EB0" w:rsidRPr="00491DCB" w:rsidRDefault="00782EB0" w:rsidP="002F131C">
            <w:pPr>
              <w:rPr>
                <w:rFonts w:ascii="Montserrat Medium" w:eastAsia="Times New Roman" w:hAnsi="Montserrat Medium" w:cs="Futura Medium"/>
                <w:color w:val="595959"/>
                <w:sz w:val="16"/>
                <w:szCs w:val="18"/>
                <w:lang w:eastAsia="en-US"/>
              </w:rPr>
            </w:pPr>
          </w:p>
        </w:tc>
        <w:tc>
          <w:tcPr>
            <w:tcW w:w="1701" w:type="dxa"/>
            <w:tcBorders>
              <w:top w:val="single" w:sz="4" w:space="0" w:color="auto"/>
              <w:left w:val="single" w:sz="4" w:space="0" w:color="auto"/>
              <w:bottom w:val="nil"/>
              <w:right w:val="single" w:sz="4" w:space="0" w:color="auto"/>
            </w:tcBorders>
            <w:shd w:val="clear" w:color="auto" w:fill="auto"/>
          </w:tcPr>
          <w:p w14:paraId="45D350E4" w14:textId="77777777" w:rsidR="00B52292" w:rsidRPr="00491DCB" w:rsidRDefault="00B52292" w:rsidP="002F131C">
            <w:pPr>
              <w:ind w:left="351" w:hanging="351"/>
              <w:jc w:val="right"/>
              <w:rPr>
                <w:rFonts w:ascii="Montserrat Medium" w:eastAsia="Times New Roman" w:hAnsi="Montserrat Medium" w:cs="Futura Medium"/>
                <w:color w:val="595959"/>
                <w:sz w:val="16"/>
                <w:szCs w:val="18"/>
              </w:rPr>
            </w:pPr>
            <w:r w:rsidRPr="00491DCB">
              <w:rPr>
                <w:rFonts w:ascii="Montserrat Medium" w:eastAsia="Times New Roman" w:hAnsi="Montserrat Medium" w:cs="Futura Medium"/>
                <w:color w:val="595959"/>
                <w:sz w:val="16"/>
                <w:szCs w:val="18"/>
              </w:rPr>
              <w:t>16,899,998.67</w:t>
            </w:r>
          </w:p>
        </w:tc>
        <w:tc>
          <w:tcPr>
            <w:tcW w:w="1426" w:type="dxa"/>
            <w:tcBorders>
              <w:top w:val="single" w:sz="4" w:space="0" w:color="auto"/>
              <w:left w:val="single" w:sz="4" w:space="0" w:color="auto"/>
              <w:bottom w:val="nil"/>
              <w:right w:val="single" w:sz="4" w:space="0" w:color="auto"/>
            </w:tcBorders>
          </w:tcPr>
          <w:p w14:paraId="56D3200E" w14:textId="77777777" w:rsidR="00B52292" w:rsidRPr="00491DCB" w:rsidRDefault="00B52292" w:rsidP="002F131C">
            <w:pPr>
              <w:ind w:left="351" w:hanging="351"/>
              <w:jc w:val="right"/>
              <w:rPr>
                <w:rFonts w:ascii="Montserrat Medium" w:eastAsia="Times New Roman" w:hAnsi="Montserrat Medium" w:cs="Futura Medium"/>
                <w:color w:val="595959"/>
                <w:sz w:val="16"/>
                <w:szCs w:val="18"/>
              </w:rPr>
            </w:pPr>
            <w:r w:rsidRPr="00491DCB">
              <w:rPr>
                <w:rFonts w:ascii="Montserrat Medium" w:eastAsia="Times New Roman" w:hAnsi="Montserrat Medium" w:cs="Futura Medium"/>
                <w:color w:val="595959"/>
                <w:sz w:val="16"/>
                <w:szCs w:val="18"/>
              </w:rPr>
              <w:t>16,899,998.67</w:t>
            </w:r>
          </w:p>
        </w:tc>
      </w:tr>
      <w:tr w:rsidR="00B52292" w:rsidRPr="009C26EF" w14:paraId="0844B0E7" w14:textId="77777777" w:rsidTr="00D51385">
        <w:trPr>
          <w:trHeight w:val="237"/>
          <w:jc w:val="center"/>
        </w:trPr>
        <w:tc>
          <w:tcPr>
            <w:tcW w:w="6555" w:type="dxa"/>
            <w:tcBorders>
              <w:top w:val="nil"/>
              <w:left w:val="single" w:sz="4" w:space="0" w:color="auto"/>
              <w:bottom w:val="nil"/>
              <w:right w:val="single" w:sz="4" w:space="0" w:color="auto"/>
            </w:tcBorders>
            <w:shd w:val="clear" w:color="auto" w:fill="FFFFFF"/>
            <w:noWrap/>
          </w:tcPr>
          <w:p w14:paraId="0BBCDF34" w14:textId="77777777" w:rsidR="00B52292" w:rsidRDefault="00B52292" w:rsidP="002F131C">
            <w:pPr>
              <w:rPr>
                <w:rFonts w:ascii="Montserrat Medium" w:eastAsia="Times New Roman" w:hAnsi="Montserrat Medium" w:cs="Futura Medium"/>
                <w:color w:val="595959"/>
                <w:sz w:val="16"/>
                <w:szCs w:val="18"/>
                <w:lang w:eastAsia="en-US"/>
              </w:rPr>
            </w:pPr>
            <w:r w:rsidRPr="00491DCB">
              <w:rPr>
                <w:rFonts w:ascii="Montserrat Medium" w:eastAsia="Times New Roman" w:hAnsi="Montserrat Medium" w:cs="Futura Medium"/>
                <w:color w:val="595959"/>
                <w:sz w:val="16"/>
                <w:szCs w:val="18"/>
                <w:lang w:eastAsia="en-US"/>
              </w:rPr>
              <w:t>Fondo de Financiamiento de Quintana Roo</w:t>
            </w:r>
          </w:p>
          <w:p w14:paraId="607965CC" w14:textId="09820C3C" w:rsidR="00D51385" w:rsidRPr="00491DCB" w:rsidRDefault="00D51385" w:rsidP="002F131C">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2C433993" w14:textId="029A6E24" w:rsidR="00B52292" w:rsidRPr="00491DCB" w:rsidRDefault="00491DCB" w:rsidP="002F131C">
            <w:pPr>
              <w:ind w:left="351" w:hanging="351"/>
              <w:jc w:val="right"/>
              <w:rPr>
                <w:rFonts w:ascii="Montserrat Medium" w:eastAsia="Times New Roman" w:hAnsi="Montserrat Medium" w:cs="Futura Medium"/>
                <w:color w:val="595959"/>
                <w:sz w:val="16"/>
                <w:szCs w:val="18"/>
                <w:lang w:eastAsia="en-US"/>
              </w:rPr>
            </w:pPr>
            <w:r w:rsidRPr="00491DCB">
              <w:rPr>
                <w:rFonts w:ascii="Montserrat Medium" w:eastAsia="Times New Roman" w:hAnsi="Montserrat Medium" w:cs="Futura Medium"/>
                <w:color w:val="595959"/>
                <w:sz w:val="16"/>
                <w:szCs w:val="18"/>
                <w:lang w:eastAsia="en-US"/>
              </w:rPr>
              <w:t>92,583,893.01</w:t>
            </w:r>
          </w:p>
        </w:tc>
        <w:tc>
          <w:tcPr>
            <w:tcW w:w="1426" w:type="dxa"/>
            <w:tcBorders>
              <w:top w:val="nil"/>
              <w:left w:val="single" w:sz="4" w:space="0" w:color="auto"/>
              <w:bottom w:val="nil"/>
              <w:right w:val="single" w:sz="4" w:space="0" w:color="auto"/>
            </w:tcBorders>
          </w:tcPr>
          <w:p w14:paraId="2A04768C" w14:textId="756632E5" w:rsidR="00B52292" w:rsidRPr="00491DCB" w:rsidRDefault="00B52292" w:rsidP="002F131C">
            <w:pPr>
              <w:ind w:left="351" w:hanging="351"/>
              <w:jc w:val="right"/>
              <w:rPr>
                <w:rFonts w:ascii="Montserrat Medium" w:eastAsia="Times New Roman" w:hAnsi="Montserrat Medium" w:cs="Futura Medium"/>
                <w:color w:val="595959"/>
                <w:sz w:val="16"/>
                <w:szCs w:val="18"/>
                <w:lang w:eastAsia="en-US"/>
              </w:rPr>
            </w:pPr>
            <w:r w:rsidRPr="00491DCB">
              <w:rPr>
                <w:rFonts w:ascii="Montserrat Medium" w:eastAsia="Times New Roman" w:hAnsi="Montserrat Medium" w:cs="Futura Medium"/>
                <w:color w:val="595959"/>
                <w:sz w:val="16"/>
                <w:szCs w:val="18"/>
                <w:lang w:eastAsia="en-US"/>
              </w:rPr>
              <w:t>37,363,893.01</w:t>
            </w:r>
          </w:p>
        </w:tc>
      </w:tr>
      <w:tr w:rsidR="00491DCB" w:rsidRPr="009C26EF" w14:paraId="00BA33AC" w14:textId="77777777" w:rsidTr="00D51385">
        <w:trPr>
          <w:trHeight w:val="237"/>
          <w:jc w:val="center"/>
        </w:trPr>
        <w:tc>
          <w:tcPr>
            <w:tcW w:w="6555" w:type="dxa"/>
            <w:tcBorders>
              <w:top w:val="nil"/>
              <w:left w:val="single" w:sz="4" w:space="0" w:color="auto"/>
              <w:bottom w:val="nil"/>
              <w:right w:val="single" w:sz="4" w:space="0" w:color="auto"/>
            </w:tcBorders>
            <w:shd w:val="clear" w:color="auto" w:fill="FFFFFF"/>
            <w:noWrap/>
          </w:tcPr>
          <w:p w14:paraId="67CB9286" w14:textId="77777777" w:rsidR="00491DCB" w:rsidRDefault="00491DCB" w:rsidP="002F131C">
            <w:pPr>
              <w:rPr>
                <w:rFonts w:ascii="Montserrat Medium" w:eastAsia="Times New Roman" w:hAnsi="Montserrat Medium" w:cs="Futura Medium"/>
                <w:color w:val="595959"/>
                <w:sz w:val="16"/>
                <w:szCs w:val="18"/>
                <w:lang w:eastAsia="en-US"/>
              </w:rPr>
            </w:pPr>
            <w:r w:rsidRPr="00491DCB">
              <w:rPr>
                <w:rFonts w:ascii="Montserrat Medium" w:eastAsia="Times New Roman" w:hAnsi="Montserrat Medium" w:cs="Futura Medium"/>
                <w:color w:val="595959"/>
                <w:sz w:val="16"/>
                <w:szCs w:val="18"/>
                <w:lang w:eastAsia="en-US"/>
              </w:rPr>
              <w:t xml:space="preserve">Fideicomiso para el Bienestar del Turismo </w:t>
            </w:r>
            <w:proofErr w:type="spellStart"/>
            <w:r w:rsidRPr="00491DCB">
              <w:rPr>
                <w:rFonts w:ascii="Montserrat Medium" w:eastAsia="Times New Roman" w:hAnsi="Montserrat Medium" w:cs="Futura Medium"/>
                <w:color w:val="595959"/>
                <w:sz w:val="16"/>
                <w:szCs w:val="18"/>
                <w:lang w:eastAsia="en-US"/>
              </w:rPr>
              <w:t>Crucerista</w:t>
            </w:r>
            <w:proofErr w:type="spellEnd"/>
            <w:r w:rsidRPr="00491DCB">
              <w:rPr>
                <w:rFonts w:ascii="Montserrat Medium" w:eastAsia="Times New Roman" w:hAnsi="Montserrat Medium" w:cs="Futura Medium"/>
                <w:color w:val="595959"/>
                <w:sz w:val="16"/>
                <w:szCs w:val="18"/>
                <w:lang w:eastAsia="en-US"/>
              </w:rPr>
              <w:t xml:space="preserve"> del Estado de Quintana Roo Fideicomiso 187451</w:t>
            </w:r>
          </w:p>
          <w:p w14:paraId="6BB70534" w14:textId="0598CE04" w:rsidR="00D51385" w:rsidRPr="00491DCB" w:rsidRDefault="00D51385" w:rsidP="002F131C">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vAlign w:val="bottom"/>
          </w:tcPr>
          <w:p w14:paraId="674F835D" w14:textId="06711D37" w:rsidR="00491DCB" w:rsidRPr="00491DCB" w:rsidRDefault="00491DCB" w:rsidP="002F131C">
            <w:pPr>
              <w:ind w:left="351" w:hanging="351"/>
              <w:jc w:val="right"/>
              <w:rPr>
                <w:rFonts w:ascii="Montserrat Medium" w:eastAsia="Times New Roman" w:hAnsi="Montserrat Medium" w:cs="Futura Medium"/>
                <w:color w:val="595959"/>
                <w:sz w:val="16"/>
                <w:szCs w:val="16"/>
              </w:rPr>
            </w:pPr>
            <w:r w:rsidRPr="00491DCB">
              <w:rPr>
                <w:rFonts w:ascii="Montserrat Medium" w:eastAsia="Times New Roman" w:hAnsi="Montserrat Medium" w:cs="Futura Medium"/>
                <w:color w:val="595959"/>
                <w:sz w:val="16"/>
                <w:szCs w:val="16"/>
              </w:rPr>
              <w:t>307,643,223.78</w:t>
            </w:r>
          </w:p>
        </w:tc>
        <w:tc>
          <w:tcPr>
            <w:tcW w:w="1426" w:type="dxa"/>
            <w:tcBorders>
              <w:top w:val="nil"/>
              <w:left w:val="single" w:sz="4" w:space="0" w:color="auto"/>
              <w:bottom w:val="nil"/>
              <w:right w:val="single" w:sz="4" w:space="0" w:color="auto"/>
            </w:tcBorders>
            <w:vAlign w:val="bottom"/>
          </w:tcPr>
          <w:p w14:paraId="706F8124" w14:textId="3C7A6EB1" w:rsidR="00491DCB" w:rsidRPr="00491DCB" w:rsidRDefault="00491DCB" w:rsidP="002F131C">
            <w:pPr>
              <w:ind w:left="351" w:hanging="351"/>
              <w:jc w:val="right"/>
              <w:rPr>
                <w:rFonts w:ascii="Montserrat Medium" w:eastAsia="Times New Roman" w:hAnsi="Montserrat Medium" w:cs="Futura Medium"/>
                <w:color w:val="595959"/>
                <w:sz w:val="16"/>
                <w:szCs w:val="16"/>
              </w:rPr>
            </w:pPr>
            <w:r w:rsidRPr="00491DCB">
              <w:rPr>
                <w:rFonts w:ascii="Montserrat Medium" w:eastAsia="Times New Roman" w:hAnsi="Montserrat Medium" w:cs="Futura Medium"/>
                <w:color w:val="595959"/>
                <w:sz w:val="16"/>
                <w:szCs w:val="16"/>
              </w:rPr>
              <w:t>0.00</w:t>
            </w:r>
          </w:p>
        </w:tc>
      </w:tr>
      <w:tr w:rsidR="00491DCB" w:rsidRPr="009C26EF" w14:paraId="294E3A4D" w14:textId="77777777" w:rsidTr="00D51385">
        <w:trPr>
          <w:trHeight w:val="237"/>
          <w:jc w:val="center"/>
        </w:trPr>
        <w:tc>
          <w:tcPr>
            <w:tcW w:w="6555" w:type="dxa"/>
            <w:tcBorders>
              <w:top w:val="nil"/>
              <w:left w:val="single" w:sz="4" w:space="0" w:color="auto"/>
              <w:bottom w:val="single" w:sz="4" w:space="0" w:color="auto"/>
              <w:right w:val="single" w:sz="4" w:space="0" w:color="auto"/>
            </w:tcBorders>
            <w:shd w:val="clear" w:color="auto" w:fill="FFFFFF"/>
            <w:noWrap/>
          </w:tcPr>
          <w:p w14:paraId="4B447BB5" w14:textId="7CCFAEE7" w:rsidR="00491DCB" w:rsidRPr="00491DCB" w:rsidRDefault="00491DCB" w:rsidP="002F131C">
            <w:pPr>
              <w:rPr>
                <w:rFonts w:ascii="Montserrat Medium" w:eastAsia="Times New Roman" w:hAnsi="Montserrat Medium" w:cs="Futura Medium"/>
                <w:color w:val="595959"/>
                <w:sz w:val="16"/>
                <w:szCs w:val="18"/>
                <w:lang w:eastAsia="en-US"/>
              </w:rPr>
            </w:pPr>
            <w:r w:rsidRPr="00491DCB">
              <w:rPr>
                <w:rFonts w:ascii="Montserrat Medium" w:eastAsia="Times New Roman" w:hAnsi="Montserrat Medium" w:cs="Futura Medium"/>
                <w:color w:val="595959"/>
                <w:sz w:val="16"/>
                <w:szCs w:val="18"/>
                <w:lang w:eastAsia="en-US"/>
              </w:rPr>
              <w:t>Fideicomiso para el Fortalecimiento a la Actividad Turística en el Estado de Quintana Roo (FOATQROO)</w:t>
            </w:r>
          </w:p>
        </w:tc>
        <w:tc>
          <w:tcPr>
            <w:tcW w:w="1701" w:type="dxa"/>
            <w:tcBorders>
              <w:top w:val="nil"/>
              <w:left w:val="single" w:sz="4" w:space="0" w:color="auto"/>
              <w:bottom w:val="single" w:sz="4" w:space="0" w:color="auto"/>
              <w:right w:val="single" w:sz="4" w:space="0" w:color="auto"/>
            </w:tcBorders>
            <w:shd w:val="clear" w:color="auto" w:fill="auto"/>
            <w:vAlign w:val="bottom"/>
          </w:tcPr>
          <w:p w14:paraId="1D4AB0C3" w14:textId="3FF5607B" w:rsidR="00491DCB" w:rsidRPr="00491DCB" w:rsidRDefault="00491DCB" w:rsidP="002F131C">
            <w:pPr>
              <w:ind w:left="351" w:hanging="351"/>
              <w:jc w:val="right"/>
              <w:rPr>
                <w:rFonts w:ascii="Montserrat Medium" w:eastAsia="Times New Roman" w:hAnsi="Montserrat Medium" w:cs="Futura Medium"/>
                <w:color w:val="595959"/>
                <w:sz w:val="16"/>
                <w:szCs w:val="16"/>
              </w:rPr>
            </w:pPr>
            <w:r w:rsidRPr="00491DCB">
              <w:rPr>
                <w:rFonts w:ascii="Montserrat Medium" w:eastAsia="Times New Roman" w:hAnsi="Montserrat Medium" w:cs="Futura Medium"/>
                <w:color w:val="595959"/>
                <w:sz w:val="16"/>
                <w:szCs w:val="16"/>
              </w:rPr>
              <w:t>20,000,000.00</w:t>
            </w:r>
          </w:p>
        </w:tc>
        <w:tc>
          <w:tcPr>
            <w:tcW w:w="1426" w:type="dxa"/>
            <w:tcBorders>
              <w:top w:val="nil"/>
              <w:left w:val="single" w:sz="4" w:space="0" w:color="auto"/>
              <w:bottom w:val="single" w:sz="4" w:space="0" w:color="auto"/>
              <w:right w:val="single" w:sz="4" w:space="0" w:color="auto"/>
            </w:tcBorders>
            <w:vAlign w:val="bottom"/>
          </w:tcPr>
          <w:p w14:paraId="556BF2CB" w14:textId="438322E7" w:rsidR="00491DCB" w:rsidRPr="00491DCB" w:rsidRDefault="00491DCB" w:rsidP="002F131C">
            <w:pPr>
              <w:ind w:left="351" w:hanging="351"/>
              <w:jc w:val="right"/>
              <w:rPr>
                <w:rFonts w:ascii="Montserrat Medium" w:eastAsia="Times New Roman" w:hAnsi="Montserrat Medium" w:cs="Futura Medium"/>
                <w:color w:val="595959"/>
                <w:sz w:val="16"/>
                <w:szCs w:val="16"/>
              </w:rPr>
            </w:pPr>
            <w:r w:rsidRPr="00491DCB">
              <w:rPr>
                <w:rFonts w:ascii="Montserrat Medium" w:eastAsia="Times New Roman" w:hAnsi="Montserrat Medium" w:cs="Futura Medium"/>
                <w:color w:val="595959"/>
                <w:sz w:val="16"/>
                <w:szCs w:val="16"/>
              </w:rPr>
              <w:t>0.00</w:t>
            </w:r>
          </w:p>
        </w:tc>
      </w:tr>
      <w:tr w:rsidR="00B52292" w:rsidRPr="00B52292" w14:paraId="242BCEFC" w14:textId="77777777" w:rsidTr="00050920">
        <w:trPr>
          <w:trHeight w:val="247"/>
          <w:jc w:val="center"/>
        </w:trPr>
        <w:tc>
          <w:tcPr>
            <w:tcW w:w="655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435E585" w14:textId="77777777" w:rsidR="00B52292" w:rsidRPr="00491DCB" w:rsidRDefault="00B52292" w:rsidP="002F131C">
            <w:pPr>
              <w:jc w:val="both"/>
              <w:rPr>
                <w:rFonts w:ascii="Montserrat Medium" w:eastAsia="Times New Roman" w:hAnsi="Montserrat Medium" w:cs="Futura Medium"/>
                <w:sz w:val="16"/>
                <w:szCs w:val="18"/>
                <w:lang w:eastAsia="en-US"/>
              </w:rPr>
            </w:pPr>
            <w:r w:rsidRPr="00491DCB">
              <w:rPr>
                <w:rFonts w:ascii="Montserrat Medium" w:eastAsia="Times New Roman" w:hAnsi="Montserrat Medium" w:cs="Futura Medium"/>
                <w:b/>
                <w:bCs/>
                <w:sz w:val="16"/>
                <w:szCs w:val="18"/>
                <w:lang w:eastAsia="en-US"/>
              </w:rPr>
              <w:t>Total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2B2D9D5" w14:textId="30E1D18B" w:rsidR="00B52292" w:rsidRPr="00491DCB" w:rsidRDefault="00491DCB" w:rsidP="002F131C">
            <w:pPr>
              <w:ind w:left="351" w:hanging="351"/>
              <w:jc w:val="right"/>
              <w:rPr>
                <w:rFonts w:ascii="Montserrat Medium" w:eastAsia="Times New Roman" w:hAnsi="Montserrat Medium" w:cs="Futura Medium"/>
                <w:b/>
                <w:sz w:val="17"/>
                <w:szCs w:val="17"/>
                <w:lang w:eastAsia="en-US"/>
              </w:rPr>
            </w:pPr>
            <w:r w:rsidRPr="00491DCB">
              <w:rPr>
                <w:rFonts w:ascii="Montserrat Medium" w:eastAsia="Times New Roman" w:hAnsi="Montserrat Medium" w:cs="Futura Medium"/>
                <w:b/>
                <w:sz w:val="17"/>
                <w:szCs w:val="17"/>
                <w:lang w:eastAsia="en-US"/>
              </w:rPr>
              <w:t>1,745,400,500.75</w:t>
            </w:r>
          </w:p>
        </w:tc>
        <w:tc>
          <w:tcPr>
            <w:tcW w:w="1426" w:type="dxa"/>
            <w:tcBorders>
              <w:top w:val="single" w:sz="4" w:space="0" w:color="auto"/>
              <w:left w:val="single" w:sz="4" w:space="0" w:color="auto"/>
              <w:bottom w:val="single" w:sz="4" w:space="0" w:color="auto"/>
              <w:right w:val="single" w:sz="4" w:space="0" w:color="auto"/>
            </w:tcBorders>
            <w:vAlign w:val="bottom"/>
          </w:tcPr>
          <w:p w14:paraId="525BBB43" w14:textId="5797E0F5" w:rsidR="00B52292" w:rsidRPr="00B52292" w:rsidRDefault="00B52292" w:rsidP="002F131C">
            <w:pPr>
              <w:ind w:left="351" w:hanging="351"/>
              <w:jc w:val="right"/>
              <w:rPr>
                <w:rFonts w:ascii="Montserrat Medium" w:eastAsia="Times New Roman" w:hAnsi="Montserrat Medium" w:cs="Futura Medium"/>
                <w:b/>
                <w:sz w:val="17"/>
                <w:szCs w:val="17"/>
                <w:lang w:eastAsia="en-US"/>
              </w:rPr>
            </w:pPr>
            <w:r w:rsidRPr="00491DCB">
              <w:rPr>
                <w:rFonts w:ascii="Montserrat Medium" w:eastAsia="Times New Roman" w:hAnsi="Montserrat Medium" w:cs="Futura Medium"/>
                <w:b/>
                <w:sz w:val="17"/>
                <w:szCs w:val="17"/>
                <w:lang w:eastAsia="en-US"/>
              </w:rPr>
              <w:t>788,422,337.15</w:t>
            </w:r>
          </w:p>
        </w:tc>
      </w:tr>
    </w:tbl>
    <w:p w14:paraId="2F7607DE" w14:textId="77777777" w:rsidR="00091916" w:rsidRPr="00D56579" w:rsidRDefault="00091916" w:rsidP="002F131C">
      <w:pPr>
        <w:contextualSpacing/>
        <w:jc w:val="both"/>
        <w:rPr>
          <w:rFonts w:ascii="Montserrat Medium" w:eastAsia="Times New Roman" w:hAnsi="Montserrat Medium" w:cs="Arial"/>
          <w:color w:val="595959"/>
          <w:sz w:val="22"/>
        </w:rPr>
      </w:pPr>
    </w:p>
    <w:p w14:paraId="597FD366" w14:textId="77777777" w:rsidR="008257FE" w:rsidRPr="006E08C5" w:rsidRDefault="008257FE" w:rsidP="002F131C">
      <w:pPr>
        <w:pStyle w:val="Prrafodelista"/>
        <w:keepNext/>
        <w:keepLines/>
        <w:ind w:left="0"/>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 xml:space="preserve"> </w:t>
      </w:r>
      <w:r w:rsidR="00B33797" w:rsidRPr="006E08C5">
        <w:rPr>
          <w:rFonts w:ascii="Montserrat Medium" w:eastAsia="Times New Roman" w:hAnsi="Montserrat Medium" w:cs="Arial"/>
          <w:b/>
          <w:i/>
          <w:iCs/>
          <w:color w:val="595959"/>
          <w:sz w:val="22"/>
        </w:rPr>
        <w:t>9.</w:t>
      </w:r>
      <w:r w:rsidR="005B3BCD" w:rsidRPr="006E08C5">
        <w:rPr>
          <w:rFonts w:ascii="Montserrat Medium" w:eastAsia="Times New Roman" w:hAnsi="Montserrat Medium" w:cs="Arial"/>
          <w:b/>
          <w:i/>
          <w:iCs/>
          <w:color w:val="595959"/>
          <w:sz w:val="22"/>
        </w:rPr>
        <w:t xml:space="preserve"> Reporte</w:t>
      </w:r>
      <w:r w:rsidRPr="006E08C5">
        <w:rPr>
          <w:rFonts w:ascii="Montserrat Medium" w:eastAsia="Times New Roman" w:hAnsi="Montserrat Medium" w:cs="Arial"/>
          <w:b/>
          <w:i/>
          <w:iCs/>
          <w:color w:val="595959"/>
          <w:sz w:val="22"/>
        </w:rPr>
        <w:t xml:space="preserve"> de la Recaudación</w:t>
      </w:r>
    </w:p>
    <w:p w14:paraId="17DDD0F1" w14:textId="77777777" w:rsidR="008257FE" w:rsidRPr="006E08C5" w:rsidRDefault="008257FE" w:rsidP="002F131C">
      <w:pPr>
        <w:contextualSpacing/>
        <w:jc w:val="both"/>
        <w:rPr>
          <w:rFonts w:ascii="Montserrat Medium" w:hAnsi="Montserrat Medium"/>
          <w:b/>
          <w:color w:val="595959"/>
          <w:sz w:val="22"/>
        </w:rPr>
      </w:pPr>
    </w:p>
    <w:p w14:paraId="33A55BB5" w14:textId="77777777" w:rsidR="00C55FA9" w:rsidRPr="006E08C5" w:rsidRDefault="008257FE" w:rsidP="002F131C">
      <w:pPr>
        <w:numPr>
          <w:ilvl w:val="0"/>
          <w:numId w:val="27"/>
        </w:numPr>
        <w:spacing w:after="160"/>
        <w:contextualSpacing/>
        <w:jc w:val="both"/>
        <w:rPr>
          <w:rFonts w:ascii="Montserrat Medium" w:eastAsia="Times New Roman" w:hAnsi="Montserrat Medium" w:cs="Arial"/>
          <w:color w:val="595959"/>
          <w:sz w:val="22"/>
        </w:rPr>
      </w:pPr>
      <w:r w:rsidRPr="006E08C5">
        <w:rPr>
          <w:rFonts w:ascii="Montserrat Medium" w:eastAsia="Times New Roman" w:hAnsi="Montserrat Medium" w:cs="Arial"/>
          <w:color w:val="595959"/>
          <w:sz w:val="22"/>
        </w:rPr>
        <w:t>Análisis del comportamiento de la recaudación correspondiente al ente público o cualquier tipo de ingreso, de forma separada los ingresos locales de los federales.</w:t>
      </w:r>
    </w:p>
    <w:p w14:paraId="35C82652" w14:textId="77777777" w:rsidR="00F43984" w:rsidRPr="009C26EF" w:rsidRDefault="00F43984" w:rsidP="002F131C">
      <w:pPr>
        <w:spacing w:after="160"/>
        <w:ind w:left="720"/>
        <w:contextualSpacing/>
        <w:jc w:val="both"/>
        <w:rPr>
          <w:rFonts w:ascii="Montserrat Medium" w:eastAsia="Times New Roman" w:hAnsi="Montserrat Medium" w:cs="Arial"/>
          <w:color w:val="595959"/>
          <w:sz w:val="22"/>
          <w:highlight w:val="yellow"/>
        </w:rPr>
      </w:pPr>
    </w:p>
    <w:tbl>
      <w:tblPr>
        <w:tblW w:w="8608" w:type="dxa"/>
        <w:jc w:val="center"/>
        <w:tblInd w:w="55" w:type="dxa"/>
        <w:tblCellMar>
          <w:left w:w="70" w:type="dxa"/>
          <w:right w:w="70" w:type="dxa"/>
        </w:tblCellMar>
        <w:tblLook w:val="04A0" w:firstRow="1" w:lastRow="0" w:firstColumn="1" w:lastColumn="0" w:noHBand="0" w:noVBand="1"/>
      </w:tblPr>
      <w:tblGrid>
        <w:gridCol w:w="2620"/>
        <w:gridCol w:w="1540"/>
        <w:gridCol w:w="1560"/>
        <w:gridCol w:w="1536"/>
        <w:gridCol w:w="1352"/>
      </w:tblGrid>
      <w:tr w:rsidR="007E09C2" w:rsidRPr="009C26EF" w14:paraId="622F19C5" w14:textId="77777777" w:rsidTr="006E08C5">
        <w:trPr>
          <w:trHeight w:val="240"/>
          <w:jc w:val="center"/>
        </w:trPr>
        <w:tc>
          <w:tcPr>
            <w:tcW w:w="8608" w:type="dxa"/>
            <w:gridSpan w:val="5"/>
            <w:tcBorders>
              <w:top w:val="single" w:sz="8" w:space="0" w:color="auto"/>
              <w:left w:val="single" w:sz="8" w:space="0" w:color="auto"/>
              <w:bottom w:val="nil"/>
              <w:right w:val="single" w:sz="8" w:space="0" w:color="000000"/>
            </w:tcBorders>
            <w:shd w:val="clear" w:color="000000" w:fill="808080"/>
            <w:noWrap/>
            <w:vAlign w:val="center"/>
            <w:hideMark/>
          </w:tcPr>
          <w:p w14:paraId="01ACEDE5" w14:textId="6FA912A4" w:rsidR="007E09C2" w:rsidRPr="006E08C5" w:rsidRDefault="007E09C2" w:rsidP="002F131C">
            <w:pPr>
              <w:jc w:val="center"/>
              <w:rPr>
                <w:rFonts w:ascii="Montserrat Medium" w:eastAsia="Times New Roman" w:hAnsi="Montserrat Medium" w:cs="Calibri"/>
                <w:color w:val="FFFFFF"/>
                <w:sz w:val="16"/>
                <w:szCs w:val="16"/>
                <w:lang w:eastAsia="es-MX"/>
              </w:rPr>
            </w:pPr>
            <w:r w:rsidRPr="006E08C5">
              <w:rPr>
                <w:rFonts w:ascii="Montserrat Medium" w:eastAsia="Times New Roman" w:hAnsi="Montserrat Medium" w:cs="Calibri"/>
                <w:color w:val="FFFFFF"/>
                <w:sz w:val="16"/>
                <w:szCs w:val="16"/>
                <w:lang w:eastAsia="es-MX"/>
              </w:rPr>
              <w:t xml:space="preserve">Del </w:t>
            </w:r>
            <w:r w:rsidR="006E08C5">
              <w:rPr>
                <w:rFonts w:ascii="Montserrat Medium" w:eastAsia="Times New Roman" w:hAnsi="Montserrat Medium" w:cs="Calibri"/>
                <w:color w:val="FFFFFF"/>
                <w:sz w:val="16"/>
                <w:szCs w:val="16"/>
                <w:lang w:eastAsia="es-MX"/>
              </w:rPr>
              <w:t>0</w:t>
            </w:r>
            <w:r w:rsidRPr="006E08C5">
              <w:rPr>
                <w:rFonts w:ascii="Montserrat Medium" w:eastAsia="Times New Roman" w:hAnsi="Montserrat Medium" w:cs="Calibri"/>
                <w:color w:val="FFFFFF"/>
                <w:sz w:val="16"/>
                <w:szCs w:val="16"/>
                <w:lang w:eastAsia="es-MX"/>
              </w:rPr>
              <w:t>1 de enero al 3</w:t>
            </w:r>
            <w:r w:rsidR="006E08C5">
              <w:rPr>
                <w:rFonts w:ascii="Montserrat Medium" w:eastAsia="Times New Roman" w:hAnsi="Montserrat Medium" w:cs="Calibri"/>
                <w:color w:val="FFFFFF"/>
                <w:sz w:val="16"/>
                <w:szCs w:val="16"/>
                <w:lang w:eastAsia="es-MX"/>
              </w:rPr>
              <w:t>0</w:t>
            </w:r>
            <w:r w:rsidRPr="006E08C5">
              <w:rPr>
                <w:rFonts w:ascii="Montserrat Medium" w:eastAsia="Times New Roman" w:hAnsi="Montserrat Medium" w:cs="Calibri"/>
                <w:color w:val="FFFFFF"/>
                <w:sz w:val="16"/>
                <w:szCs w:val="16"/>
                <w:lang w:eastAsia="es-MX"/>
              </w:rPr>
              <w:t xml:space="preserve"> de </w:t>
            </w:r>
            <w:r w:rsidR="006E08C5">
              <w:rPr>
                <w:rFonts w:ascii="Montserrat Medium" w:eastAsia="Times New Roman" w:hAnsi="Montserrat Medium" w:cs="Calibri"/>
                <w:color w:val="FFFFFF"/>
                <w:sz w:val="16"/>
                <w:szCs w:val="16"/>
                <w:lang w:eastAsia="es-MX"/>
              </w:rPr>
              <w:t>junio</w:t>
            </w:r>
            <w:r w:rsidRPr="006E08C5">
              <w:rPr>
                <w:rFonts w:ascii="Montserrat Medium" w:eastAsia="Times New Roman" w:hAnsi="Montserrat Medium" w:cs="Calibri"/>
                <w:color w:val="FFFFFF"/>
                <w:sz w:val="16"/>
                <w:szCs w:val="16"/>
                <w:lang w:eastAsia="es-MX"/>
              </w:rPr>
              <w:t xml:space="preserve"> de 2024 y 2025</w:t>
            </w:r>
          </w:p>
        </w:tc>
      </w:tr>
      <w:tr w:rsidR="007E09C2" w:rsidRPr="009C26EF" w14:paraId="4901ABD3" w14:textId="77777777" w:rsidTr="006E08C5">
        <w:trPr>
          <w:trHeight w:val="240"/>
          <w:jc w:val="center"/>
        </w:trPr>
        <w:tc>
          <w:tcPr>
            <w:tcW w:w="8608" w:type="dxa"/>
            <w:gridSpan w:val="5"/>
            <w:tcBorders>
              <w:top w:val="nil"/>
              <w:left w:val="single" w:sz="8" w:space="0" w:color="auto"/>
              <w:bottom w:val="single" w:sz="4" w:space="0" w:color="auto"/>
              <w:right w:val="single" w:sz="8" w:space="0" w:color="000000"/>
            </w:tcBorders>
            <w:shd w:val="clear" w:color="000000" w:fill="808080"/>
            <w:noWrap/>
            <w:vAlign w:val="center"/>
            <w:hideMark/>
          </w:tcPr>
          <w:p w14:paraId="43FC8185" w14:textId="77777777" w:rsidR="007E09C2" w:rsidRPr="006E08C5" w:rsidRDefault="007E09C2" w:rsidP="002F131C">
            <w:pPr>
              <w:jc w:val="center"/>
              <w:rPr>
                <w:rFonts w:ascii="Montserrat Medium" w:eastAsia="Times New Roman" w:hAnsi="Montserrat Medium" w:cs="Calibri"/>
                <w:color w:val="FFFFFF"/>
                <w:sz w:val="16"/>
                <w:szCs w:val="16"/>
                <w:lang w:eastAsia="es-MX"/>
              </w:rPr>
            </w:pPr>
            <w:r w:rsidRPr="006E08C5">
              <w:rPr>
                <w:rFonts w:ascii="Montserrat Medium" w:eastAsia="Times New Roman" w:hAnsi="Montserrat Medium" w:cs="Calibri"/>
                <w:color w:val="FFFFFF"/>
                <w:sz w:val="16"/>
                <w:szCs w:val="16"/>
                <w:lang w:eastAsia="es-MX"/>
              </w:rPr>
              <w:t>(En pesos)</w:t>
            </w:r>
          </w:p>
        </w:tc>
      </w:tr>
      <w:tr w:rsidR="007E09C2" w:rsidRPr="009C26EF" w14:paraId="2B0A1C32" w14:textId="77777777" w:rsidTr="006E08C5">
        <w:trPr>
          <w:trHeight w:val="240"/>
          <w:jc w:val="center"/>
        </w:trPr>
        <w:tc>
          <w:tcPr>
            <w:tcW w:w="2620" w:type="dxa"/>
            <w:vMerge w:val="restart"/>
            <w:tcBorders>
              <w:top w:val="nil"/>
              <w:left w:val="single" w:sz="8" w:space="0" w:color="auto"/>
              <w:bottom w:val="single" w:sz="4" w:space="0" w:color="000000"/>
              <w:right w:val="single" w:sz="4" w:space="0" w:color="FFFFFF"/>
            </w:tcBorders>
            <w:shd w:val="clear" w:color="000000" w:fill="BFBFBF"/>
            <w:noWrap/>
            <w:vAlign w:val="center"/>
            <w:hideMark/>
          </w:tcPr>
          <w:p w14:paraId="602995B1" w14:textId="77777777" w:rsidR="007E09C2" w:rsidRPr="006E08C5" w:rsidRDefault="007E09C2" w:rsidP="002F131C">
            <w:pPr>
              <w:jc w:val="center"/>
              <w:rPr>
                <w:rFonts w:ascii="Montserrat Medium" w:eastAsia="Times New Roman" w:hAnsi="Montserrat Medium" w:cs="Calibri"/>
                <w:sz w:val="16"/>
                <w:szCs w:val="16"/>
                <w:lang w:eastAsia="es-MX"/>
              </w:rPr>
            </w:pPr>
            <w:r w:rsidRPr="006E08C5">
              <w:rPr>
                <w:rFonts w:ascii="Montserrat Medium" w:eastAsia="Times New Roman" w:hAnsi="Montserrat Medium" w:cs="Calibri"/>
                <w:sz w:val="16"/>
                <w:szCs w:val="16"/>
                <w:lang w:eastAsia="es-MX"/>
              </w:rPr>
              <w:t>Concepto</w:t>
            </w:r>
          </w:p>
        </w:tc>
        <w:tc>
          <w:tcPr>
            <w:tcW w:w="3100" w:type="dxa"/>
            <w:gridSpan w:val="2"/>
            <w:tcBorders>
              <w:top w:val="single" w:sz="4" w:space="0" w:color="auto"/>
              <w:left w:val="nil"/>
              <w:bottom w:val="single" w:sz="4" w:space="0" w:color="FFFFFF"/>
              <w:right w:val="single" w:sz="4" w:space="0" w:color="FFFFFF"/>
            </w:tcBorders>
            <w:shd w:val="clear" w:color="000000" w:fill="BFBFBF"/>
            <w:vAlign w:val="center"/>
            <w:hideMark/>
          </w:tcPr>
          <w:p w14:paraId="3660918D" w14:textId="77777777" w:rsidR="007E09C2" w:rsidRPr="006E08C5" w:rsidRDefault="007E09C2" w:rsidP="002F131C">
            <w:pPr>
              <w:jc w:val="center"/>
              <w:rPr>
                <w:rFonts w:ascii="Montserrat Medium" w:eastAsia="Times New Roman" w:hAnsi="Montserrat Medium" w:cs="Calibri"/>
                <w:sz w:val="16"/>
                <w:szCs w:val="16"/>
                <w:lang w:eastAsia="es-MX"/>
              </w:rPr>
            </w:pPr>
            <w:r w:rsidRPr="006E08C5">
              <w:rPr>
                <w:rFonts w:ascii="Montserrat Medium" w:eastAsia="Times New Roman" w:hAnsi="Montserrat Medium" w:cs="Calibri"/>
                <w:sz w:val="16"/>
                <w:szCs w:val="16"/>
                <w:lang w:eastAsia="es-MX"/>
              </w:rPr>
              <w:t>Recaudado</w:t>
            </w:r>
          </w:p>
        </w:tc>
        <w:tc>
          <w:tcPr>
            <w:tcW w:w="2888" w:type="dxa"/>
            <w:gridSpan w:val="2"/>
            <w:tcBorders>
              <w:top w:val="single" w:sz="4" w:space="0" w:color="auto"/>
              <w:left w:val="nil"/>
              <w:bottom w:val="single" w:sz="4" w:space="0" w:color="FFFFFF"/>
              <w:right w:val="single" w:sz="8" w:space="0" w:color="000000"/>
            </w:tcBorders>
            <w:shd w:val="clear" w:color="000000" w:fill="BFBFBF"/>
            <w:vAlign w:val="center"/>
            <w:hideMark/>
          </w:tcPr>
          <w:p w14:paraId="31BC976E" w14:textId="77777777" w:rsidR="007E09C2" w:rsidRPr="006E08C5" w:rsidRDefault="007E09C2" w:rsidP="002F131C">
            <w:pPr>
              <w:jc w:val="center"/>
              <w:rPr>
                <w:rFonts w:ascii="Montserrat Medium" w:eastAsia="Times New Roman" w:hAnsi="Montserrat Medium" w:cs="Calibri"/>
                <w:sz w:val="16"/>
                <w:szCs w:val="16"/>
                <w:lang w:eastAsia="es-MX"/>
              </w:rPr>
            </w:pPr>
            <w:r w:rsidRPr="006E08C5">
              <w:rPr>
                <w:rFonts w:ascii="Montserrat Medium" w:eastAsia="Times New Roman" w:hAnsi="Montserrat Medium" w:cs="Calibri"/>
                <w:sz w:val="16"/>
                <w:szCs w:val="16"/>
                <w:lang w:eastAsia="es-MX"/>
              </w:rPr>
              <w:t>Variación</w:t>
            </w:r>
          </w:p>
        </w:tc>
      </w:tr>
      <w:tr w:rsidR="007E09C2" w:rsidRPr="009C26EF" w14:paraId="26AEF1DE" w14:textId="77777777" w:rsidTr="006E08C5">
        <w:trPr>
          <w:trHeight w:val="197"/>
          <w:jc w:val="center"/>
        </w:trPr>
        <w:tc>
          <w:tcPr>
            <w:tcW w:w="2620" w:type="dxa"/>
            <w:vMerge/>
            <w:tcBorders>
              <w:top w:val="nil"/>
              <w:left w:val="single" w:sz="8" w:space="0" w:color="auto"/>
              <w:bottom w:val="single" w:sz="4" w:space="0" w:color="000000"/>
              <w:right w:val="single" w:sz="4" w:space="0" w:color="FFFFFF"/>
            </w:tcBorders>
            <w:vAlign w:val="center"/>
            <w:hideMark/>
          </w:tcPr>
          <w:p w14:paraId="3DE87DB6" w14:textId="77777777" w:rsidR="007E09C2" w:rsidRPr="006E08C5" w:rsidRDefault="007E09C2" w:rsidP="002F131C">
            <w:pPr>
              <w:rPr>
                <w:rFonts w:ascii="Montserrat Medium" w:eastAsia="Times New Roman" w:hAnsi="Montserrat Medium" w:cs="Calibri"/>
                <w:sz w:val="16"/>
                <w:szCs w:val="16"/>
                <w:lang w:eastAsia="es-MX"/>
              </w:rPr>
            </w:pPr>
          </w:p>
        </w:tc>
        <w:tc>
          <w:tcPr>
            <w:tcW w:w="1540" w:type="dxa"/>
            <w:tcBorders>
              <w:top w:val="nil"/>
              <w:left w:val="nil"/>
              <w:bottom w:val="single" w:sz="4" w:space="0" w:color="auto"/>
              <w:right w:val="single" w:sz="4" w:space="0" w:color="FFFFFF"/>
            </w:tcBorders>
            <w:shd w:val="clear" w:color="000000" w:fill="BFBFBF"/>
            <w:vAlign w:val="center"/>
            <w:hideMark/>
          </w:tcPr>
          <w:p w14:paraId="1B2B76E7" w14:textId="77777777" w:rsidR="007E09C2" w:rsidRPr="006E08C5" w:rsidRDefault="007E09C2" w:rsidP="002F131C">
            <w:pPr>
              <w:jc w:val="center"/>
              <w:rPr>
                <w:rFonts w:ascii="Montserrat Medium" w:eastAsia="Times New Roman" w:hAnsi="Montserrat Medium" w:cs="Calibri"/>
                <w:sz w:val="16"/>
                <w:szCs w:val="16"/>
                <w:lang w:eastAsia="es-MX"/>
              </w:rPr>
            </w:pPr>
            <w:r w:rsidRPr="006E08C5">
              <w:rPr>
                <w:rFonts w:ascii="Montserrat Medium" w:eastAsia="Times New Roman" w:hAnsi="Montserrat Medium" w:cs="Calibri"/>
                <w:sz w:val="16"/>
                <w:szCs w:val="16"/>
                <w:lang w:eastAsia="es-MX"/>
              </w:rPr>
              <w:t>2024</w:t>
            </w:r>
          </w:p>
        </w:tc>
        <w:tc>
          <w:tcPr>
            <w:tcW w:w="1560" w:type="dxa"/>
            <w:tcBorders>
              <w:top w:val="nil"/>
              <w:left w:val="nil"/>
              <w:bottom w:val="single" w:sz="4" w:space="0" w:color="auto"/>
              <w:right w:val="single" w:sz="4" w:space="0" w:color="FFFFFF"/>
            </w:tcBorders>
            <w:shd w:val="clear" w:color="000000" w:fill="BFBFBF"/>
            <w:vAlign w:val="center"/>
            <w:hideMark/>
          </w:tcPr>
          <w:p w14:paraId="6D7D2FD7" w14:textId="77777777" w:rsidR="007E09C2" w:rsidRPr="006E08C5" w:rsidRDefault="007E09C2" w:rsidP="002F131C">
            <w:pPr>
              <w:jc w:val="center"/>
              <w:rPr>
                <w:rFonts w:ascii="Montserrat Medium" w:eastAsia="Times New Roman" w:hAnsi="Montserrat Medium" w:cs="Calibri"/>
                <w:sz w:val="16"/>
                <w:szCs w:val="16"/>
                <w:lang w:eastAsia="es-MX"/>
              </w:rPr>
            </w:pPr>
            <w:r w:rsidRPr="006E08C5">
              <w:rPr>
                <w:rFonts w:ascii="Montserrat Medium" w:eastAsia="Times New Roman" w:hAnsi="Montserrat Medium" w:cs="Calibri"/>
                <w:sz w:val="16"/>
                <w:szCs w:val="16"/>
                <w:lang w:eastAsia="es-MX"/>
              </w:rPr>
              <w:t>2025</w:t>
            </w:r>
          </w:p>
        </w:tc>
        <w:tc>
          <w:tcPr>
            <w:tcW w:w="1536" w:type="dxa"/>
            <w:tcBorders>
              <w:top w:val="nil"/>
              <w:left w:val="nil"/>
              <w:bottom w:val="single" w:sz="4" w:space="0" w:color="auto"/>
              <w:right w:val="single" w:sz="4" w:space="0" w:color="FFFFFF"/>
            </w:tcBorders>
            <w:shd w:val="clear" w:color="000000" w:fill="BFBFBF"/>
            <w:vAlign w:val="center"/>
            <w:hideMark/>
          </w:tcPr>
          <w:p w14:paraId="76A14696" w14:textId="77777777" w:rsidR="007E09C2" w:rsidRPr="006E08C5" w:rsidRDefault="007E09C2" w:rsidP="002F131C">
            <w:pPr>
              <w:jc w:val="center"/>
              <w:rPr>
                <w:rFonts w:ascii="Montserrat Medium" w:eastAsia="Times New Roman" w:hAnsi="Montserrat Medium" w:cs="Calibri"/>
                <w:sz w:val="16"/>
                <w:szCs w:val="16"/>
                <w:lang w:eastAsia="es-MX"/>
              </w:rPr>
            </w:pPr>
            <w:r w:rsidRPr="006E08C5">
              <w:rPr>
                <w:rFonts w:ascii="Montserrat Medium" w:eastAsia="Times New Roman" w:hAnsi="Montserrat Medium" w:cs="Calibri"/>
                <w:sz w:val="16"/>
                <w:szCs w:val="16"/>
                <w:lang w:eastAsia="es-MX"/>
              </w:rPr>
              <w:t>Importe</w:t>
            </w:r>
          </w:p>
        </w:tc>
        <w:tc>
          <w:tcPr>
            <w:tcW w:w="1352" w:type="dxa"/>
            <w:tcBorders>
              <w:top w:val="nil"/>
              <w:left w:val="nil"/>
              <w:bottom w:val="single" w:sz="4" w:space="0" w:color="auto"/>
              <w:right w:val="single" w:sz="8" w:space="0" w:color="auto"/>
            </w:tcBorders>
            <w:shd w:val="clear" w:color="000000" w:fill="BFBFBF"/>
            <w:vAlign w:val="center"/>
            <w:hideMark/>
          </w:tcPr>
          <w:p w14:paraId="241DCF85" w14:textId="77777777" w:rsidR="007E09C2" w:rsidRPr="006E08C5" w:rsidRDefault="007E09C2" w:rsidP="002F131C">
            <w:pPr>
              <w:jc w:val="center"/>
              <w:rPr>
                <w:rFonts w:ascii="Montserrat Medium" w:eastAsia="Times New Roman" w:hAnsi="Montserrat Medium" w:cs="Calibri"/>
                <w:sz w:val="16"/>
                <w:szCs w:val="16"/>
                <w:lang w:eastAsia="es-MX"/>
              </w:rPr>
            </w:pPr>
            <w:r w:rsidRPr="006E08C5">
              <w:rPr>
                <w:rFonts w:ascii="Montserrat Medium" w:eastAsia="Times New Roman" w:hAnsi="Montserrat Medium" w:cs="Calibri"/>
                <w:sz w:val="16"/>
                <w:szCs w:val="16"/>
                <w:lang w:eastAsia="es-MX"/>
              </w:rPr>
              <w:t>Porcentaje</w:t>
            </w:r>
          </w:p>
        </w:tc>
      </w:tr>
      <w:tr w:rsidR="006E08C5" w:rsidRPr="009C26EF" w14:paraId="5CB4FBFF" w14:textId="77777777" w:rsidTr="006E08C5">
        <w:trPr>
          <w:trHeight w:val="240"/>
          <w:jc w:val="center"/>
        </w:trPr>
        <w:tc>
          <w:tcPr>
            <w:tcW w:w="2620" w:type="dxa"/>
            <w:tcBorders>
              <w:top w:val="nil"/>
              <w:left w:val="single" w:sz="8" w:space="0" w:color="auto"/>
              <w:bottom w:val="nil"/>
              <w:right w:val="nil"/>
            </w:tcBorders>
            <w:shd w:val="clear" w:color="000000" w:fill="D9D9D9"/>
            <w:noWrap/>
            <w:vAlign w:val="center"/>
            <w:hideMark/>
          </w:tcPr>
          <w:p w14:paraId="20818F3E" w14:textId="77777777" w:rsidR="006E08C5" w:rsidRPr="006E08C5" w:rsidRDefault="006E08C5" w:rsidP="002F131C">
            <w:pPr>
              <w:rPr>
                <w:rFonts w:ascii="Montserrat Medium" w:eastAsia="Times New Roman" w:hAnsi="Montserrat Medium" w:cs="Calibri"/>
                <w:b/>
                <w:bCs/>
                <w:sz w:val="16"/>
                <w:szCs w:val="16"/>
                <w:lang w:eastAsia="es-MX"/>
              </w:rPr>
            </w:pPr>
            <w:r w:rsidRPr="006E08C5">
              <w:rPr>
                <w:rFonts w:ascii="Montserrat Medium" w:eastAsia="Times New Roman" w:hAnsi="Montserrat Medium" w:cs="Calibri"/>
                <w:b/>
                <w:bCs/>
                <w:sz w:val="16"/>
                <w:szCs w:val="16"/>
                <w:lang w:eastAsia="es-MX"/>
              </w:rPr>
              <w:t>Ingresos Locales</w:t>
            </w:r>
          </w:p>
        </w:tc>
        <w:tc>
          <w:tcPr>
            <w:tcW w:w="1540" w:type="dxa"/>
            <w:tcBorders>
              <w:top w:val="nil"/>
              <w:left w:val="nil"/>
              <w:bottom w:val="nil"/>
              <w:right w:val="nil"/>
            </w:tcBorders>
            <w:shd w:val="clear" w:color="000000" w:fill="D9D9D9"/>
            <w:noWrap/>
            <w:vAlign w:val="center"/>
            <w:hideMark/>
          </w:tcPr>
          <w:p w14:paraId="2560FCD7" w14:textId="02132D62" w:rsidR="006E08C5" w:rsidRPr="006E08C5" w:rsidRDefault="006E08C5" w:rsidP="002F131C">
            <w:pPr>
              <w:jc w:val="right"/>
              <w:rPr>
                <w:rFonts w:ascii="Montserrat Medium" w:eastAsia="Times New Roman" w:hAnsi="Montserrat Medium" w:cs="Calibri"/>
                <w:b/>
                <w:sz w:val="16"/>
                <w:szCs w:val="16"/>
                <w:highlight w:val="yellow"/>
                <w:lang w:eastAsia="es-MX"/>
              </w:rPr>
            </w:pPr>
            <w:r w:rsidRPr="006E08C5">
              <w:rPr>
                <w:rFonts w:ascii="Montserrat Medium" w:eastAsia="Times New Roman" w:hAnsi="Montserrat Medium" w:cs="Calibri"/>
                <w:b/>
                <w:sz w:val="16"/>
                <w:szCs w:val="16"/>
                <w:lang w:eastAsia="es-MX"/>
              </w:rPr>
              <w:t>7,248,783,857.60</w:t>
            </w:r>
          </w:p>
        </w:tc>
        <w:tc>
          <w:tcPr>
            <w:tcW w:w="1560" w:type="dxa"/>
            <w:tcBorders>
              <w:top w:val="nil"/>
              <w:left w:val="nil"/>
              <w:bottom w:val="nil"/>
              <w:right w:val="nil"/>
            </w:tcBorders>
            <w:shd w:val="clear" w:color="000000" w:fill="D9D9D9"/>
            <w:noWrap/>
            <w:vAlign w:val="center"/>
            <w:hideMark/>
          </w:tcPr>
          <w:p w14:paraId="14D08A3E" w14:textId="635AA1A6" w:rsidR="006E08C5" w:rsidRPr="006E08C5" w:rsidRDefault="006E08C5" w:rsidP="002F131C">
            <w:pPr>
              <w:jc w:val="right"/>
              <w:rPr>
                <w:rFonts w:ascii="Montserrat Medium" w:eastAsia="Times New Roman" w:hAnsi="Montserrat Medium" w:cs="Calibri"/>
                <w:b/>
                <w:sz w:val="16"/>
                <w:szCs w:val="16"/>
                <w:highlight w:val="yellow"/>
                <w:lang w:eastAsia="es-MX"/>
              </w:rPr>
            </w:pPr>
            <w:r w:rsidRPr="006E08C5">
              <w:rPr>
                <w:rFonts w:ascii="Montserrat Medium" w:eastAsia="Times New Roman" w:hAnsi="Montserrat Medium" w:cs="Calibri"/>
                <w:b/>
                <w:sz w:val="16"/>
                <w:szCs w:val="16"/>
                <w:lang w:eastAsia="es-MX"/>
              </w:rPr>
              <w:t>7,831,088,657.98</w:t>
            </w:r>
          </w:p>
        </w:tc>
        <w:tc>
          <w:tcPr>
            <w:tcW w:w="1536" w:type="dxa"/>
            <w:tcBorders>
              <w:top w:val="nil"/>
              <w:left w:val="nil"/>
              <w:bottom w:val="nil"/>
              <w:right w:val="nil"/>
            </w:tcBorders>
            <w:shd w:val="clear" w:color="000000" w:fill="D9D9D9"/>
            <w:noWrap/>
            <w:vAlign w:val="center"/>
            <w:hideMark/>
          </w:tcPr>
          <w:p w14:paraId="1F54209A" w14:textId="20B51B13" w:rsidR="006E08C5" w:rsidRPr="006E08C5" w:rsidRDefault="006E08C5" w:rsidP="002F131C">
            <w:pPr>
              <w:jc w:val="right"/>
              <w:rPr>
                <w:rFonts w:ascii="Montserrat Medium" w:eastAsia="Times New Roman" w:hAnsi="Montserrat Medium" w:cs="Calibri"/>
                <w:b/>
                <w:sz w:val="16"/>
                <w:szCs w:val="16"/>
                <w:highlight w:val="yellow"/>
                <w:lang w:eastAsia="es-MX"/>
              </w:rPr>
            </w:pPr>
            <w:r w:rsidRPr="006E08C5">
              <w:rPr>
                <w:rFonts w:ascii="Montserrat Medium" w:eastAsia="Times New Roman" w:hAnsi="Montserrat Medium" w:cs="Calibri"/>
                <w:b/>
                <w:sz w:val="16"/>
                <w:szCs w:val="16"/>
                <w:lang w:eastAsia="es-MX"/>
              </w:rPr>
              <w:t>582,304,800.38</w:t>
            </w:r>
          </w:p>
        </w:tc>
        <w:tc>
          <w:tcPr>
            <w:tcW w:w="1352" w:type="dxa"/>
            <w:tcBorders>
              <w:top w:val="nil"/>
              <w:left w:val="nil"/>
              <w:bottom w:val="nil"/>
              <w:right w:val="single" w:sz="8" w:space="0" w:color="auto"/>
            </w:tcBorders>
            <w:shd w:val="clear" w:color="000000" w:fill="D9D9D9"/>
            <w:noWrap/>
            <w:vAlign w:val="center"/>
            <w:hideMark/>
          </w:tcPr>
          <w:p w14:paraId="797370A2" w14:textId="484E1707" w:rsidR="006E08C5" w:rsidRPr="006E08C5" w:rsidRDefault="006E08C5" w:rsidP="002F131C">
            <w:pPr>
              <w:jc w:val="right"/>
              <w:rPr>
                <w:rFonts w:ascii="Montserrat Medium" w:eastAsia="Times New Roman" w:hAnsi="Montserrat Medium" w:cs="Calibri"/>
                <w:b/>
                <w:sz w:val="16"/>
                <w:szCs w:val="16"/>
                <w:highlight w:val="yellow"/>
                <w:lang w:eastAsia="es-MX"/>
              </w:rPr>
            </w:pPr>
            <w:r w:rsidRPr="006E08C5">
              <w:rPr>
                <w:rFonts w:ascii="Montserrat Medium" w:eastAsia="Times New Roman" w:hAnsi="Montserrat Medium" w:cs="Calibri"/>
                <w:b/>
                <w:sz w:val="16"/>
                <w:szCs w:val="16"/>
                <w:lang w:eastAsia="es-MX"/>
              </w:rPr>
              <w:t>8.0%</w:t>
            </w:r>
          </w:p>
        </w:tc>
      </w:tr>
      <w:tr w:rsidR="006E08C5" w:rsidRPr="009C26EF" w14:paraId="484055B7" w14:textId="77777777" w:rsidTr="006E08C5">
        <w:trPr>
          <w:trHeight w:val="240"/>
          <w:jc w:val="center"/>
        </w:trPr>
        <w:tc>
          <w:tcPr>
            <w:tcW w:w="2620" w:type="dxa"/>
            <w:tcBorders>
              <w:top w:val="nil"/>
              <w:left w:val="single" w:sz="8" w:space="0" w:color="auto"/>
              <w:bottom w:val="single" w:sz="4" w:space="0" w:color="BFBFBF"/>
              <w:right w:val="nil"/>
            </w:tcBorders>
            <w:shd w:val="clear" w:color="auto" w:fill="auto"/>
            <w:noWrap/>
            <w:vAlign w:val="center"/>
            <w:hideMark/>
          </w:tcPr>
          <w:p w14:paraId="26345D4D" w14:textId="77777777" w:rsidR="006E08C5" w:rsidRPr="006E08C5" w:rsidRDefault="006E08C5" w:rsidP="002F131C">
            <w:pPr>
              <w:rPr>
                <w:rFonts w:ascii="Montserrat Medium" w:eastAsia="Times New Roman" w:hAnsi="Montserrat Medium" w:cs="Calibri"/>
                <w:sz w:val="16"/>
                <w:szCs w:val="16"/>
                <w:lang w:eastAsia="es-MX"/>
              </w:rPr>
            </w:pPr>
            <w:r w:rsidRPr="006E08C5">
              <w:rPr>
                <w:rFonts w:ascii="Montserrat Medium" w:eastAsia="Times New Roman" w:hAnsi="Montserrat Medium" w:cs="Calibri"/>
                <w:sz w:val="16"/>
                <w:szCs w:val="16"/>
                <w:lang w:eastAsia="es-MX"/>
              </w:rPr>
              <w:t>Impuestos</w:t>
            </w:r>
          </w:p>
        </w:tc>
        <w:tc>
          <w:tcPr>
            <w:tcW w:w="1540" w:type="dxa"/>
            <w:tcBorders>
              <w:top w:val="nil"/>
              <w:left w:val="nil"/>
              <w:bottom w:val="single" w:sz="4" w:space="0" w:color="BFBFBF"/>
              <w:right w:val="nil"/>
            </w:tcBorders>
            <w:shd w:val="clear" w:color="auto" w:fill="auto"/>
            <w:noWrap/>
            <w:vAlign w:val="center"/>
            <w:hideMark/>
          </w:tcPr>
          <w:p w14:paraId="41EC0985" w14:textId="16578A1A"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5,365,408,369.49</w:t>
            </w:r>
          </w:p>
        </w:tc>
        <w:tc>
          <w:tcPr>
            <w:tcW w:w="1560" w:type="dxa"/>
            <w:tcBorders>
              <w:top w:val="nil"/>
              <w:left w:val="nil"/>
              <w:bottom w:val="single" w:sz="4" w:space="0" w:color="BFBFBF"/>
              <w:right w:val="nil"/>
            </w:tcBorders>
            <w:shd w:val="clear" w:color="auto" w:fill="auto"/>
            <w:noWrap/>
            <w:vAlign w:val="center"/>
            <w:hideMark/>
          </w:tcPr>
          <w:p w14:paraId="17361626" w14:textId="09BDB1E4"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5,894,312,552.41</w:t>
            </w:r>
          </w:p>
        </w:tc>
        <w:tc>
          <w:tcPr>
            <w:tcW w:w="1536" w:type="dxa"/>
            <w:tcBorders>
              <w:top w:val="nil"/>
              <w:left w:val="nil"/>
              <w:bottom w:val="single" w:sz="4" w:space="0" w:color="BFBFBF"/>
              <w:right w:val="nil"/>
            </w:tcBorders>
            <w:shd w:val="clear" w:color="auto" w:fill="auto"/>
            <w:noWrap/>
            <w:vAlign w:val="center"/>
            <w:hideMark/>
          </w:tcPr>
          <w:p w14:paraId="10FC79B0" w14:textId="313FDA8B"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528,904,182.92</w:t>
            </w:r>
          </w:p>
        </w:tc>
        <w:tc>
          <w:tcPr>
            <w:tcW w:w="1352" w:type="dxa"/>
            <w:tcBorders>
              <w:top w:val="nil"/>
              <w:left w:val="nil"/>
              <w:bottom w:val="single" w:sz="4" w:space="0" w:color="BFBFBF"/>
              <w:right w:val="single" w:sz="8" w:space="0" w:color="auto"/>
            </w:tcBorders>
            <w:shd w:val="clear" w:color="auto" w:fill="auto"/>
            <w:noWrap/>
            <w:vAlign w:val="center"/>
            <w:hideMark/>
          </w:tcPr>
          <w:p w14:paraId="40D50C29" w14:textId="690AAE42"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9.9%</w:t>
            </w:r>
          </w:p>
        </w:tc>
      </w:tr>
      <w:tr w:rsidR="006E08C5" w:rsidRPr="009C26EF" w14:paraId="41125A42" w14:textId="77777777" w:rsidTr="006E08C5">
        <w:trPr>
          <w:trHeight w:val="240"/>
          <w:jc w:val="center"/>
        </w:trPr>
        <w:tc>
          <w:tcPr>
            <w:tcW w:w="2620" w:type="dxa"/>
            <w:tcBorders>
              <w:top w:val="nil"/>
              <w:left w:val="single" w:sz="8" w:space="0" w:color="auto"/>
              <w:bottom w:val="single" w:sz="4" w:space="0" w:color="BFBFBF"/>
              <w:right w:val="nil"/>
            </w:tcBorders>
            <w:shd w:val="clear" w:color="auto" w:fill="auto"/>
            <w:noWrap/>
            <w:vAlign w:val="center"/>
            <w:hideMark/>
          </w:tcPr>
          <w:p w14:paraId="672518A2" w14:textId="77777777" w:rsidR="006E08C5" w:rsidRPr="006E08C5" w:rsidRDefault="006E08C5" w:rsidP="002F131C">
            <w:pPr>
              <w:rPr>
                <w:rFonts w:ascii="Montserrat Medium" w:eastAsia="Times New Roman" w:hAnsi="Montserrat Medium" w:cs="Calibri"/>
                <w:sz w:val="16"/>
                <w:szCs w:val="16"/>
                <w:lang w:eastAsia="es-MX"/>
              </w:rPr>
            </w:pPr>
            <w:r w:rsidRPr="006E08C5">
              <w:rPr>
                <w:rFonts w:ascii="Montserrat Medium" w:eastAsia="Times New Roman" w:hAnsi="Montserrat Medium" w:cs="Calibri"/>
                <w:sz w:val="16"/>
                <w:szCs w:val="16"/>
                <w:lang w:eastAsia="es-MX"/>
              </w:rPr>
              <w:t>Derechos</w:t>
            </w:r>
          </w:p>
        </w:tc>
        <w:tc>
          <w:tcPr>
            <w:tcW w:w="1540" w:type="dxa"/>
            <w:tcBorders>
              <w:top w:val="nil"/>
              <w:left w:val="nil"/>
              <w:bottom w:val="single" w:sz="4" w:space="0" w:color="BFBFBF"/>
              <w:right w:val="nil"/>
            </w:tcBorders>
            <w:shd w:val="clear" w:color="auto" w:fill="auto"/>
            <w:noWrap/>
            <w:vAlign w:val="center"/>
            <w:hideMark/>
          </w:tcPr>
          <w:p w14:paraId="152EDFD0" w14:textId="065A2548"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1,346,230,497.15</w:t>
            </w:r>
          </w:p>
        </w:tc>
        <w:tc>
          <w:tcPr>
            <w:tcW w:w="1560" w:type="dxa"/>
            <w:tcBorders>
              <w:top w:val="nil"/>
              <w:left w:val="nil"/>
              <w:bottom w:val="single" w:sz="4" w:space="0" w:color="BFBFBF"/>
              <w:right w:val="nil"/>
            </w:tcBorders>
            <w:shd w:val="clear" w:color="auto" w:fill="auto"/>
            <w:noWrap/>
            <w:vAlign w:val="center"/>
            <w:hideMark/>
          </w:tcPr>
          <w:p w14:paraId="424CE3B0" w14:textId="16AF335E"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1,610,080,708.31</w:t>
            </w:r>
          </w:p>
        </w:tc>
        <w:tc>
          <w:tcPr>
            <w:tcW w:w="1536" w:type="dxa"/>
            <w:tcBorders>
              <w:top w:val="nil"/>
              <w:left w:val="nil"/>
              <w:bottom w:val="single" w:sz="4" w:space="0" w:color="BFBFBF"/>
              <w:right w:val="nil"/>
            </w:tcBorders>
            <w:shd w:val="clear" w:color="auto" w:fill="auto"/>
            <w:noWrap/>
            <w:vAlign w:val="center"/>
            <w:hideMark/>
          </w:tcPr>
          <w:p w14:paraId="1AC7A876" w14:textId="25643F59"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263,850,211.16</w:t>
            </w:r>
          </w:p>
        </w:tc>
        <w:tc>
          <w:tcPr>
            <w:tcW w:w="1352" w:type="dxa"/>
            <w:tcBorders>
              <w:top w:val="nil"/>
              <w:left w:val="nil"/>
              <w:bottom w:val="single" w:sz="4" w:space="0" w:color="BFBFBF"/>
              <w:right w:val="single" w:sz="8" w:space="0" w:color="auto"/>
            </w:tcBorders>
            <w:shd w:val="clear" w:color="auto" w:fill="auto"/>
            <w:noWrap/>
            <w:vAlign w:val="center"/>
            <w:hideMark/>
          </w:tcPr>
          <w:p w14:paraId="78968251" w14:textId="323ABB56"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19.6%</w:t>
            </w:r>
          </w:p>
        </w:tc>
      </w:tr>
      <w:tr w:rsidR="006E08C5" w:rsidRPr="009C26EF" w14:paraId="581B1BFA" w14:textId="77777777" w:rsidTr="006E08C5">
        <w:trPr>
          <w:trHeight w:val="240"/>
          <w:jc w:val="center"/>
        </w:trPr>
        <w:tc>
          <w:tcPr>
            <w:tcW w:w="2620" w:type="dxa"/>
            <w:tcBorders>
              <w:top w:val="nil"/>
              <w:left w:val="single" w:sz="8" w:space="0" w:color="auto"/>
              <w:bottom w:val="single" w:sz="4" w:space="0" w:color="BFBFBF"/>
              <w:right w:val="nil"/>
            </w:tcBorders>
            <w:shd w:val="clear" w:color="auto" w:fill="auto"/>
            <w:noWrap/>
            <w:vAlign w:val="center"/>
            <w:hideMark/>
          </w:tcPr>
          <w:p w14:paraId="781D6120" w14:textId="77777777" w:rsidR="006E08C5" w:rsidRPr="006E08C5" w:rsidRDefault="006E08C5" w:rsidP="002F131C">
            <w:pPr>
              <w:rPr>
                <w:rFonts w:ascii="Montserrat Medium" w:eastAsia="Times New Roman" w:hAnsi="Montserrat Medium" w:cs="Calibri"/>
                <w:sz w:val="16"/>
                <w:szCs w:val="16"/>
                <w:lang w:eastAsia="es-MX"/>
              </w:rPr>
            </w:pPr>
            <w:r w:rsidRPr="006E08C5">
              <w:rPr>
                <w:rFonts w:ascii="Montserrat Medium" w:eastAsia="Times New Roman" w:hAnsi="Montserrat Medium" w:cs="Calibri"/>
                <w:sz w:val="16"/>
                <w:szCs w:val="16"/>
                <w:lang w:eastAsia="es-MX"/>
              </w:rPr>
              <w:t>Productos</w:t>
            </w:r>
          </w:p>
        </w:tc>
        <w:tc>
          <w:tcPr>
            <w:tcW w:w="1540" w:type="dxa"/>
            <w:tcBorders>
              <w:top w:val="nil"/>
              <w:left w:val="nil"/>
              <w:bottom w:val="single" w:sz="4" w:space="0" w:color="BFBFBF"/>
              <w:right w:val="nil"/>
            </w:tcBorders>
            <w:shd w:val="clear" w:color="auto" w:fill="auto"/>
            <w:noWrap/>
            <w:vAlign w:val="center"/>
            <w:hideMark/>
          </w:tcPr>
          <w:p w14:paraId="1A240FF3" w14:textId="1367988D"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193,882,349.20</w:t>
            </w:r>
          </w:p>
        </w:tc>
        <w:tc>
          <w:tcPr>
            <w:tcW w:w="1560" w:type="dxa"/>
            <w:tcBorders>
              <w:top w:val="nil"/>
              <w:left w:val="nil"/>
              <w:bottom w:val="single" w:sz="4" w:space="0" w:color="BFBFBF"/>
              <w:right w:val="nil"/>
            </w:tcBorders>
            <w:shd w:val="clear" w:color="auto" w:fill="auto"/>
            <w:noWrap/>
            <w:vAlign w:val="center"/>
            <w:hideMark/>
          </w:tcPr>
          <w:p w14:paraId="7484928C" w14:textId="1B0AC59E"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190,992,996.61</w:t>
            </w:r>
          </w:p>
        </w:tc>
        <w:tc>
          <w:tcPr>
            <w:tcW w:w="1536" w:type="dxa"/>
            <w:tcBorders>
              <w:top w:val="nil"/>
              <w:left w:val="nil"/>
              <w:bottom w:val="single" w:sz="4" w:space="0" w:color="BFBFBF"/>
              <w:right w:val="nil"/>
            </w:tcBorders>
            <w:shd w:val="clear" w:color="auto" w:fill="auto"/>
            <w:noWrap/>
            <w:vAlign w:val="center"/>
            <w:hideMark/>
          </w:tcPr>
          <w:p w14:paraId="1CF70AAF" w14:textId="07F26B65"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-2,889,352.59</w:t>
            </w:r>
          </w:p>
        </w:tc>
        <w:tc>
          <w:tcPr>
            <w:tcW w:w="1352" w:type="dxa"/>
            <w:tcBorders>
              <w:top w:val="nil"/>
              <w:left w:val="nil"/>
              <w:bottom w:val="single" w:sz="4" w:space="0" w:color="BFBFBF"/>
              <w:right w:val="single" w:sz="8" w:space="0" w:color="auto"/>
            </w:tcBorders>
            <w:shd w:val="clear" w:color="auto" w:fill="auto"/>
            <w:noWrap/>
            <w:vAlign w:val="center"/>
            <w:hideMark/>
          </w:tcPr>
          <w:p w14:paraId="4C619EEF" w14:textId="21FB3C47"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-1.5%</w:t>
            </w:r>
          </w:p>
        </w:tc>
      </w:tr>
      <w:tr w:rsidR="006E08C5" w:rsidRPr="009C26EF" w14:paraId="7D91202B" w14:textId="77777777" w:rsidTr="006E08C5">
        <w:trPr>
          <w:trHeight w:val="240"/>
          <w:jc w:val="center"/>
        </w:trPr>
        <w:tc>
          <w:tcPr>
            <w:tcW w:w="2620" w:type="dxa"/>
            <w:tcBorders>
              <w:top w:val="nil"/>
              <w:left w:val="single" w:sz="8" w:space="0" w:color="auto"/>
              <w:bottom w:val="nil"/>
              <w:right w:val="nil"/>
            </w:tcBorders>
            <w:shd w:val="clear" w:color="auto" w:fill="auto"/>
            <w:noWrap/>
            <w:vAlign w:val="center"/>
            <w:hideMark/>
          </w:tcPr>
          <w:p w14:paraId="230D27E7" w14:textId="77777777" w:rsidR="006E08C5" w:rsidRPr="006E08C5" w:rsidRDefault="006E08C5" w:rsidP="002F131C">
            <w:pPr>
              <w:rPr>
                <w:rFonts w:ascii="Montserrat Medium" w:eastAsia="Times New Roman" w:hAnsi="Montserrat Medium" w:cs="Calibri"/>
                <w:sz w:val="16"/>
                <w:szCs w:val="16"/>
                <w:lang w:eastAsia="es-MX"/>
              </w:rPr>
            </w:pPr>
            <w:r w:rsidRPr="006E08C5">
              <w:rPr>
                <w:rFonts w:ascii="Montserrat Medium" w:eastAsia="Times New Roman" w:hAnsi="Montserrat Medium" w:cs="Calibri"/>
                <w:sz w:val="16"/>
                <w:szCs w:val="16"/>
                <w:lang w:eastAsia="es-MX"/>
              </w:rPr>
              <w:t>Aprovechamientos</w:t>
            </w:r>
          </w:p>
        </w:tc>
        <w:tc>
          <w:tcPr>
            <w:tcW w:w="1540" w:type="dxa"/>
            <w:tcBorders>
              <w:top w:val="nil"/>
              <w:left w:val="nil"/>
              <w:bottom w:val="single" w:sz="4" w:space="0" w:color="BFBFBF"/>
              <w:right w:val="nil"/>
            </w:tcBorders>
            <w:shd w:val="clear" w:color="auto" w:fill="auto"/>
            <w:noWrap/>
            <w:vAlign w:val="center"/>
            <w:hideMark/>
          </w:tcPr>
          <w:p w14:paraId="4AC099D7" w14:textId="58ECCA03"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343,262,641.76</w:t>
            </w:r>
          </w:p>
        </w:tc>
        <w:tc>
          <w:tcPr>
            <w:tcW w:w="1560" w:type="dxa"/>
            <w:tcBorders>
              <w:top w:val="nil"/>
              <w:left w:val="nil"/>
              <w:bottom w:val="single" w:sz="4" w:space="0" w:color="BFBFBF"/>
              <w:right w:val="nil"/>
            </w:tcBorders>
            <w:shd w:val="clear" w:color="auto" w:fill="auto"/>
            <w:noWrap/>
            <w:vAlign w:val="center"/>
            <w:hideMark/>
          </w:tcPr>
          <w:p w14:paraId="59DAAD89" w14:textId="41037603"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135,702,400.65</w:t>
            </w:r>
          </w:p>
        </w:tc>
        <w:tc>
          <w:tcPr>
            <w:tcW w:w="1536" w:type="dxa"/>
            <w:tcBorders>
              <w:top w:val="nil"/>
              <w:left w:val="nil"/>
              <w:bottom w:val="nil"/>
              <w:right w:val="nil"/>
            </w:tcBorders>
            <w:shd w:val="clear" w:color="auto" w:fill="auto"/>
            <w:noWrap/>
            <w:vAlign w:val="center"/>
            <w:hideMark/>
          </w:tcPr>
          <w:p w14:paraId="35405835" w14:textId="0D59302B"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-207,560,241.11</w:t>
            </w:r>
          </w:p>
        </w:tc>
        <w:tc>
          <w:tcPr>
            <w:tcW w:w="1352" w:type="dxa"/>
            <w:tcBorders>
              <w:top w:val="nil"/>
              <w:left w:val="nil"/>
              <w:bottom w:val="nil"/>
              <w:right w:val="single" w:sz="8" w:space="0" w:color="auto"/>
            </w:tcBorders>
            <w:shd w:val="clear" w:color="auto" w:fill="auto"/>
            <w:noWrap/>
            <w:vAlign w:val="center"/>
            <w:hideMark/>
          </w:tcPr>
          <w:p w14:paraId="0084B144" w14:textId="6E32D825"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-60.5%</w:t>
            </w:r>
          </w:p>
        </w:tc>
      </w:tr>
      <w:tr w:rsidR="006E08C5" w:rsidRPr="009C26EF" w14:paraId="7BDB18D0" w14:textId="77777777" w:rsidTr="006E08C5">
        <w:trPr>
          <w:trHeight w:val="240"/>
          <w:jc w:val="center"/>
        </w:trPr>
        <w:tc>
          <w:tcPr>
            <w:tcW w:w="2620" w:type="dxa"/>
            <w:tcBorders>
              <w:top w:val="nil"/>
              <w:left w:val="single" w:sz="8" w:space="0" w:color="auto"/>
              <w:bottom w:val="nil"/>
              <w:right w:val="nil"/>
            </w:tcBorders>
            <w:shd w:val="clear" w:color="000000" w:fill="D9D9D9"/>
            <w:vAlign w:val="center"/>
            <w:hideMark/>
          </w:tcPr>
          <w:p w14:paraId="438C00BE" w14:textId="77777777" w:rsidR="006E08C5" w:rsidRPr="006E08C5" w:rsidRDefault="006E08C5" w:rsidP="002F131C">
            <w:pPr>
              <w:rPr>
                <w:rFonts w:ascii="Montserrat Medium" w:eastAsia="Times New Roman" w:hAnsi="Montserrat Medium" w:cs="Calibri"/>
                <w:b/>
                <w:bCs/>
                <w:sz w:val="16"/>
                <w:szCs w:val="16"/>
                <w:lang w:eastAsia="es-MX"/>
              </w:rPr>
            </w:pPr>
            <w:r w:rsidRPr="006E08C5">
              <w:rPr>
                <w:rFonts w:ascii="Montserrat Medium" w:eastAsia="Times New Roman" w:hAnsi="Montserrat Medium" w:cs="Calibri"/>
                <w:b/>
                <w:bCs/>
                <w:sz w:val="16"/>
                <w:szCs w:val="16"/>
                <w:lang w:eastAsia="es-MX"/>
              </w:rPr>
              <w:t>Ingresos Federales</w:t>
            </w:r>
          </w:p>
        </w:tc>
        <w:tc>
          <w:tcPr>
            <w:tcW w:w="1540" w:type="dxa"/>
            <w:tcBorders>
              <w:top w:val="nil"/>
              <w:left w:val="nil"/>
              <w:bottom w:val="nil"/>
              <w:right w:val="nil"/>
            </w:tcBorders>
            <w:shd w:val="clear" w:color="000000" w:fill="D9D9D9"/>
            <w:noWrap/>
            <w:vAlign w:val="center"/>
            <w:hideMark/>
          </w:tcPr>
          <w:p w14:paraId="6D05466C" w14:textId="6749B54F" w:rsidR="006E08C5" w:rsidRPr="006E08C5" w:rsidRDefault="006E08C5" w:rsidP="002F131C">
            <w:pPr>
              <w:jc w:val="right"/>
              <w:rPr>
                <w:rFonts w:ascii="Montserrat Medium" w:eastAsia="Times New Roman" w:hAnsi="Montserrat Medium" w:cs="Calibri"/>
                <w:b/>
                <w:sz w:val="16"/>
                <w:szCs w:val="16"/>
                <w:highlight w:val="yellow"/>
                <w:lang w:eastAsia="es-MX"/>
              </w:rPr>
            </w:pPr>
            <w:r w:rsidRPr="006E08C5">
              <w:rPr>
                <w:rFonts w:ascii="Montserrat Medium" w:eastAsia="Times New Roman" w:hAnsi="Montserrat Medium" w:cs="Calibri"/>
                <w:b/>
                <w:sz w:val="16"/>
                <w:szCs w:val="16"/>
                <w:lang w:eastAsia="es-MX"/>
              </w:rPr>
              <w:t>18,343,585,385.89</w:t>
            </w:r>
          </w:p>
        </w:tc>
        <w:tc>
          <w:tcPr>
            <w:tcW w:w="1560" w:type="dxa"/>
            <w:tcBorders>
              <w:top w:val="nil"/>
              <w:left w:val="nil"/>
              <w:bottom w:val="nil"/>
              <w:right w:val="nil"/>
            </w:tcBorders>
            <w:shd w:val="clear" w:color="000000" w:fill="D9D9D9"/>
            <w:noWrap/>
            <w:vAlign w:val="center"/>
            <w:hideMark/>
          </w:tcPr>
          <w:p w14:paraId="7E6B8F6C" w14:textId="2F658284" w:rsidR="006E08C5" w:rsidRPr="006E08C5" w:rsidRDefault="006E08C5" w:rsidP="002F131C">
            <w:pPr>
              <w:jc w:val="right"/>
              <w:rPr>
                <w:rFonts w:ascii="Montserrat Medium" w:eastAsia="Times New Roman" w:hAnsi="Montserrat Medium" w:cs="Calibri"/>
                <w:b/>
                <w:sz w:val="16"/>
                <w:szCs w:val="16"/>
                <w:highlight w:val="yellow"/>
                <w:lang w:eastAsia="es-MX"/>
              </w:rPr>
            </w:pPr>
            <w:r w:rsidRPr="006E08C5">
              <w:rPr>
                <w:rFonts w:ascii="Montserrat Medium" w:eastAsia="Times New Roman" w:hAnsi="Montserrat Medium" w:cs="Calibri"/>
                <w:b/>
                <w:sz w:val="16"/>
                <w:szCs w:val="16"/>
                <w:lang w:eastAsia="es-MX"/>
              </w:rPr>
              <w:t>20,126,676,746.41</w:t>
            </w:r>
          </w:p>
        </w:tc>
        <w:tc>
          <w:tcPr>
            <w:tcW w:w="1536" w:type="dxa"/>
            <w:tcBorders>
              <w:top w:val="nil"/>
              <w:left w:val="nil"/>
              <w:bottom w:val="nil"/>
              <w:right w:val="nil"/>
            </w:tcBorders>
            <w:shd w:val="clear" w:color="000000" w:fill="D9D9D9"/>
            <w:noWrap/>
            <w:vAlign w:val="center"/>
            <w:hideMark/>
          </w:tcPr>
          <w:p w14:paraId="7F6A1B8A" w14:textId="72CCB599" w:rsidR="006E08C5" w:rsidRPr="006E08C5" w:rsidRDefault="006E08C5" w:rsidP="002F131C">
            <w:pPr>
              <w:jc w:val="right"/>
              <w:rPr>
                <w:rFonts w:ascii="Montserrat Medium" w:eastAsia="Times New Roman" w:hAnsi="Montserrat Medium" w:cs="Calibri"/>
                <w:b/>
                <w:sz w:val="16"/>
                <w:szCs w:val="16"/>
                <w:highlight w:val="yellow"/>
                <w:lang w:eastAsia="es-MX"/>
              </w:rPr>
            </w:pPr>
            <w:r w:rsidRPr="006E08C5">
              <w:rPr>
                <w:rFonts w:ascii="Montserrat Medium" w:eastAsia="Times New Roman" w:hAnsi="Montserrat Medium" w:cs="Calibri"/>
                <w:b/>
                <w:sz w:val="16"/>
                <w:szCs w:val="16"/>
                <w:lang w:eastAsia="es-MX"/>
              </w:rPr>
              <w:t>1,783,091,360.52</w:t>
            </w:r>
          </w:p>
        </w:tc>
        <w:tc>
          <w:tcPr>
            <w:tcW w:w="1352" w:type="dxa"/>
            <w:tcBorders>
              <w:top w:val="nil"/>
              <w:left w:val="nil"/>
              <w:bottom w:val="nil"/>
              <w:right w:val="single" w:sz="8" w:space="0" w:color="auto"/>
            </w:tcBorders>
            <w:shd w:val="clear" w:color="000000" w:fill="D9D9D9"/>
            <w:noWrap/>
            <w:vAlign w:val="center"/>
            <w:hideMark/>
          </w:tcPr>
          <w:p w14:paraId="24AF8056" w14:textId="198AE052" w:rsidR="006E08C5" w:rsidRPr="006E08C5" w:rsidRDefault="006E08C5" w:rsidP="002F131C">
            <w:pPr>
              <w:jc w:val="right"/>
              <w:rPr>
                <w:rFonts w:ascii="Montserrat Medium" w:eastAsia="Times New Roman" w:hAnsi="Montserrat Medium" w:cs="Calibri"/>
                <w:b/>
                <w:sz w:val="16"/>
                <w:szCs w:val="16"/>
                <w:highlight w:val="yellow"/>
                <w:lang w:eastAsia="es-MX"/>
              </w:rPr>
            </w:pPr>
            <w:r w:rsidRPr="006E08C5">
              <w:rPr>
                <w:rFonts w:ascii="Montserrat Medium" w:eastAsia="Times New Roman" w:hAnsi="Montserrat Medium" w:cs="Calibri"/>
                <w:b/>
                <w:sz w:val="16"/>
                <w:szCs w:val="16"/>
                <w:lang w:eastAsia="es-MX"/>
              </w:rPr>
              <w:t>9.7%</w:t>
            </w:r>
          </w:p>
        </w:tc>
      </w:tr>
      <w:tr w:rsidR="006E08C5" w:rsidRPr="009C26EF" w14:paraId="14594736" w14:textId="77777777" w:rsidTr="006E08C5">
        <w:trPr>
          <w:trHeight w:val="240"/>
          <w:jc w:val="center"/>
        </w:trPr>
        <w:tc>
          <w:tcPr>
            <w:tcW w:w="2620" w:type="dxa"/>
            <w:tcBorders>
              <w:top w:val="nil"/>
              <w:left w:val="single" w:sz="8" w:space="0" w:color="auto"/>
              <w:bottom w:val="single" w:sz="4" w:space="0" w:color="BFBFBF"/>
              <w:right w:val="nil"/>
            </w:tcBorders>
            <w:shd w:val="clear" w:color="auto" w:fill="auto"/>
            <w:noWrap/>
            <w:vAlign w:val="center"/>
            <w:hideMark/>
          </w:tcPr>
          <w:p w14:paraId="1F53DEE6" w14:textId="77777777" w:rsidR="006E08C5" w:rsidRPr="006E08C5" w:rsidRDefault="006E08C5" w:rsidP="002F131C">
            <w:pPr>
              <w:rPr>
                <w:rFonts w:ascii="Montserrat Medium" w:eastAsia="Times New Roman" w:hAnsi="Montserrat Medium" w:cs="Calibri"/>
                <w:sz w:val="16"/>
                <w:szCs w:val="16"/>
                <w:lang w:eastAsia="es-MX"/>
              </w:rPr>
            </w:pPr>
            <w:r w:rsidRPr="006E08C5">
              <w:rPr>
                <w:rFonts w:ascii="Montserrat Medium" w:eastAsia="Times New Roman" w:hAnsi="Montserrat Medium" w:cs="Calibri"/>
                <w:sz w:val="16"/>
                <w:szCs w:val="16"/>
                <w:lang w:eastAsia="es-MX"/>
              </w:rPr>
              <w:t>Participaciones</w:t>
            </w:r>
          </w:p>
        </w:tc>
        <w:tc>
          <w:tcPr>
            <w:tcW w:w="1540" w:type="dxa"/>
            <w:tcBorders>
              <w:top w:val="nil"/>
              <w:left w:val="nil"/>
              <w:bottom w:val="single" w:sz="4" w:space="0" w:color="BFBFBF"/>
              <w:right w:val="nil"/>
            </w:tcBorders>
            <w:shd w:val="clear" w:color="auto" w:fill="auto"/>
            <w:noWrap/>
            <w:vAlign w:val="center"/>
            <w:hideMark/>
          </w:tcPr>
          <w:p w14:paraId="6F9AD06E" w14:textId="6116C95C"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9,631,064,683.00</w:t>
            </w:r>
          </w:p>
        </w:tc>
        <w:tc>
          <w:tcPr>
            <w:tcW w:w="1560" w:type="dxa"/>
            <w:tcBorders>
              <w:top w:val="nil"/>
              <w:left w:val="nil"/>
              <w:bottom w:val="single" w:sz="4" w:space="0" w:color="BFBFBF"/>
              <w:right w:val="nil"/>
            </w:tcBorders>
            <w:shd w:val="clear" w:color="auto" w:fill="auto"/>
            <w:noWrap/>
            <w:vAlign w:val="center"/>
            <w:hideMark/>
          </w:tcPr>
          <w:p w14:paraId="213AF29D" w14:textId="707D7320"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11,297,723,397.00</w:t>
            </w:r>
          </w:p>
        </w:tc>
        <w:tc>
          <w:tcPr>
            <w:tcW w:w="1536" w:type="dxa"/>
            <w:tcBorders>
              <w:top w:val="nil"/>
              <w:left w:val="nil"/>
              <w:bottom w:val="single" w:sz="4" w:space="0" w:color="BFBFBF"/>
              <w:right w:val="nil"/>
            </w:tcBorders>
            <w:shd w:val="clear" w:color="auto" w:fill="auto"/>
            <w:noWrap/>
            <w:vAlign w:val="center"/>
            <w:hideMark/>
          </w:tcPr>
          <w:p w14:paraId="6D7A452D" w14:textId="4E9F49A1"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1,666,658,714.00</w:t>
            </w:r>
          </w:p>
        </w:tc>
        <w:tc>
          <w:tcPr>
            <w:tcW w:w="1352" w:type="dxa"/>
            <w:tcBorders>
              <w:top w:val="nil"/>
              <w:left w:val="nil"/>
              <w:bottom w:val="single" w:sz="4" w:space="0" w:color="BFBFBF"/>
              <w:right w:val="single" w:sz="8" w:space="0" w:color="auto"/>
            </w:tcBorders>
            <w:shd w:val="clear" w:color="auto" w:fill="auto"/>
            <w:noWrap/>
            <w:vAlign w:val="center"/>
            <w:hideMark/>
          </w:tcPr>
          <w:p w14:paraId="06BCCEE1" w14:textId="4043238F"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17.3%</w:t>
            </w:r>
          </w:p>
        </w:tc>
      </w:tr>
      <w:tr w:rsidR="006E08C5" w:rsidRPr="009C26EF" w14:paraId="599622F9" w14:textId="77777777" w:rsidTr="006E08C5">
        <w:trPr>
          <w:trHeight w:val="240"/>
          <w:jc w:val="center"/>
        </w:trPr>
        <w:tc>
          <w:tcPr>
            <w:tcW w:w="2620" w:type="dxa"/>
            <w:tcBorders>
              <w:top w:val="nil"/>
              <w:left w:val="single" w:sz="8" w:space="0" w:color="auto"/>
              <w:bottom w:val="single" w:sz="4" w:space="0" w:color="BFBFBF"/>
              <w:right w:val="nil"/>
            </w:tcBorders>
            <w:shd w:val="clear" w:color="auto" w:fill="auto"/>
            <w:noWrap/>
            <w:vAlign w:val="center"/>
            <w:hideMark/>
          </w:tcPr>
          <w:p w14:paraId="400DA24E" w14:textId="77777777" w:rsidR="006E08C5" w:rsidRPr="006E08C5" w:rsidRDefault="006E08C5" w:rsidP="002F131C">
            <w:pPr>
              <w:rPr>
                <w:rFonts w:ascii="Montserrat Medium" w:eastAsia="Times New Roman" w:hAnsi="Montserrat Medium" w:cs="Calibri"/>
                <w:sz w:val="16"/>
                <w:szCs w:val="16"/>
                <w:lang w:eastAsia="es-MX"/>
              </w:rPr>
            </w:pPr>
            <w:r w:rsidRPr="006E08C5">
              <w:rPr>
                <w:rFonts w:ascii="Montserrat Medium" w:eastAsia="Times New Roman" w:hAnsi="Montserrat Medium" w:cs="Calibri"/>
                <w:sz w:val="16"/>
                <w:szCs w:val="16"/>
                <w:lang w:eastAsia="es-MX"/>
              </w:rPr>
              <w:t>Aportaciones</w:t>
            </w:r>
          </w:p>
        </w:tc>
        <w:tc>
          <w:tcPr>
            <w:tcW w:w="1540" w:type="dxa"/>
            <w:tcBorders>
              <w:top w:val="nil"/>
              <w:left w:val="nil"/>
              <w:bottom w:val="single" w:sz="4" w:space="0" w:color="BFBFBF"/>
              <w:right w:val="nil"/>
            </w:tcBorders>
            <w:shd w:val="clear" w:color="auto" w:fill="auto"/>
            <w:noWrap/>
            <w:vAlign w:val="center"/>
            <w:hideMark/>
          </w:tcPr>
          <w:p w14:paraId="6618734F" w14:textId="2DB3D435"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6,521,867,395.12</w:t>
            </w:r>
          </w:p>
        </w:tc>
        <w:tc>
          <w:tcPr>
            <w:tcW w:w="1560" w:type="dxa"/>
            <w:tcBorders>
              <w:top w:val="nil"/>
              <w:left w:val="nil"/>
              <w:bottom w:val="single" w:sz="4" w:space="0" w:color="BFBFBF"/>
              <w:right w:val="nil"/>
            </w:tcBorders>
            <w:shd w:val="clear" w:color="auto" w:fill="auto"/>
            <w:noWrap/>
            <w:vAlign w:val="center"/>
            <w:hideMark/>
          </w:tcPr>
          <w:p w14:paraId="530C89E5" w14:textId="54F4F140"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6,650,182,498.77</w:t>
            </w:r>
          </w:p>
        </w:tc>
        <w:tc>
          <w:tcPr>
            <w:tcW w:w="1536" w:type="dxa"/>
            <w:tcBorders>
              <w:top w:val="nil"/>
              <w:left w:val="nil"/>
              <w:bottom w:val="single" w:sz="4" w:space="0" w:color="BFBFBF"/>
              <w:right w:val="nil"/>
            </w:tcBorders>
            <w:shd w:val="clear" w:color="auto" w:fill="auto"/>
            <w:noWrap/>
            <w:vAlign w:val="center"/>
            <w:hideMark/>
          </w:tcPr>
          <w:p w14:paraId="2312FB1F" w14:textId="209A65C3"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128,315,103.65</w:t>
            </w:r>
          </w:p>
        </w:tc>
        <w:tc>
          <w:tcPr>
            <w:tcW w:w="1352" w:type="dxa"/>
            <w:tcBorders>
              <w:top w:val="nil"/>
              <w:left w:val="nil"/>
              <w:bottom w:val="single" w:sz="4" w:space="0" w:color="BFBFBF"/>
              <w:right w:val="single" w:sz="8" w:space="0" w:color="auto"/>
            </w:tcBorders>
            <w:shd w:val="clear" w:color="auto" w:fill="auto"/>
            <w:noWrap/>
            <w:vAlign w:val="center"/>
            <w:hideMark/>
          </w:tcPr>
          <w:p w14:paraId="2A38A171" w14:textId="25B280BE"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2.0%</w:t>
            </w:r>
          </w:p>
        </w:tc>
      </w:tr>
      <w:tr w:rsidR="006E08C5" w:rsidRPr="009C26EF" w14:paraId="698A0DA0" w14:textId="77777777" w:rsidTr="006E08C5">
        <w:trPr>
          <w:trHeight w:val="240"/>
          <w:jc w:val="center"/>
        </w:trPr>
        <w:tc>
          <w:tcPr>
            <w:tcW w:w="2620" w:type="dxa"/>
            <w:tcBorders>
              <w:top w:val="nil"/>
              <w:left w:val="single" w:sz="8" w:space="0" w:color="auto"/>
              <w:bottom w:val="nil"/>
              <w:right w:val="nil"/>
            </w:tcBorders>
            <w:shd w:val="clear" w:color="auto" w:fill="auto"/>
            <w:noWrap/>
            <w:vAlign w:val="center"/>
            <w:hideMark/>
          </w:tcPr>
          <w:p w14:paraId="6FC889C3" w14:textId="77777777" w:rsidR="006E08C5" w:rsidRPr="006E08C5" w:rsidRDefault="006E08C5" w:rsidP="002F131C">
            <w:pPr>
              <w:rPr>
                <w:rFonts w:ascii="Montserrat Medium" w:eastAsia="Times New Roman" w:hAnsi="Montserrat Medium" w:cs="Calibri"/>
                <w:sz w:val="16"/>
                <w:szCs w:val="16"/>
                <w:lang w:eastAsia="es-MX"/>
              </w:rPr>
            </w:pPr>
            <w:r w:rsidRPr="006E08C5">
              <w:rPr>
                <w:rFonts w:ascii="Montserrat Medium" w:eastAsia="Times New Roman" w:hAnsi="Montserrat Medium" w:cs="Calibri"/>
                <w:sz w:val="16"/>
                <w:szCs w:val="16"/>
                <w:lang w:eastAsia="es-MX"/>
              </w:rPr>
              <w:t>Convenios</w:t>
            </w:r>
          </w:p>
        </w:tc>
        <w:tc>
          <w:tcPr>
            <w:tcW w:w="1540" w:type="dxa"/>
            <w:tcBorders>
              <w:top w:val="nil"/>
              <w:left w:val="nil"/>
              <w:bottom w:val="single" w:sz="4" w:space="0" w:color="BFBFBF"/>
              <w:right w:val="nil"/>
            </w:tcBorders>
            <w:shd w:val="clear" w:color="auto" w:fill="auto"/>
            <w:noWrap/>
            <w:vAlign w:val="center"/>
            <w:hideMark/>
          </w:tcPr>
          <w:p w14:paraId="7B59FFD6" w14:textId="7ABBB435"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1,263,842,806.77</w:t>
            </w:r>
          </w:p>
        </w:tc>
        <w:tc>
          <w:tcPr>
            <w:tcW w:w="1560" w:type="dxa"/>
            <w:tcBorders>
              <w:top w:val="nil"/>
              <w:left w:val="nil"/>
              <w:bottom w:val="single" w:sz="4" w:space="0" w:color="BFBFBF"/>
              <w:right w:val="nil"/>
            </w:tcBorders>
            <w:shd w:val="clear" w:color="auto" w:fill="auto"/>
            <w:noWrap/>
            <w:vAlign w:val="center"/>
            <w:hideMark/>
          </w:tcPr>
          <w:p w14:paraId="46B8BAA4" w14:textId="499668E8"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1,073,329,358.64</w:t>
            </w:r>
          </w:p>
        </w:tc>
        <w:tc>
          <w:tcPr>
            <w:tcW w:w="1536" w:type="dxa"/>
            <w:tcBorders>
              <w:top w:val="nil"/>
              <w:left w:val="nil"/>
              <w:bottom w:val="nil"/>
              <w:right w:val="nil"/>
            </w:tcBorders>
            <w:shd w:val="clear" w:color="auto" w:fill="auto"/>
            <w:noWrap/>
            <w:vAlign w:val="center"/>
            <w:hideMark/>
          </w:tcPr>
          <w:p w14:paraId="37DCEFD5" w14:textId="74923D60"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-190,513,448.13</w:t>
            </w:r>
          </w:p>
        </w:tc>
        <w:tc>
          <w:tcPr>
            <w:tcW w:w="1352" w:type="dxa"/>
            <w:tcBorders>
              <w:top w:val="nil"/>
              <w:left w:val="nil"/>
              <w:bottom w:val="nil"/>
              <w:right w:val="single" w:sz="8" w:space="0" w:color="auto"/>
            </w:tcBorders>
            <w:shd w:val="clear" w:color="auto" w:fill="auto"/>
            <w:noWrap/>
            <w:vAlign w:val="center"/>
            <w:hideMark/>
          </w:tcPr>
          <w:p w14:paraId="31E99872" w14:textId="017C3BE3"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-15.1%</w:t>
            </w:r>
          </w:p>
        </w:tc>
      </w:tr>
      <w:tr w:rsidR="006E08C5" w:rsidRPr="009C26EF" w14:paraId="6ED4B2DC" w14:textId="77777777" w:rsidTr="006E08C5">
        <w:trPr>
          <w:trHeight w:val="450"/>
          <w:jc w:val="center"/>
        </w:trPr>
        <w:tc>
          <w:tcPr>
            <w:tcW w:w="2620" w:type="dxa"/>
            <w:tcBorders>
              <w:top w:val="single" w:sz="4" w:space="0" w:color="BFBFBF"/>
              <w:left w:val="single" w:sz="8" w:space="0" w:color="auto"/>
              <w:bottom w:val="single" w:sz="4" w:space="0" w:color="BFBFBF"/>
              <w:right w:val="nil"/>
            </w:tcBorders>
            <w:shd w:val="clear" w:color="auto" w:fill="auto"/>
            <w:vAlign w:val="center"/>
            <w:hideMark/>
          </w:tcPr>
          <w:p w14:paraId="7039A683" w14:textId="77777777" w:rsidR="006E08C5" w:rsidRPr="006E08C5" w:rsidRDefault="006E08C5" w:rsidP="002F131C">
            <w:pPr>
              <w:rPr>
                <w:rFonts w:ascii="Montserrat Medium" w:eastAsia="Times New Roman" w:hAnsi="Montserrat Medium" w:cs="Calibri"/>
                <w:sz w:val="16"/>
                <w:szCs w:val="16"/>
                <w:lang w:eastAsia="es-MX"/>
              </w:rPr>
            </w:pPr>
            <w:r w:rsidRPr="006E08C5">
              <w:rPr>
                <w:rFonts w:ascii="Montserrat Medium" w:eastAsia="Times New Roman" w:hAnsi="Montserrat Medium" w:cs="Calibri"/>
                <w:sz w:val="16"/>
                <w:szCs w:val="16"/>
                <w:lang w:eastAsia="es-MX"/>
              </w:rPr>
              <w:t>Incentivos Derivados de Colaboración Fiscal</w:t>
            </w:r>
          </w:p>
        </w:tc>
        <w:tc>
          <w:tcPr>
            <w:tcW w:w="1540" w:type="dxa"/>
            <w:tcBorders>
              <w:top w:val="nil"/>
              <w:left w:val="nil"/>
              <w:bottom w:val="single" w:sz="4" w:space="0" w:color="BFBFBF"/>
              <w:right w:val="nil"/>
            </w:tcBorders>
            <w:shd w:val="clear" w:color="auto" w:fill="auto"/>
            <w:noWrap/>
            <w:vAlign w:val="center"/>
            <w:hideMark/>
          </w:tcPr>
          <w:p w14:paraId="6EB5E54D" w14:textId="5152DE63"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926,810,501.00</w:t>
            </w:r>
          </w:p>
        </w:tc>
        <w:tc>
          <w:tcPr>
            <w:tcW w:w="1560" w:type="dxa"/>
            <w:tcBorders>
              <w:top w:val="nil"/>
              <w:left w:val="nil"/>
              <w:bottom w:val="single" w:sz="4" w:space="0" w:color="BFBFBF"/>
              <w:right w:val="nil"/>
            </w:tcBorders>
            <w:shd w:val="clear" w:color="auto" w:fill="auto"/>
            <w:noWrap/>
            <w:vAlign w:val="center"/>
            <w:hideMark/>
          </w:tcPr>
          <w:p w14:paraId="532AA299" w14:textId="3BA1B098"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1,105,441,492.00</w:t>
            </w:r>
          </w:p>
        </w:tc>
        <w:tc>
          <w:tcPr>
            <w:tcW w:w="1536" w:type="dxa"/>
            <w:tcBorders>
              <w:top w:val="single" w:sz="4" w:space="0" w:color="BFBFBF"/>
              <w:left w:val="nil"/>
              <w:bottom w:val="single" w:sz="4" w:space="0" w:color="BFBFBF"/>
              <w:right w:val="nil"/>
            </w:tcBorders>
            <w:shd w:val="clear" w:color="auto" w:fill="auto"/>
            <w:noWrap/>
            <w:vAlign w:val="center"/>
            <w:hideMark/>
          </w:tcPr>
          <w:p w14:paraId="25ACA984" w14:textId="411D45E2"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178,630,991.00</w:t>
            </w:r>
          </w:p>
        </w:tc>
        <w:tc>
          <w:tcPr>
            <w:tcW w:w="1352" w:type="dxa"/>
            <w:tcBorders>
              <w:top w:val="single" w:sz="4" w:space="0" w:color="BFBFBF"/>
              <w:left w:val="nil"/>
              <w:bottom w:val="single" w:sz="4" w:space="0" w:color="BFBFBF"/>
              <w:right w:val="single" w:sz="8" w:space="0" w:color="auto"/>
            </w:tcBorders>
            <w:shd w:val="clear" w:color="auto" w:fill="auto"/>
            <w:noWrap/>
            <w:vAlign w:val="center"/>
            <w:hideMark/>
          </w:tcPr>
          <w:p w14:paraId="6BEFEFF0" w14:textId="1DFDFCBB" w:rsidR="006E08C5" w:rsidRPr="006E08C5" w:rsidRDefault="006E08C5" w:rsidP="002F131C">
            <w:pPr>
              <w:jc w:val="right"/>
              <w:rPr>
                <w:rFonts w:ascii="Montserrat Medium" w:eastAsia="Times New Roman" w:hAnsi="Montserrat Medium" w:cs="Calibri"/>
                <w:sz w:val="16"/>
                <w:szCs w:val="16"/>
                <w:highlight w:val="yellow"/>
                <w:lang w:eastAsia="es-MX"/>
              </w:rPr>
            </w:pPr>
            <w:r w:rsidRPr="006E08C5">
              <w:rPr>
                <w:rFonts w:ascii="Montserrat Medium" w:eastAsia="Times New Roman" w:hAnsi="Montserrat Medium" w:cs="Calibri"/>
                <w:sz w:val="16"/>
                <w:szCs w:val="16"/>
                <w:lang w:eastAsia="es-MX"/>
              </w:rPr>
              <w:t>19.3%</w:t>
            </w:r>
          </w:p>
        </w:tc>
      </w:tr>
      <w:tr w:rsidR="006E08C5" w:rsidRPr="009C26EF" w14:paraId="13DFC5FE" w14:textId="77777777" w:rsidTr="006E08C5">
        <w:trPr>
          <w:trHeight w:val="240"/>
          <w:jc w:val="center"/>
        </w:trPr>
        <w:tc>
          <w:tcPr>
            <w:tcW w:w="2620" w:type="dxa"/>
            <w:tcBorders>
              <w:top w:val="nil"/>
              <w:left w:val="single" w:sz="8" w:space="0" w:color="auto"/>
              <w:bottom w:val="nil"/>
              <w:right w:val="nil"/>
            </w:tcBorders>
            <w:shd w:val="clear" w:color="000000" w:fill="A6A6A6"/>
            <w:noWrap/>
            <w:vAlign w:val="center"/>
            <w:hideMark/>
          </w:tcPr>
          <w:p w14:paraId="70DE98AE" w14:textId="77777777" w:rsidR="006E08C5" w:rsidRPr="006E08C5" w:rsidRDefault="006E08C5" w:rsidP="002F131C">
            <w:pPr>
              <w:rPr>
                <w:rFonts w:ascii="Montserrat Medium" w:eastAsia="Times New Roman" w:hAnsi="Montserrat Medium" w:cs="Calibri"/>
                <w:b/>
                <w:bCs/>
                <w:sz w:val="16"/>
                <w:szCs w:val="16"/>
                <w:lang w:eastAsia="es-MX"/>
              </w:rPr>
            </w:pPr>
            <w:r w:rsidRPr="006E08C5">
              <w:rPr>
                <w:rFonts w:ascii="Montserrat Medium" w:eastAsia="Times New Roman" w:hAnsi="Montserrat Medium" w:cs="Calibri"/>
                <w:b/>
                <w:bCs/>
                <w:sz w:val="16"/>
                <w:szCs w:val="16"/>
                <w:lang w:eastAsia="es-MX"/>
              </w:rPr>
              <w:t>Subtotal</w:t>
            </w:r>
          </w:p>
        </w:tc>
        <w:tc>
          <w:tcPr>
            <w:tcW w:w="1540" w:type="dxa"/>
            <w:tcBorders>
              <w:top w:val="nil"/>
              <w:left w:val="nil"/>
              <w:bottom w:val="nil"/>
              <w:right w:val="nil"/>
            </w:tcBorders>
            <w:shd w:val="clear" w:color="000000" w:fill="A6A6A6"/>
            <w:noWrap/>
            <w:vAlign w:val="center"/>
            <w:hideMark/>
          </w:tcPr>
          <w:p w14:paraId="269447AB" w14:textId="18A39582" w:rsidR="006E08C5" w:rsidRPr="006E08C5" w:rsidRDefault="006E08C5" w:rsidP="002F131C">
            <w:pPr>
              <w:jc w:val="right"/>
              <w:rPr>
                <w:rFonts w:ascii="Montserrat Medium" w:eastAsia="Times New Roman" w:hAnsi="Montserrat Medium" w:cs="Calibri"/>
                <w:b/>
                <w:sz w:val="16"/>
                <w:szCs w:val="16"/>
                <w:highlight w:val="yellow"/>
                <w:lang w:eastAsia="es-MX"/>
              </w:rPr>
            </w:pPr>
            <w:r w:rsidRPr="006E08C5">
              <w:rPr>
                <w:rFonts w:ascii="Montserrat Medium" w:eastAsia="Times New Roman" w:hAnsi="Montserrat Medium" w:cs="Calibri"/>
                <w:b/>
                <w:sz w:val="16"/>
                <w:szCs w:val="16"/>
                <w:lang w:eastAsia="es-MX"/>
              </w:rPr>
              <w:t>25,592,369,243.49</w:t>
            </w:r>
          </w:p>
        </w:tc>
        <w:tc>
          <w:tcPr>
            <w:tcW w:w="1560" w:type="dxa"/>
            <w:tcBorders>
              <w:top w:val="nil"/>
              <w:left w:val="nil"/>
              <w:bottom w:val="nil"/>
              <w:right w:val="nil"/>
            </w:tcBorders>
            <w:shd w:val="clear" w:color="000000" w:fill="A6A6A6"/>
            <w:noWrap/>
            <w:vAlign w:val="center"/>
            <w:hideMark/>
          </w:tcPr>
          <w:p w14:paraId="218E39B9" w14:textId="06932D41" w:rsidR="006E08C5" w:rsidRPr="006E08C5" w:rsidRDefault="006E08C5" w:rsidP="002F131C">
            <w:pPr>
              <w:jc w:val="right"/>
              <w:rPr>
                <w:rFonts w:ascii="Montserrat Medium" w:eastAsia="Times New Roman" w:hAnsi="Montserrat Medium" w:cs="Calibri"/>
                <w:b/>
                <w:sz w:val="16"/>
                <w:szCs w:val="16"/>
                <w:highlight w:val="yellow"/>
                <w:lang w:eastAsia="es-MX"/>
              </w:rPr>
            </w:pPr>
            <w:r w:rsidRPr="006E08C5">
              <w:rPr>
                <w:rFonts w:ascii="Montserrat Medium" w:eastAsia="Times New Roman" w:hAnsi="Montserrat Medium" w:cs="Calibri"/>
                <w:b/>
                <w:sz w:val="16"/>
                <w:szCs w:val="16"/>
                <w:lang w:eastAsia="es-MX"/>
              </w:rPr>
              <w:t>27,957,765,404.39</w:t>
            </w:r>
          </w:p>
        </w:tc>
        <w:tc>
          <w:tcPr>
            <w:tcW w:w="1536" w:type="dxa"/>
            <w:tcBorders>
              <w:top w:val="nil"/>
              <w:left w:val="nil"/>
              <w:bottom w:val="nil"/>
              <w:right w:val="nil"/>
            </w:tcBorders>
            <w:shd w:val="clear" w:color="000000" w:fill="A6A6A6"/>
            <w:noWrap/>
            <w:vAlign w:val="center"/>
            <w:hideMark/>
          </w:tcPr>
          <w:p w14:paraId="68493670" w14:textId="2BE7247A" w:rsidR="006E08C5" w:rsidRPr="006E08C5" w:rsidRDefault="006E08C5" w:rsidP="002F131C">
            <w:pPr>
              <w:jc w:val="right"/>
              <w:rPr>
                <w:rFonts w:ascii="Montserrat Medium" w:eastAsia="Times New Roman" w:hAnsi="Montserrat Medium" w:cs="Calibri"/>
                <w:b/>
                <w:sz w:val="16"/>
                <w:szCs w:val="16"/>
                <w:highlight w:val="yellow"/>
                <w:lang w:eastAsia="es-MX"/>
              </w:rPr>
            </w:pPr>
            <w:r w:rsidRPr="006E08C5">
              <w:rPr>
                <w:rFonts w:ascii="Montserrat Medium" w:eastAsia="Times New Roman" w:hAnsi="Montserrat Medium" w:cs="Calibri"/>
                <w:b/>
                <w:sz w:val="16"/>
                <w:szCs w:val="16"/>
                <w:lang w:eastAsia="es-MX"/>
              </w:rPr>
              <w:t>2,365,396,160.90</w:t>
            </w:r>
          </w:p>
        </w:tc>
        <w:tc>
          <w:tcPr>
            <w:tcW w:w="1352" w:type="dxa"/>
            <w:tcBorders>
              <w:top w:val="nil"/>
              <w:left w:val="nil"/>
              <w:bottom w:val="nil"/>
              <w:right w:val="single" w:sz="8" w:space="0" w:color="auto"/>
            </w:tcBorders>
            <w:shd w:val="clear" w:color="000000" w:fill="A6A6A6"/>
            <w:noWrap/>
            <w:vAlign w:val="center"/>
            <w:hideMark/>
          </w:tcPr>
          <w:p w14:paraId="5BBA446C" w14:textId="0CC2E87C" w:rsidR="006E08C5" w:rsidRPr="006E08C5" w:rsidRDefault="006E08C5" w:rsidP="002F131C">
            <w:pPr>
              <w:jc w:val="right"/>
              <w:rPr>
                <w:rFonts w:ascii="Montserrat Medium" w:eastAsia="Times New Roman" w:hAnsi="Montserrat Medium" w:cs="Calibri"/>
                <w:b/>
                <w:sz w:val="16"/>
                <w:szCs w:val="16"/>
                <w:highlight w:val="yellow"/>
                <w:lang w:eastAsia="es-MX"/>
              </w:rPr>
            </w:pPr>
            <w:r w:rsidRPr="006E08C5">
              <w:rPr>
                <w:rFonts w:ascii="Montserrat Medium" w:eastAsia="Times New Roman" w:hAnsi="Montserrat Medium" w:cs="Calibri"/>
                <w:b/>
                <w:sz w:val="16"/>
                <w:szCs w:val="16"/>
                <w:lang w:eastAsia="es-MX"/>
              </w:rPr>
              <w:t>9.2%</w:t>
            </w:r>
          </w:p>
        </w:tc>
      </w:tr>
      <w:tr w:rsidR="006E08C5" w:rsidRPr="009C26EF" w14:paraId="7BD0417A" w14:textId="77777777" w:rsidTr="006E08C5">
        <w:trPr>
          <w:trHeight w:val="450"/>
          <w:jc w:val="center"/>
        </w:trPr>
        <w:tc>
          <w:tcPr>
            <w:tcW w:w="2620" w:type="dxa"/>
            <w:tcBorders>
              <w:top w:val="nil"/>
              <w:left w:val="single" w:sz="8" w:space="0" w:color="auto"/>
              <w:bottom w:val="nil"/>
              <w:right w:val="nil"/>
            </w:tcBorders>
            <w:shd w:val="clear" w:color="000000" w:fill="D9D9D9"/>
            <w:vAlign w:val="center"/>
            <w:hideMark/>
          </w:tcPr>
          <w:p w14:paraId="0ABB6430" w14:textId="77777777" w:rsidR="006E08C5" w:rsidRPr="006E08C5" w:rsidRDefault="006E08C5" w:rsidP="002F131C">
            <w:pPr>
              <w:rPr>
                <w:rFonts w:ascii="Montserrat Medium" w:eastAsia="Times New Roman" w:hAnsi="Montserrat Medium" w:cs="Calibri"/>
                <w:b/>
                <w:bCs/>
                <w:sz w:val="16"/>
                <w:szCs w:val="16"/>
                <w:lang w:eastAsia="es-MX"/>
              </w:rPr>
            </w:pPr>
            <w:r w:rsidRPr="006E08C5">
              <w:rPr>
                <w:rFonts w:ascii="Montserrat Medium" w:eastAsia="Times New Roman" w:hAnsi="Montserrat Medium" w:cs="Calibri"/>
                <w:b/>
                <w:bCs/>
                <w:sz w:val="16"/>
                <w:szCs w:val="16"/>
                <w:lang w:eastAsia="es-MX"/>
              </w:rPr>
              <w:t>Ingresos derivados de financiamientos</w:t>
            </w:r>
          </w:p>
        </w:tc>
        <w:tc>
          <w:tcPr>
            <w:tcW w:w="1540" w:type="dxa"/>
            <w:tcBorders>
              <w:top w:val="nil"/>
              <w:left w:val="nil"/>
              <w:bottom w:val="single" w:sz="4" w:space="0" w:color="BFBFBF"/>
              <w:right w:val="nil"/>
            </w:tcBorders>
            <w:shd w:val="clear" w:color="000000" w:fill="D9D9D9"/>
            <w:noWrap/>
            <w:vAlign w:val="center"/>
            <w:hideMark/>
          </w:tcPr>
          <w:p w14:paraId="51FF40C8" w14:textId="1F8C132D" w:rsidR="006E08C5" w:rsidRPr="006E08C5" w:rsidRDefault="006E08C5" w:rsidP="002F131C">
            <w:pPr>
              <w:jc w:val="right"/>
              <w:rPr>
                <w:rFonts w:ascii="Montserrat Medium" w:eastAsia="Times New Roman" w:hAnsi="Montserrat Medium" w:cs="Calibri"/>
                <w:b/>
                <w:sz w:val="16"/>
                <w:szCs w:val="16"/>
                <w:highlight w:val="yellow"/>
                <w:lang w:eastAsia="es-MX"/>
              </w:rPr>
            </w:pPr>
            <w:r w:rsidRPr="006E08C5">
              <w:rPr>
                <w:rFonts w:ascii="Montserrat Medium" w:eastAsia="Times New Roman" w:hAnsi="Montserrat Medium" w:cs="Calibri"/>
                <w:b/>
                <w:sz w:val="16"/>
                <w:szCs w:val="16"/>
                <w:lang w:eastAsia="es-MX"/>
              </w:rPr>
              <w:t>19,306,765,811.03</w:t>
            </w:r>
          </w:p>
        </w:tc>
        <w:tc>
          <w:tcPr>
            <w:tcW w:w="1560" w:type="dxa"/>
            <w:tcBorders>
              <w:top w:val="nil"/>
              <w:left w:val="nil"/>
              <w:bottom w:val="single" w:sz="4" w:space="0" w:color="BFBFBF"/>
              <w:right w:val="nil"/>
            </w:tcBorders>
            <w:shd w:val="clear" w:color="000000" w:fill="D9D9D9"/>
            <w:noWrap/>
            <w:vAlign w:val="center"/>
            <w:hideMark/>
          </w:tcPr>
          <w:p w14:paraId="48650D1A" w14:textId="3470F55F" w:rsidR="006E08C5" w:rsidRPr="006E08C5" w:rsidRDefault="006E08C5" w:rsidP="002F131C">
            <w:pPr>
              <w:jc w:val="right"/>
              <w:rPr>
                <w:rFonts w:ascii="Montserrat Medium" w:eastAsia="Times New Roman" w:hAnsi="Montserrat Medium" w:cs="Calibri"/>
                <w:b/>
                <w:sz w:val="16"/>
                <w:szCs w:val="16"/>
                <w:highlight w:val="yellow"/>
                <w:lang w:eastAsia="es-MX"/>
              </w:rPr>
            </w:pPr>
            <w:r w:rsidRPr="006E08C5">
              <w:rPr>
                <w:rFonts w:ascii="Montserrat Medium" w:eastAsia="Times New Roman" w:hAnsi="Montserrat Medium" w:cs="Calibri"/>
                <w:b/>
                <w:sz w:val="16"/>
                <w:szCs w:val="16"/>
                <w:lang w:eastAsia="es-MX"/>
              </w:rPr>
              <w:t>0.00</w:t>
            </w:r>
          </w:p>
        </w:tc>
        <w:tc>
          <w:tcPr>
            <w:tcW w:w="1536" w:type="dxa"/>
            <w:tcBorders>
              <w:top w:val="nil"/>
              <w:left w:val="nil"/>
              <w:bottom w:val="nil"/>
              <w:right w:val="nil"/>
            </w:tcBorders>
            <w:shd w:val="clear" w:color="000000" w:fill="D9D9D9"/>
            <w:noWrap/>
            <w:vAlign w:val="center"/>
            <w:hideMark/>
          </w:tcPr>
          <w:p w14:paraId="67B46D1E" w14:textId="53D83F9C" w:rsidR="006E08C5" w:rsidRPr="006E08C5" w:rsidRDefault="006E08C5" w:rsidP="002F131C">
            <w:pPr>
              <w:jc w:val="right"/>
              <w:rPr>
                <w:rFonts w:ascii="Montserrat Medium" w:eastAsia="Times New Roman" w:hAnsi="Montserrat Medium" w:cs="Calibri"/>
                <w:b/>
                <w:sz w:val="16"/>
                <w:szCs w:val="16"/>
                <w:highlight w:val="yellow"/>
                <w:lang w:eastAsia="es-MX"/>
              </w:rPr>
            </w:pPr>
            <w:r w:rsidRPr="006E08C5">
              <w:rPr>
                <w:rFonts w:ascii="Montserrat Medium" w:eastAsia="Times New Roman" w:hAnsi="Montserrat Medium" w:cs="Calibri"/>
                <w:b/>
                <w:sz w:val="16"/>
                <w:szCs w:val="16"/>
                <w:lang w:eastAsia="es-MX"/>
              </w:rPr>
              <w:t>-19,306,765,811.03</w:t>
            </w:r>
          </w:p>
        </w:tc>
        <w:tc>
          <w:tcPr>
            <w:tcW w:w="1352" w:type="dxa"/>
            <w:tcBorders>
              <w:top w:val="nil"/>
              <w:left w:val="nil"/>
              <w:bottom w:val="nil"/>
              <w:right w:val="single" w:sz="8" w:space="0" w:color="auto"/>
            </w:tcBorders>
            <w:shd w:val="clear" w:color="000000" w:fill="D9D9D9"/>
            <w:noWrap/>
            <w:vAlign w:val="center"/>
            <w:hideMark/>
          </w:tcPr>
          <w:p w14:paraId="0FCB0D77" w14:textId="56E3DD39" w:rsidR="006E08C5" w:rsidRPr="006E08C5" w:rsidRDefault="006E08C5" w:rsidP="002F131C">
            <w:pPr>
              <w:jc w:val="right"/>
              <w:rPr>
                <w:rFonts w:ascii="Montserrat Medium" w:eastAsia="Times New Roman" w:hAnsi="Montserrat Medium" w:cs="Calibri"/>
                <w:b/>
                <w:sz w:val="16"/>
                <w:szCs w:val="16"/>
                <w:highlight w:val="yellow"/>
                <w:lang w:eastAsia="es-MX"/>
              </w:rPr>
            </w:pPr>
            <w:r w:rsidRPr="006E08C5">
              <w:rPr>
                <w:rFonts w:ascii="Montserrat Medium" w:eastAsia="Times New Roman" w:hAnsi="Montserrat Medium" w:cs="Calibri"/>
                <w:b/>
                <w:sz w:val="16"/>
                <w:szCs w:val="16"/>
                <w:lang w:eastAsia="es-MX"/>
              </w:rPr>
              <w:t>0.0%</w:t>
            </w:r>
          </w:p>
        </w:tc>
      </w:tr>
      <w:tr w:rsidR="006E08C5" w:rsidRPr="00F43984" w14:paraId="70446A07" w14:textId="77777777" w:rsidTr="006E08C5">
        <w:trPr>
          <w:trHeight w:val="240"/>
          <w:jc w:val="center"/>
        </w:trPr>
        <w:tc>
          <w:tcPr>
            <w:tcW w:w="2620" w:type="dxa"/>
            <w:tcBorders>
              <w:top w:val="nil"/>
              <w:left w:val="single" w:sz="8" w:space="0" w:color="auto"/>
              <w:bottom w:val="single" w:sz="8" w:space="0" w:color="auto"/>
              <w:right w:val="nil"/>
            </w:tcBorders>
            <w:shd w:val="clear" w:color="000000" w:fill="A6A6A6"/>
            <w:noWrap/>
            <w:vAlign w:val="center"/>
            <w:hideMark/>
          </w:tcPr>
          <w:p w14:paraId="7F6CEECF" w14:textId="77777777" w:rsidR="006E08C5" w:rsidRPr="006E08C5" w:rsidRDefault="006E08C5" w:rsidP="002F131C">
            <w:pPr>
              <w:rPr>
                <w:rFonts w:ascii="Montserrat Medium" w:eastAsia="Times New Roman" w:hAnsi="Montserrat Medium" w:cs="Calibri"/>
                <w:b/>
                <w:bCs/>
                <w:sz w:val="16"/>
                <w:szCs w:val="16"/>
                <w:lang w:eastAsia="es-MX"/>
              </w:rPr>
            </w:pPr>
            <w:r w:rsidRPr="006E08C5">
              <w:rPr>
                <w:rFonts w:ascii="Montserrat Medium" w:eastAsia="Times New Roman" w:hAnsi="Montserrat Medium" w:cs="Calibri"/>
                <w:b/>
                <w:bCs/>
                <w:sz w:val="16"/>
                <w:szCs w:val="16"/>
                <w:lang w:eastAsia="es-MX"/>
              </w:rPr>
              <w:t>Total</w:t>
            </w:r>
          </w:p>
        </w:tc>
        <w:tc>
          <w:tcPr>
            <w:tcW w:w="1540" w:type="dxa"/>
            <w:tcBorders>
              <w:top w:val="nil"/>
              <w:left w:val="nil"/>
              <w:bottom w:val="single" w:sz="8" w:space="0" w:color="auto"/>
              <w:right w:val="nil"/>
            </w:tcBorders>
            <w:shd w:val="clear" w:color="000000" w:fill="A6A6A6"/>
            <w:noWrap/>
            <w:vAlign w:val="center"/>
            <w:hideMark/>
          </w:tcPr>
          <w:p w14:paraId="11128765" w14:textId="760157D2" w:rsidR="006E08C5" w:rsidRPr="006E08C5" w:rsidRDefault="006E08C5" w:rsidP="002F131C">
            <w:pPr>
              <w:jc w:val="right"/>
              <w:rPr>
                <w:rFonts w:ascii="Montserrat Medium" w:eastAsia="Times New Roman" w:hAnsi="Montserrat Medium" w:cs="Calibri"/>
                <w:b/>
                <w:sz w:val="16"/>
                <w:szCs w:val="16"/>
                <w:highlight w:val="yellow"/>
                <w:lang w:eastAsia="es-MX"/>
              </w:rPr>
            </w:pPr>
            <w:r w:rsidRPr="006E08C5">
              <w:rPr>
                <w:rFonts w:ascii="Montserrat Medium" w:eastAsia="Times New Roman" w:hAnsi="Montserrat Medium" w:cs="Calibri"/>
                <w:b/>
                <w:sz w:val="16"/>
                <w:szCs w:val="16"/>
                <w:lang w:eastAsia="es-MX"/>
              </w:rPr>
              <w:t>44,899,135,054.52</w:t>
            </w:r>
          </w:p>
        </w:tc>
        <w:tc>
          <w:tcPr>
            <w:tcW w:w="1560" w:type="dxa"/>
            <w:tcBorders>
              <w:top w:val="nil"/>
              <w:left w:val="nil"/>
              <w:bottom w:val="single" w:sz="8" w:space="0" w:color="auto"/>
              <w:right w:val="nil"/>
            </w:tcBorders>
            <w:shd w:val="clear" w:color="000000" w:fill="A6A6A6"/>
            <w:noWrap/>
            <w:vAlign w:val="center"/>
            <w:hideMark/>
          </w:tcPr>
          <w:p w14:paraId="0EE0DB7A" w14:textId="1F1534E8" w:rsidR="006E08C5" w:rsidRPr="006E08C5" w:rsidRDefault="006E08C5" w:rsidP="002F131C">
            <w:pPr>
              <w:jc w:val="right"/>
              <w:rPr>
                <w:rFonts w:ascii="Montserrat Medium" w:eastAsia="Times New Roman" w:hAnsi="Montserrat Medium" w:cs="Calibri"/>
                <w:b/>
                <w:sz w:val="16"/>
                <w:szCs w:val="16"/>
                <w:highlight w:val="yellow"/>
                <w:lang w:eastAsia="es-MX"/>
              </w:rPr>
            </w:pPr>
            <w:r w:rsidRPr="006E08C5">
              <w:rPr>
                <w:rFonts w:ascii="Montserrat Medium" w:eastAsia="Times New Roman" w:hAnsi="Montserrat Medium" w:cs="Calibri"/>
                <w:b/>
                <w:sz w:val="16"/>
                <w:szCs w:val="16"/>
                <w:lang w:eastAsia="es-MX"/>
              </w:rPr>
              <w:t>27,957,765,404.39</w:t>
            </w:r>
          </w:p>
        </w:tc>
        <w:tc>
          <w:tcPr>
            <w:tcW w:w="1536" w:type="dxa"/>
            <w:tcBorders>
              <w:top w:val="nil"/>
              <w:left w:val="nil"/>
              <w:bottom w:val="single" w:sz="8" w:space="0" w:color="auto"/>
              <w:right w:val="nil"/>
            </w:tcBorders>
            <w:shd w:val="clear" w:color="000000" w:fill="A6A6A6"/>
            <w:noWrap/>
            <w:vAlign w:val="center"/>
            <w:hideMark/>
          </w:tcPr>
          <w:p w14:paraId="63508A1F" w14:textId="62978D96" w:rsidR="006E08C5" w:rsidRPr="006E08C5" w:rsidRDefault="006E08C5" w:rsidP="002F131C">
            <w:pPr>
              <w:jc w:val="right"/>
              <w:rPr>
                <w:rFonts w:ascii="Montserrat Medium" w:eastAsia="Times New Roman" w:hAnsi="Montserrat Medium" w:cs="Calibri"/>
                <w:b/>
                <w:sz w:val="16"/>
                <w:szCs w:val="16"/>
                <w:highlight w:val="yellow"/>
                <w:lang w:eastAsia="es-MX"/>
              </w:rPr>
            </w:pPr>
            <w:r w:rsidRPr="006E08C5">
              <w:rPr>
                <w:rFonts w:ascii="Montserrat Medium" w:eastAsia="Times New Roman" w:hAnsi="Montserrat Medium" w:cs="Calibri"/>
                <w:b/>
                <w:sz w:val="16"/>
                <w:szCs w:val="16"/>
                <w:lang w:eastAsia="es-MX"/>
              </w:rPr>
              <w:t>-16,941,369,650.13</w:t>
            </w:r>
          </w:p>
        </w:tc>
        <w:tc>
          <w:tcPr>
            <w:tcW w:w="1352" w:type="dxa"/>
            <w:tcBorders>
              <w:top w:val="nil"/>
              <w:left w:val="nil"/>
              <w:bottom w:val="single" w:sz="8" w:space="0" w:color="auto"/>
              <w:right w:val="single" w:sz="8" w:space="0" w:color="auto"/>
            </w:tcBorders>
            <w:shd w:val="clear" w:color="000000" w:fill="A6A6A6"/>
            <w:noWrap/>
            <w:vAlign w:val="center"/>
            <w:hideMark/>
          </w:tcPr>
          <w:p w14:paraId="23CFA6F2" w14:textId="369D0F1C" w:rsidR="006E08C5" w:rsidRPr="006E08C5" w:rsidRDefault="006E08C5" w:rsidP="002F131C">
            <w:pPr>
              <w:jc w:val="right"/>
              <w:rPr>
                <w:rFonts w:ascii="Montserrat Medium" w:eastAsia="Times New Roman" w:hAnsi="Montserrat Medium" w:cs="Calibri"/>
                <w:b/>
                <w:sz w:val="16"/>
                <w:szCs w:val="16"/>
                <w:lang w:eastAsia="es-MX"/>
              </w:rPr>
            </w:pPr>
            <w:r w:rsidRPr="006E08C5">
              <w:rPr>
                <w:rFonts w:ascii="Montserrat Medium" w:eastAsia="Times New Roman" w:hAnsi="Montserrat Medium" w:cs="Calibri"/>
                <w:b/>
                <w:sz w:val="16"/>
                <w:szCs w:val="16"/>
                <w:lang w:eastAsia="es-MX"/>
              </w:rPr>
              <w:t>-37.7%</w:t>
            </w:r>
          </w:p>
        </w:tc>
      </w:tr>
    </w:tbl>
    <w:p w14:paraId="082077BA" w14:textId="77777777" w:rsidR="006E08C5" w:rsidRDefault="006E08C5" w:rsidP="002F131C">
      <w:pPr>
        <w:jc w:val="both"/>
        <w:rPr>
          <w:rFonts w:ascii="Montserrat Medium" w:eastAsia="Times New Roman" w:hAnsi="Montserrat Medium" w:cs="Arial"/>
          <w:color w:val="595959"/>
          <w:sz w:val="22"/>
          <w:highlight w:val="yellow"/>
        </w:rPr>
      </w:pPr>
    </w:p>
    <w:p w14:paraId="021CC971" w14:textId="77777777" w:rsidR="006E08C5" w:rsidRPr="006E08C5" w:rsidRDefault="006E08C5" w:rsidP="002F131C">
      <w:pPr>
        <w:jc w:val="both"/>
        <w:rPr>
          <w:rFonts w:ascii="Montserrat Medium" w:eastAsia="Times New Roman" w:hAnsi="Montserrat Medium" w:cs="Arial"/>
          <w:color w:val="595959"/>
          <w:sz w:val="22"/>
        </w:rPr>
      </w:pPr>
      <w:r w:rsidRPr="006E08C5">
        <w:rPr>
          <w:rFonts w:ascii="Montserrat Medium" w:eastAsia="Times New Roman" w:hAnsi="Montserrat Medium" w:cs="Arial"/>
          <w:color w:val="595959"/>
          <w:sz w:val="22"/>
        </w:rPr>
        <w:t>Los ingresos del Estado al segundo trimestre de 2025 fueron de $27,957,765,404.39 pesos, con un   9.2% de incremento respecto al mismo trimestre del ejercicio 2024 (Sin tomar en cuenta el financiamiento del ejercicio anterior), en donde los ingresos locales representan el 28% y los ingresos federales el 72%.</w:t>
      </w:r>
    </w:p>
    <w:p w14:paraId="2568A8BA" w14:textId="77777777" w:rsidR="006E08C5" w:rsidRPr="006E08C5" w:rsidRDefault="006E08C5" w:rsidP="002F131C">
      <w:pPr>
        <w:jc w:val="both"/>
        <w:rPr>
          <w:rFonts w:ascii="Montserrat Medium" w:eastAsia="Times New Roman" w:hAnsi="Montserrat Medium" w:cs="Arial"/>
          <w:color w:val="595959"/>
          <w:sz w:val="22"/>
        </w:rPr>
      </w:pPr>
    </w:p>
    <w:p w14:paraId="3B1DB5A6" w14:textId="77777777" w:rsidR="006E08C5" w:rsidRPr="006E08C5" w:rsidRDefault="006E08C5" w:rsidP="002F131C">
      <w:pPr>
        <w:jc w:val="both"/>
        <w:rPr>
          <w:rFonts w:ascii="Montserrat Medium" w:eastAsia="Times New Roman" w:hAnsi="Montserrat Medium" w:cs="Arial"/>
          <w:color w:val="595959"/>
          <w:sz w:val="22"/>
        </w:rPr>
      </w:pPr>
      <w:r w:rsidRPr="006E08C5">
        <w:rPr>
          <w:rFonts w:ascii="Montserrat Medium" w:eastAsia="Times New Roman" w:hAnsi="Montserrat Medium" w:cs="Arial"/>
          <w:color w:val="595959"/>
          <w:sz w:val="22"/>
        </w:rPr>
        <w:lastRenderedPageBreak/>
        <w:t>Los ingresos locales aumentaron en $582</w:t>
      </w:r>
      <w:proofErr w:type="gramStart"/>
      <w:r w:rsidRPr="006E08C5">
        <w:rPr>
          <w:rFonts w:ascii="Montserrat Medium" w:eastAsia="Times New Roman" w:hAnsi="Montserrat Medium" w:cs="Arial"/>
          <w:color w:val="595959"/>
          <w:sz w:val="22"/>
        </w:rPr>
        <w:t>,304,800.38</w:t>
      </w:r>
      <w:proofErr w:type="gramEnd"/>
      <w:r w:rsidRPr="006E08C5">
        <w:rPr>
          <w:rFonts w:ascii="Montserrat Medium" w:eastAsia="Times New Roman" w:hAnsi="Montserrat Medium" w:cs="Arial"/>
          <w:color w:val="595959"/>
          <w:sz w:val="22"/>
        </w:rPr>
        <w:t xml:space="preserve"> pesos respecto al mismo trimestre de 2024, representando un 8.0% de la variación total de los ingresos. Los principales rubros de los ingresos locales son los Impuestos y Derechos.</w:t>
      </w:r>
    </w:p>
    <w:p w14:paraId="7DCE761F" w14:textId="77777777" w:rsidR="006E08C5" w:rsidRPr="006E08C5" w:rsidRDefault="006E08C5" w:rsidP="002F131C">
      <w:pPr>
        <w:jc w:val="both"/>
        <w:rPr>
          <w:rFonts w:ascii="Montserrat Medium" w:eastAsia="Times New Roman" w:hAnsi="Montserrat Medium" w:cs="Arial"/>
          <w:color w:val="595959"/>
          <w:sz w:val="22"/>
        </w:rPr>
      </w:pPr>
    </w:p>
    <w:p w14:paraId="749674C6" w14:textId="77777777" w:rsidR="006E08C5" w:rsidRPr="006E08C5" w:rsidRDefault="006E08C5" w:rsidP="002F131C">
      <w:pPr>
        <w:jc w:val="both"/>
        <w:rPr>
          <w:rFonts w:ascii="Montserrat Medium" w:eastAsia="Times New Roman" w:hAnsi="Montserrat Medium" w:cs="Arial"/>
          <w:color w:val="595959"/>
          <w:sz w:val="22"/>
        </w:rPr>
      </w:pPr>
      <w:r w:rsidRPr="006E08C5">
        <w:rPr>
          <w:rFonts w:ascii="Montserrat Medium" w:eastAsia="Times New Roman" w:hAnsi="Montserrat Medium" w:cs="Arial"/>
          <w:color w:val="595959"/>
          <w:sz w:val="22"/>
        </w:rPr>
        <w:t>En cuanto a los ingresos federales se puede apreciar un incremento de $1,783,091,360.52 pesos respecto al mismo trimestre del ejercicio 2024, siendo el rubro de mayor peso el de las Participaciones que representan el 56.1% respectivamente.</w:t>
      </w:r>
    </w:p>
    <w:p w14:paraId="4B0AD753" w14:textId="77777777" w:rsidR="006E08C5" w:rsidRPr="006E08C5" w:rsidRDefault="006E08C5" w:rsidP="002F131C">
      <w:pPr>
        <w:jc w:val="both"/>
        <w:rPr>
          <w:rFonts w:ascii="Montserrat Medium" w:eastAsia="Times New Roman" w:hAnsi="Montserrat Medium" w:cs="Arial"/>
          <w:color w:val="595959"/>
          <w:sz w:val="22"/>
        </w:rPr>
      </w:pPr>
    </w:p>
    <w:p w14:paraId="79F36DAE" w14:textId="77777777" w:rsidR="006E08C5" w:rsidRPr="006E08C5" w:rsidRDefault="006E08C5" w:rsidP="002F131C">
      <w:pPr>
        <w:jc w:val="both"/>
        <w:rPr>
          <w:rFonts w:ascii="Montserrat Medium" w:eastAsia="Times New Roman" w:hAnsi="Montserrat Medium" w:cs="Arial"/>
          <w:color w:val="595959"/>
          <w:sz w:val="22"/>
        </w:rPr>
      </w:pPr>
      <w:r w:rsidRPr="006E08C5">
        <w:rPr>
          <w:rFonts w:ascii="Montserrat Medium" w:eastAsia="Times New Roman" w:hAnsi="Montserrat Medium" w:cs="Arial"/>
          <w:color w:val="595959"/>
          <w:sz w:val="22"/>
        </w:rPr>
        <w:t>De las participaciones se recibió ingreso de $11</w:t>
      </w:r>
      <w:proofErr w:type="gramStart"/>
      <w:r w:rsidRPr="006E08C5">
        <w:rPr>
          <w:rFonts w:ascii="Montserrat Medium" w:eastAsia="Times New Roman" w:hAnsi="Montserrat Medium" w:cs="Arial"/>
          <w:color w:val="595959"/>
          <w:sz w:val="22"/>
        </w:rPr>
        <w:t>,297,723,397.00</w:t>
      </w:r>
      <w:proofErr w:type="gramEnd"/>
      <w:r w:rsidRPr="006E08C5">
        <w:rPr>
          <w:rFonts w:ascii="Montserrat Medium" w:eastAsia="Times New Roman" w:hAnsi="Montserrat Medium" w:cs="Arial"/>
          <w:color w:val="595959"/>
          <w:sz w:val="22"/>
        </w:rPr>
        <w:t xml:space="preserve"> pesos por parte de la Tesorería de la Federación, que comparado respecto al mismo trimestre del ejercicio 2024 resulta un incremento del 17.3%.</w:t>
      </w:r>
    </w:p>
    <w:p w14:paraId="0AC3A6F2" w14:textId="77777777" w:rsidR="006E08C5" w:rsidRPr="006E08C5" w:rsidRDefault="006E08C5" w:rsidP="002F131C">
      <w:pPr>
        <w:jc w:val="both"/>
        <w:rPr>
          <w:rFonts w:ascii="Montserrat Medium" w:eastAsia="Times New Roman" w:hAnsi="Montserrat Medium" w:cs="Arial"/>
          <w:color w:val="595959"/>
          <w:sz w:val="22"/>
        </w:rPr>
      </w:pPr>
      <w:r w:rsidRPr="006E08C5">
        <w:rPr>
          <w:rFonts w:ascii="Montserrat Medium" w:eastAsia="Times New Roman" w:hAnsi="Montserrat Medium" w:cs="Arial"/>
          <w:color w:val="595959"/>
          <w:sz w:val="22"/>
        </w:rPr>
        <w:t>Las aportaciones recibidas fueron de $6</w:t>
      </w:r>
      <w:proofErr w:type="gramStart"/>
      <w:r w:rsidRPr="006E08C5">
        <w:rPr>
          <w:rFonts w:ascii="Montserrat Medium" w:eastAsia="Times New Roman" w:hAnsi="Montserrat Medium" w:cs="Arial"/>
          <w:color w:val="595959"/>
          <w:sz w:val="22"/>
        </w:rPr>
        <w:t>,650,182,498.77</w:t>
      </w:r>
      <w:proofErr w:type="gramEnd"/>
      <w:r w:rsidRPr="006E08C5">
        <w:rPr>
          <w:rFonts w:ascii="Montserrat Medium" w:eastAsia="Times New Roman" w:hAnsi="Montserrat Medium" w:cs="Arial"/>
          <w:color w:val="595959"/>
          <w:sz w:val="22"/>
        </w:rPr>
        <w:t xml:space="preserve"> pesos que comparado respecto las aportaciones del mismo trimestre del ejercicio 2024 representa un incremento del 2.0%.</w:t>
      </w:r>
    </w:p>
    <w:p w14:paraId="0EE859C6" w14:textId="77777777" w:rsidR="006E08C5" w:rsidRPr="006E08C5" w:rsidRDefault="006E08C5" w:rsidP="002F131C">
      <w:pPr>
        <w:jc w:val="both"/>
        <w:rPr>
          <w:rFonts w:ascii="Montserrat Medium" w:eastAsia="Times New Roman" w:hAnsi="Montserrat Medium" w:cs="Arial"/>
          <w:color w:val="595959"/>
          <w:sz w:val="22"/>
        </w:rPr>
      </w:pPr>
    </w:p>
    <w:p w14:paraId="02C8BBD4" w14:textId="77777777" w:rsidR="006E08C5" w:rsidRPr="006E08C5" w:rsidRDefault="006E08C5" w:rsidP="002F131C">
      <w:pPr>
        <w:jc w:val="both"/>
        <w:rPr>
          <w:rFonts w:ascii="Montserrat Medium" w:eastAsia="Times New Roman" w:hAnsi="Montserrat Medium" w:cs="Arial"/>
          <w:color w:val="595959"/>
          <w:sz w:val="22"/>
        </w:rPr>
      </w:pPr>
      <w:r w:rsidRPr="006E08C5">
        <w:rPr>
          <w:rFonts w:ascii="Montserrat Medium" w:eastAsia="Times New Roman" w:hAnsi="Montserrat Medium" w:cs="Arial"/>
          <w:color w:val="595959"/>
          <w:sz w:val="22"/>
        </w:rPr>
        <w:t>En la parte correspondiente a Convenios federales, se tiene un decremento en el segundo trimestre 2025, ingresando al Estado un monto por $1</w:t>
      </w:r>
      <w:proofErr w:type="gramStart"/>
      <w:r w:rsidRPr="006E08C5">
        <w:rPr>
          <w:rFonts w:ascii="Montserrat Medium" w:eastAsia="Times New Roman" w:hAnsi="Montserrat Medium" w:cs="Arial"/>
          <w:color w:val="595959"/>
          <w:sz w:val="22"/>
        </w:rPr>
        <w:t>,073,329,358.64</w:t>
      </w:r>
      <w:proofErr w:type="gramEnd"/>
      <w:r w:rsidRPr="006E08C5">
        <w:rPr>
          <w:rFonts w:ascii="Montserrat Medium" w:eastAsia="Times New Roman" w:hAnsi="Montserrat Medium" w:cs="Arial"/>
          <w:color w:val="595959"/>
          <w:sz w:val="22"/>
        </w:rPr>
        <w:t xml:space="preserve"> pesos, un decremento de $190,513,448.13 pesos, un 15.1% menos respecto al 2024.</w:t>
      </w:r>
    </w:p>
    <w:p w14:paraId="69DA5EA6" w14:textId="77777777" w:rsidR="006E08C5" w:rsidRPr="006E08C5" w:rsidRDefault="006E08C5" w:rsidP="002F131C">
      <w:pPr>
        <w:jc w:val="both"/>
        <w:rPr>
          <w:rFonts w:ascii="Montserrat Medium" w:eastAsia="Times New Roman" w:hAnsi="Montserrat Medium" w:cs="Arial"/>
          <w:color w:val="595959"/>
          <w:sz w:val="22"/>
        </w:rPr>
      </w:pPr>
    </w:p>
    <w:p w14:paraId="796DEDB4" w14:textId="77777777" w:rsidR="006E08C5" w:rsidRPr="006E08C5" w:rsidRDefault="006E08C5" w:rsidP="002F131C">
      <w:pPr>
        <w:jc w:val="both"/>
        <w:rPr>
          <w:rFonts w:ascii="Montserrat Medium" w:eastAsia="Times New Roman" w:hAnsi="Montserrat Medium" w:cs="Arial"/>
          <w:color w:val="595959"/>
          <w:sz w:val="22"/>
        </w:rPr>
      </w:pPr>
      <w:r w:rsidRPr="006E08C5">
        <w:rPr>
          <w:rFonts w:ascii="Montserrat Medium" w:eastAsia="Times New Roman" w:hAnsi="Montserrat Medium" w:cs="Arial"/>
          <w:color w:val="595959"/>
          <w:sz w:val="22"/>
        </w:rPr>
        <w:t>Se obtuvo una recaudación de Incentivos Derivados de Colaboración Fiscal compuesta por Impuesto Sobre Automóviles Nuevos, Fondo de Compensación ISAN y Otros Ingresos por Coordinación por un monto de $1,105,441,492.00 pesos, un incremento de $178,630,991.00 pesos, un 19.3% más respecto al mismo trimestre del ejercicio 2024.</w:t>
      </w:r>
    </w:p>
    <w:p w14:paraId="09451CB6" w14:textId="77777777" w:rsidR="006E08C5" w:rsidRPr="00204B74" w:rsidRDefault="006E08C5" w:rsidP="002F131C">
      <w:pPr>
        <w:jc w:val="both"/>
      </w:pPr>
    </w:p>
    <w:p w14:paraId="09DC4EEB" w14:textId="77777777" w:rsidR="003B22AB" w:rsidRPr="006E08C5" w:rsidRDefault="003B22AB" w:rsidP="002F131C">
      <w:pPr>
        <w:numPr>
          <w:ilvl w:val="0"/>
          <w:numId w:val="27"/>
        </w:numPr>
        <w:spacing w:after="160"/>
        <w:contextualSpacing/>
        <w:jc w:val="both"/>
        <w:rPr>
          <w:rFonts w:ascii="Montserrat Medium" w:eastAsia="Times New Roman" w:hAnsi="Montserrat Medium" w:cs="Arial"/>
          <w:color w:val="595959"/>
          <w:sz w:val="22"/>
        </w:rPr>
      </w:pPr>
      <w:r w:rsidRPr="006E08C5">
        <w:rPr>
          <w:rFonts w:ascii="Montserrat Medium" w:eastAsia="Times New Roman" w:hAnsi="Montserrat Medium" w:cs="Arial"/>
          <w:color w:val="595959"/>
          <w:sz w:val="22"/>
        </w:rPr>
        <w:t>Proyección de la recaudación e ingresos en el mediano plazo.</w:t>
      </w:r>
    </w:p>
    <w:p w14:paraId="7B67A51D" w14:textId="77777777" w:rsidR="00F43984" w:rsidRPr="006E08C5" w:rsidRDefault="00F43984" w:rsidP="002F131C">
      <w:pPr>
        <w:spacing w:after="160"/>
        <w:ind w:left="720"/>
        <w:contextualSpacing/>
        <w:jc w:val="both"/>
        <w:rPr>
          <w:rFonts w:ascii="Montserrat Medium" w:eastAsia="Times New Roman" w:hAnsi="Montserrat Medium" w:cs="Arial"/>
          <w:color w:val="595959"/>
          <w:sz w:val="22"/>
        </w:rPr>
      </w:pPr>
    </w:p>
    <w:tbl>
      <w:tblPr>
        <w:tblW w:w="10085" w:type="dxa"/>
        <w:jc w:val="center"/>
        <w:tblInd w:w="55" w:type="dxa"/>
        <w:tblCellMar>
          <w:left w:w="70" w:type="dxa"/>
          <w:right w:w="70" w:type="dxa"/>
        </w:tblCellMar>
        <w:tblLook w:val="04A0" w:firstRow="1" w:lastRow="0" w:firstColumn="1" w:lastColumn="0" w:noHBand="0" w:noVBand="1"/>
      </w:tblPr>
      <w:tblGrid>
        <w:gridCol w:w="3058"/>
        <w:gridCol w:w="1185"/>
        <w:gridCol w:w="1164"/>
        <w:gridCol w:w="1156"/>
        <w:gridCol w:w="1171"/>
        <w:gridCol w:w="1202"/>
        <w:gridCol w:w="1224"/>
      </w:tblGrid>
      <w:tr w:rsidR="00F43984" w:rsidRPr="006E08C5" w14:paraId="7BADE718" w14:textId="77777777" w:rsidTr="00D51385">
        <w:trPr>
          <w:trHeight w:val="259"/>
          <w:tblHeader/>
          <w:jc w:val="center"/>
        </w:trPr>
        <w:tc>
          <w:tcPr>
            <w:tcW w:w="10085" w:type="dxa"/>
            <w:gridSpan w:val="7"/>
            <w:tcBorders>
              <w:top w:val="single" w:sz="4" w:space="0" w:color="auto"/>
              <w:left w:val="single" w:sz="4" w:space="0" w:color="auto"/>
              <w:bottom w:val="nil"/>
              <w:right w:val="single" w:sz="4" w:space="0" w:color="000000"/>
            </w:tcBorders>
            <w:shd w:val="clear" w:color="000000" w:fill="3D3935"/>
            <w:noWrap/>
            <w:vAlign w:val="bottom"/>
            <w:hideMark/>
          </w:tcPr>
          <w:p w14:paraId="5CDF402D" w14:textId="77777777" w:rsidR="00F43984" w:rsidRPr="006E08C5" w:rsidRDefault="00F43984" w:rsidP="002F131C">
            <w:pPr>
              <w:jc w:val="center"/>
              <w:rPr>
                <w:rFonts w:ascii="Montserrat Medium" w:eastAsia="Times New Roman" w:hAnsi="Montserrat Medium" w:cs="Arial"/>
                <w:b/>
                <w:bCs/>
                <w:color w:val="FFFFFF"/>
                <w:sz w:val="16"/>
                <w:szCs w:val="16"/>
                <w:lang w:eastAsia="es-MX"/>
              </w:rPr>
            </w:pPr>
            <w:bookmarkStart w:id="0" w:name="RANGE!B2:H38"/>
            <w:r w:rsidRPr="006E08C5">
              <w:rPr>
                <w:rFonts w:ascii="Montserrat Medium" w:eastAsia="Times New Roman" w:hAnsi="Montserrat Medium" w:cs="Arial"/>
                <w:b/>
                <w:bCs/>
                <w:color w:val="FFFFFF"/>
                <w:sz w:val="16"/>
                <w:szCs w:val="16"/>
                <w:lang w:eastAsia="es-MX"/>
              </w:rPr>
              <w:t>GOBIERNO DEL ESTADO LIBRE Y SOBERANO DE QUINTANA ROO</w:t>
            </w:r>
            <w:bookmarkEnd w:id="0"/>
          </w:p>
        </w:tc>
      </w:tr>
      <w:tr w:rsidR="00F43984" w:rsidRPr="006E08C5" w14:paraId="3E7B0AE1" w14:textId="77777777" w:rsidTr="00D51385">
        <w:trPr>
          <w:trHeight w:val="259"/>
          <w:tblHeader/>
          <w:jc w:val="center"/>
        </w:trPr>
        <w:tc>
          <w:tcPr>
            <w:tcW w:w="10085" w:type="dxa"/>
            <w:gridSpan w:val="7"/>
            <w:tcBorders>
              <w:top w:val="nil"/>
              <w:left w:val="single" w:sz="4" w:space="0" w:color="auto"/>
              <w:bottom w:val="nil"/>
              <w:right w:val="single" w:sz="4" w:space="0" w:color="000000"/>
            </w:tcBorders>
            <w:shd w:val="clear" w:color="000000" w:fill="3D3935"/>
            <w:noWrap/>
            <w:vAlign w:val="bottom"/>
            <w:hideMark/>
          </w:tcPr>
          <w:p w14:paraId="5987815F" w14:textId="77777777" w:rsidR="00F43984" w:rsidRPr="006E08C5" w:rsidRDefault="00F43984" w:rsidP="002F131C">
            <w:pPr>
              <w:jc w:val="center"/>
              <w:rPr>
                <w:rFonts w:ascii="Montserrat Medium" w:eastAsia="Times New Roman" w:hAnsi="Montserrat Medium" w:cs="Arial"/>
                <w:b/>
                <w:bCs/>
                <w:color w:val="FFFFFF"/>
                <w:sz w:val="16"/>
                <w:szCs w:val="16"/>
                <w:lang w:eastAsia="es-MX"/>
              </w:rPr>
            </w:pPr>
            <w:r w:rsidRPr="006E08C5">
              <w:rPr>
                <w:rFonts w:ascii="Montserrat Medium" w:eastAsia="Times New Roman" w:hAnsi="Montserrat Medium" w:cs="Arial"/>
                <w:b/>
                <w:bCs/>
                <w:color w:val="FFFFFF"/>
                <w:sz w:val="16"/>
                <w:szCs w:val="16"/>
                <w:lang w:eastAsia="es-MX"/>
              </w:rPr>
              <w:t>PROYECCIONES DE INGRESOS  -  LDF</w:t>
            </w:r>
          </w:p>
        </w:tc>
      </w:tr>
      <w:tr w:rsidR="00F43984" w:rsidRPr="006E08C5" w14:paraId="3E8AF235" w14:textId="77777777" w:rsidTr="00D51385">
        <w:trPr>
          <w:trHeight w:val="259"/>
          <w:tblHeader/>
          <w:jc w:val="center"/>
        </w:trPr>
        <w:tc>
          <w:tcPr>
            <w:tcW w:w="10085" w:type="dxa"/>
            <w:gridSpan w:val="7"/>
            <w:tcBorders>
              <w:top w:val="nil"/>
              <w:left w:val="single" w:sz="4" w:space="0" w:color="auto"/>
              <w:bottom w:val="nil"/>
              <w:right w:val="single" w:sz="4" w:space="0" w:color="000000"/>
            </w:tcBorders>
            <w:shd w:val="clear" w:color="000000" w:fill="3D3935"/>
            <w:noWrap/>
            <w:vAlign w:val="bottom"/>
            <w:hideMark/>
          </w:tcPr>
          <w:p w14:paraId="115D2CC3" w14:textId="77777777" w:rsidR="00F43984" w:rsidRPr="006E08C5" w:rsidRDefault="00F43984" w:rsidP="002F131C">
            <w:pPr>
              <w:jc w:val="center"/>
              <w:rPr>
                <w:rFonts w:ascii="Montserrat Medium" w:eastAsia="Times New Roman" w:hAnsi="Montserrat Medium" w:cs="Arial"/>
                <w:color w:val="FFFFFF"/>
                <w:sz w:val="16"/>
                <w:szCs w:val="16"/>
                <w:lang w:eastAsia="es-MX"/>
              </w:rPr>
            </w:pPr>
            <w:r w:rsidRPr="006E08C5">
              <w:rPr>
                <w:rFonts w:ascii="Montserrat Medium" w:eastAsia="Times New Roman" w:hAnsi="Montserrat Medium" w:cs="Arial"/>
                <w:color w:val="FFFFFF"/>
                <w:sz w:val="16"/>
                <w:szCs w:val="16"/>
                <w:lang w:eastAsia="es-MX"/>
              </w:rPr>
              <w:t>(pesos)</w:t>
            </w:r>
          </w:p>
        </w:tc>
      </w:tr>
      <w:tr w:rsidR="00F43984" w:rsidRPr="009C26EF" w14:paraId="44265B0A" w14:textId="77777777" w:rsidTr="00D51385">
        <w:trPr>
          <w:trHeight w:val="259"/>
          <w:tblHeader/>
          <w:jc w:val="center"/>
        </w:trPr>
        <w:tc>
          <w:tcPr>
            <w:tcW w:w="10085" w:type="dxa"/>
            <w:gridSpan w:val="7"/>
            <w:tcBorders>
              <w:top w:val="nil"/>
              <w:left w:val="single" w:sz="4" w:space="0" w:color="auto"/>
              <w:bottom w:val="single" w:sz="8" w:space="0" w:color="4F81BD"/>
              <w:right w:val="single" w:sz="4" w:space="0" w:color="000000"/>
            </w:tcBorders>
            <w:shd w:val="clear" w:color="000000" w:fill="3D3935"/>
            <w:noWrap/>
            <w:vAlign w:val="bottom"/>
            <w:hideMark/>
          </w:tcPr>
          <w:p w14:paraId="737AAC06" w14:textId="77777777" w:rsidR="00F43984" w:rsidRPr="006E08C5" w:rsidRDefault="00F43984" w:rsidP="002F131C">
            <w:pPr>
              <w:jc w:val="center"/>
              <w:rPr>
                <w:rFonts w:ascii="Montserrat Medium" w:eastAsia="Times New Roman" w:hAnsi="Montserrat Medium" w:cs="Arial"/>
                <w:b/>
                <w:bCs/>
                <w:color w:val="FFFFFF"/>
                <w:sz w:val="16"/>
                <w:szCs w:val="16"/>
                <w:lang w:eastAsia="es-MX"/>
              </w:rPr>
            </w:pPr>
            <w:r w:rsidRPr="006E08C5">
              <w:rPr>
                <w:rFonts w:ascii="Montserrat Medium" w:eastAsia="Times New Roman" w:hAnsi="Montserrat Medium" w:cs="Arial"/>
                <w:b/>
                <w:bCs/>
                <w:color w:val="FFFFFF"/>
                <w:sz w:val="16"/>
                <w:szCs w:val="16"/>
                <w:lang w:eastAsia="es-MX"/>
              </w:rPr>
              <w:t>(cifras nominales)</w:t>
            </w:r>
          </w:p>
        </w:tc>
      </w:tr>
      <w:tr w:rsidR="00F43984" w:rsidRPr="009C26EF" w14:paraId="1ED85211" w14:textId="77777777" w:rsidTr="00D51385">
        <w:trPr>
          <w:trHeight w:val="259"/>
          <w:tblHeader/>
          <w:jc w:val="center"/>
        </w:trPr>
        <w:tc>
          <w:tcPr>
            <w:tcW w:w="3058" w:type="dxa"/>
            <w:tcBorders>
              <w:top w:val="nil"/>
              <w:left w:val="single" w:sz="4" w:space="0" w:color="auto"/>
              <w:bottom w:val="nil"/>
              <w:right w:val="nil"/>
            </w:tcBorders>
            <w:shd w:val="clear" w:color="000000" w:fill="AB0A3D"/>
            <w:vAlign w:val="center"/>
            <w:hideMark/>
          </w:tcPr>
          <w:p w14:paraId="0E7F6807" w14:textId="77777777" w:rsidR="00F43984" w:rsidRPr="006E08C5" w:rsidRDefault="00F43984" w:rsidP="002F131C">
            <w:pPr>
              <w:jc w:val="center"/>
              <w:rPr>
                <w:rFonts w:ascii="Montserrat Medium" w:eastAsia="Times New Roman" w:hAnsi="Montserrat Medium" w:cs="Arial"/>
                <w:b/>
                <w:bCs/>
                <w:color w:val="E7E6E6"/>
                <w:sz w:val="16"/>
                <w:szCs w:val="16"/>
                <w:lang w:eastAsia="es-MX"/>
              </w:rPr>
            </w:pPr>
            <w:r w:rsidRPr="006E08C5">
              <w:rPr>
                <w:rFonts w:ascii="Montserrat Medium" w:eastAsia="Times New Roman" w:hAnsi="Montserrat Medium" w:cs="Arial"/>
                <w:b/>
                <w:bCs/>
                <w:color w:val="E7E6E6"/>
                <w:sz w:val="16"/>
                <w:szCs w:val="16"/>
                <w:lang w:eastAsia="es-MX"/>
              </w:rPr>
              <w:t>Concepto</w:t>
            </w:r>
          </w:p>
        </w:tc>
        <w:tc>
          <w:tcPr>
            <w:tcW w:w="1170" w:type="dxa"/>
            <w:tcBorders>
              <w:top w:val="nil"/>
              <w:left w:val="nil"/>
              <w:bottom w:val="nil"/>
              <w:right w:val="nil"/>
            </w:tcBorders>
            <w:shd w:val="clear" w:color="000000" w:fill="AB0A3D"/>
            <w:vAlign w:val="center"/>
            <w:hideMark/>
          </w:tcPr>
          <w:p w14:paraId="48C67C68" w14:textId="77777777" w:rsidR="00F43984" w:rsidRPr="006E08C5" w:rsidRDefault="00F43984" w:rsidP="002F131C">
            <w:pPr>
              <w:jc w:val="center"/>
              <w:rPr>
                <w:rFonts w:ascii="Montserrat Medium" w:eastAsia="Times New Roman" w:hAnsi="Montserrat Medium" w:cs="Arial"/>
                <w:b/>
                <w:bCs/>
                <w:color w:val="E7E6E6"/>
                <w:sz w:val="16"/>
                <w:szCs w:val="16"/>
                <w:lang w:eastAsia="es-MX"/>
              </w:rPr>
            </w:pPr>
            <w:r w:rsidRPr="006E08C5">
              <w:rPr>
                <w:rFonts w:ascii="Montserrat Medium" w:eastAsia="Times New Roman" w:hAnsi="Montserrat Medium" w:cs="Arial"/>
                <w:b/>
                <w:bCs/>
                <w:color w:val="E7E6E6"/>
                <w:sz w:val="16"/>
                <w:szCs w:val="16"/>
                <w:lang w:eastAsia="es-MX"/>
              </w:rPr>
              <w:t>2025</w:t>
            </w:r>
          </w:p>
        </w:tc>
        <w:tc>
          <w:tcPr>
            <w:tcW w:w="1149" w:type="dxa"/>
            <w:tcBorders>
              <w:top w:val="nil"/>
              <w:left w:val="nil"/>
              <w:bottom w:val="nil"/>
              <w:right w:val="nil"/>
            </w:tcBorders>
            <w:shd w:val="clear" w:color="000000" w:fill="AB0A3D"/>
            <w:vAlign w:val="center"/>
            <w:hideMark/>
          </w:tcPr>
          <w:p w14:paraId="019F6D8A" w14:textId="77777777" w:rsidR="00F43984" w:rsidRPr="006E08C5" w:rsidRDefault="00F43984" w:rsidP="002F131C">
            <w:pPr>
              <w:jc w:val="center"/>
              <w:rPr>
                <w:rFonts w:ascii="Montserrat Medium" w:eastAsia="Times New Roman" w:hAnsi="Montserrat Medium" w:cs="Arial"/>
                <w:b/>
                <w:bCs/>
                <w:color w:val="E7E6E6"/>
                <w:sz w:val="16"/>
                <w:szCs w:val="16"/>
                <w:lang w:eastAsia="es-MX"/>
              </w:rPr>
            </w:pPr>
            <w:r w:rsidRPr="006E08C5">
              <w:rPr>
                <w:rFonts w:ascii="Montserrat Medium" w:eastAsia="Times New Roman" w:hAnsi="Montserrat Medium" w:cs="Arial"/>
                <w:b/>
                <w:bCs/>
                <w:color w:val="E7E6E6"/>
                <w:sz w:val="16"/>
                <w:szCs w:val="16"/>
                <w:lang w:eastAsia="es-MX"/>
              </w:rPr>
              <w:t>2026</w:t>
            </w:r>
          </w:p>
        </w:tc>
        <w:tc>
          <w:tcPr>
            <w:tcW w:w="1141" w:type="dxa"/>
            <w:tcBorders>
              <w:top w:val="nil"/>
              <w:left w:val="nil"/>
              <w:bottom w:val="nil"/>
              <w:right w:val="nil"/>
            </w:tcBorders>
            <w:shd w:val="clear" w:color="000000" w:fill="AB0A3D"/>
            <w:vAlign w:val="center"/>
            <w:hideMark/>
          </w:tcPr>
          <w:p w14:paraId="5C39ECBF" w14:textId="77777777" w:rsidR="00F43984" w:rsidRPr="006E08C5" w:rsidRDefault="00F43984" w:rsidP="002F131C">
            <w:pPr>
              <w:jc w:val="center"/>
              <w:rPr>
                <w:rFonts w:ascii="Montserrat Medium" w:eastAsia="Times New Roman" w:hAnsi="Montserrat Medium" w:cs="Arial"/>
                <w:b/>
                <w:bCs/>
                <w:color w:val="E7E6E6"/>
                <w:sz w:val="16"/>
                <w:szCs w:val="16"/>
                <w:lang w:eastAsia="es-MX"/>
              </w:rPr>
            </w:pPr>
            <w:r w:rsidRPr="006E08C5">
              <w:rPr>
                <w:rFonts w:ascii="Montserrat Medium" w:eastAsia="Times New Roman" w:hAnsi="Montserrat Medium" w:cs="Arial"/>
                <w:b/>
                <w:bCs/>
                <w:color w:val="E7E6E6"/>
                <w:sz w:val="16"/>
                <w:szCs w:val="16"/>
                <w:lang w:eastAsia="es-MX"/>
              </w:rPr>
              <w:t>2027</w:t>
            </w:r>
          </w:p>
        </w:tc>
        <w:tc>
          <w:tcPr>
            <w:tcW w:w="1156" w:type="dxa"/>
            <w:tcBorders>
              <w:top w:val="nil"/>
              <w:left w:val="nil"/>
              <w:bottom w:val="nil"/>
              <w:right w:val="nil"/>
            </w:tcBorders>
            <w:shd w:val="clear" w:color="000000" w:fill="AB0A3D"/>
            <w:vAlign w:val="center"/>
            <w:hideMark/>
          </w:tcPr>
          <w:p w14:paraId="353C3C45" w14:textId="77777777" w:rsidR="00F43984" w:rsidRPr="006E08C5" w:rsidRDefault="00F43984" w:rsidP="002F131C">
            <w:pPr>
              <w:jc w:val="center"/>
              <w:rPr>
                <w:rFonts w:ascii="Montserrat Medium" w:eastAsia="Times New Roman" w:hAnsi="Montserrat Medium" w:cs="Arial"/>
                <w:b/>
                <w:bCs/>
                <w:color w:val="E7E6E6"/>
                <w:sz w:val="16"/>
                <w:szCs w:val="16"/>
                <w:lang w:eastAsia="es-MX"/>
              </w:rPr>
            </w:pPr>
            <w:r w:rsidRPr="006E08C5">
              <w:rPr>
                <w:rFonts w:ascii="Montserrat Medium" w:eastAsia="Times New Roman" w:hAnsi="Montserrat Medium" w:cs="Arial"/>
                <w:b/>
                <w:bCs/>
                <w:color w:val="E7E6E6"/>
                <w:sz w:val="16"/>
                <w:szCs w:val="16"/>
                <w:lang w:eastAsia="es-MX"/>
              </w:rPr>
              <w:t>2028</w:t>
            </w:r>
          </w:p>
        </w:tc>
        <w:tc>
          <w:tcPr>
            <w:tcW w:w="1187" w:type="dxa"/>
            <w:tcBorders>
              <w:top w:val="nil"/>
              <w:left w:val="nil"/>
              <w:bottom w:val="nil"/>
              <w:right w:val="nil"/>
            </w:tcBorders>
            <w:shd w:val="clear" w:color="000000" w:fill="AB0A3D"/>
            <w:vAlign w:val="center"/>
            <w:hideMark/>
          </w:tcPr>
          <w:p w14:paraId="62E1030C" w14:textId="77777777" w:rsidR="00F43984" w:rsidRPr="006E08C5" w:rsidRDefault="00F43984" w:rsidP="002F131C">
            <w:pPr>
              <w:jc w:val="center"/>
              <w:rPr>
                <w:rFonts w:ascii="Montserrat Medium" w:eastAsia="Times New Roman" w:hAnsi="Montserrat Medium" w:cs="Arial"/>
                <w:b/>
                <w:bCs/>
                <w:color w:val="E7E6E6"/>
                <w:sz w:val="16"/>
                <w:szCs w:val="16"/>
                <w:lang w:eastAsia="es-MX"/>
              </w:rPr>
            </w:pPr>
            <w:r w:rsidRPr="006E08C5">
              <w:rPr>
                <w:rFonts w:ascii="Montserrat Medium" w:eastAsia="Times New Roman" w:hAnsi="Montserrat Medium" w:cs="Arial"/>
                <w:b/>
                <w:bCs/>
                <w:color w:val="E7E6E6"/>
                <w:sz w:val="16"/>
                <w:szCs w:val="16"/>
                <w:lang w:eastAsia="es-MX"/>
              </w:rPr>
              <w:t>2029</w:t>
            </w:r>
          </w:p>
        </w:tc>
        <w:tc>
          <w:tcPr>
            <w:tcW w:w="1224" w:type="dxa"/>
            <w:tcBorders>
              <w:top w:val="nil"/>
              <w:left w:val="nil"/>
              <w:bottom w:val="nil"/>
              <w:right w:val="single" w:sz="4" w:space="0" w:color="auto"/>
            </w:tcBorders>
            <w:shd w:val="clear" w:color="000000" w:fill="AB0A3D"/>
            <w:vAlign w:val="center"/>
            <w:hideMark/>
          </w:tcPr>
          <w:p w14:paraId="6D3ED759" w14:textId="77777777" w:rsidR="00F43984" w:rsidRPr="006E08C5" w:rsidRDefault="00F43984" w:rsidP="002F131C">
            <w:pPr>
              <w:jc w:val="center"/>
              <w:rPr>
                <w:rFonts w:ascii="Montserrat Medium" w:eastAsia="Times New Roman" w:hAnsi="Montserrat Medium" w:cs="Arial"/>
                <w:b/>
                <w:bCs/>
                <w:color w:val="E7E6E6"/>
                <w:sz w:val="16"/>
                <w:szCs w:val="16"/>
                <w:lang w:eastAsia="es-MX"/>
              </w:rPr>
            </w:pPr>
            <w:r w:rsidRPr="006E08C5">
              <w:rPr>
                <w:rFonts w:ascii="Montserrat Medium" w:eastAsia="Times New Roman" w:hAnsi="Montserrat Medium" w:cs="Arial"/>
                <w:b/>
                <w:bCs/>
                <w:color w:val="E7E6E6"/>
                <w:sz w:val="16"/>
                <w:szCs w:val="16"/>
                <w:lang w:eastAsia="es-MX"/>
              </w:rPr>
              <w:t>2030</w:t>
            </w:r>
          </w:p>
        </w:tc>
      </w:tr>
      <w:tr w:rsidR="00F43984" w:rsidRPr="009C26EF" w14:paraId="6709F33B" w14:textId="77777777" w:rsidTr="00D51385">
        <w:trPr>
          <w:trHeight w:val="222"/>
          <w:jc w:val="center"/>
        </w:trPr>
        <w:tc>
          <w:tcPr>
            <w:tcW w:w="3058" w:type="dxa"/>
            <w:tcBorders>
              <w:top w:val="nil"/>
              <w:left w:val="single" w:sz="4" w:space="0" w:color="auto"/>
              <w:bottom w:val="single" w:sz="8" w:space="0" w:color="BFBFBF"/>
              <w:right w:val="nil"/>
            </w:tcBorders>
            <w:shd w:val="clear" w:color="000000" w:fill="FFFFFF"/>
            <w:noWrap/>
            <w:vAlign w:val="center"/>
            <w:hideMark/>
          </w:tcPr>
          <w:p w14:paraId="6BD11CD5" w14:textId="77777777" w:rsidR="00F43984" w:rsidRPr="006E08C5" w:rsidRDefault="00F43984" w:rsidP="002F131C">
            <w:pPr>
              <w:rPr>
                <w:rFonts w:ascii="Montserrat Medium" w:eastAsia="Times New Roman" w:hAnsi="Montserrat Medium" w:cs="Arial"/>
                <w:color w:val="000000"/>
                <w:sz w:val="18"/>
                <w:szCs w:val="18"/>
                <w:lang w:eastAsia="es-MX"/>
              </w:rPr>
            </w:pPr>
            <w:r w:rsidRPr="006E08C5">
              <w:rPr>
                <w:rFonts w:ascii="Montserrat Medium" w:eastAsia="Times New Roman" w:hAnsi="Montserrat Medium" w:cs="Arial"/>
                <w:color w:val="000000"/>
                <w:sz w:val="18"/>
                <w:szCs w:val="18"/>
                <w:lang w:eastAsia="es-MX"/>
              </w:rPr>
              <w:t> </w:t>
            </w:r>
          </w:p>
        </w:tc>
        <w:tc>
          <w:tcPr>
            <w:tcW w:w="1170" w:type="dxa"/>
            <w:tcBorders>
              <w:top w:val="nil"/>
              <w:left w:val="nil"/>
              <w:bottom w:val="single" w:sz="8" w:space="0" w:color="BFBFBF"/>
              <w:right w:val="nil"/>
            </w:tcBorders>
            <w:shd w:val="clear" w:color="000000" w:fill="FFFFFF"/>
            <w:vAlign w:val="center"/>
            <w:hideMark/>
          </w:tcPr>
          <w:p w14:paraId="504BFC3B" w14:textId="77777777" w:rsidR="00F43984" w:rsidRPr="006E08C5" w:rsidRDefault="00F43984" w:rsidP="002F131C">
            <w:pPr>
              <w:rPr>
                <w:rFonts w:ascii="Montserrat Medium" w:eastAsia="Times New Roman" w:hAnsi="Montserrat Medium" w:cs="Arial"/>
                <w:color w:val="000000"/>
                <w:sz w:val="18"/>
                <w:szCs w:val="18"/>
                <w:lang w:eastAsia="es-MX"/>
              </w:rPr>
            </w:pPr>
            <w:r w:rsidRPr="006E08C5">
              <w:rPr>
                <w:rFonts w:ascii="Montserrat Medium" w:eastAsia="Times New Roman" w:hAnsi="Montserrat Medium" w:cs="Arial"/>
                <w:color w:val="000000"/>
                <w:sz w:val="18"/>
                <w:szCs w:val="18"/>
                <w:lang w:eastAsia="es-MX"/>
              </w:rPr>
              <w:t> </w:t>
            </w:r>
          </w:p>
        </w:tc>
        <w:tc>
          <w:tcPr>
            <w:tcW w:w="1149" w:type="dxa"/>
            <w:tcBorders>
              <w:top w:val="nil"/>
              <w:left w:val="nil"/>
              <w:bottom w:val="single" w:sz="8" w:space="0" w:color="BFBFBF"/>
              <w:right w:val="nil"/>
            </w:tcBorders>
            <w:shd w:val="clear" w:color="000000" w:fill="FFFFFF"/>
            <w:vAlign w:val="center"/>
            <w:hideMark/>
          </w:tcPr>
          <w:p w14:paraId="0E185028" w14:textId="77777777" w:rsidR="00F43984" w:rsidRPr="006E08C5" w:rsidRDefault="00F43984" w:rsidP="002F131C">
            <w:pPr>
              <w:rPr>
                <w:rFonts w:ascii="Montserrat Medium" w:eastAsia="Times New Roman" w:hAnsi="Montserrat Medium" w:cs="Arial"/>
                <w:color w:val="000000"/>
                <w:sz w:val="18"/>
                <w:szCs w:val="18"/>
                <w:lang w:eastAsia="es-MX"/>
              </w:rPr>
            </w:pPr>
            <w:r w:rsidRPr="006E08C5">
              <w:rPr>
                <w:rFonts w:ascii="Montserrat Medium" w:eastAsia="Times New Roman" w:hAnsi="Montserrat Medium" w:cs="Arial"/>
                <w:color w:val="000000"/>
                <w:sz w:val="18"/>
                <w:szCs w:val="18"/>
                <w:lang w:eastAsia="es-MX"/>
              </w:rPr>
              <w:t> </w:t>
            </w:r>
          </w:p>
        </w:tc>
        <w:tc>
          <w:tcPr>
            <w:tcW w:w="1141" w:type="dxa"/>
            <w:tcBorders>
              <w:top w:val="nil"/>
              <w:left w:val="nil"/>
              <w:bottom w:val="single" w:sz="8" w:space="0" w:color="BFBFBF"/>
              <w:right w:val="nil"/>
            </w:tcBorders>
            <w:shd w:val="clear" w:color="000000" w:fill="FFFFFF"/>
            <w:vAlign w:val="center"/>
            <w:hideMark/>
          </w:tcPr>
          <w:p w14:paraId="55C7D783" w14:textId="77777777" w:rsidR="00F43984" w:rsidRPr="006E08C5" w:rsidRDefault="00F43984" w:rsidP="002F131C">
            <w:pPr>
              <w:rPr>
                <w:rFonts w:ascii="Montserrat Medium" w:eastAsia="Times New Roman" w:hAnsi="Montserrat Medium" w:cs="Arial"/>
                <w:color w:val="000000"/>
                <w:sz w:val="18"/>
                <w:szCs w:val="18"/>
                <w:lang w:eastAsia="es-MX"/>
              </w:rPr>
            </w:pPr>
            <w:r w:rsidRPr="006E08C5">
              <w:rPr>
                <w:rFonts w:ascii="Montserrat Medium" w:eastAsia="Times New Roman" w:hAnsi="Montserrat Medium" w:cs="Arial"/>
                <w:color w:val="000000"/>
                <w:sz w:val="18"/>
                <w:szCs w:val="18"/>
                <w:lang w:eastAsia="es-MX"/>
              </w:rPr>
              <w:t> </w:t>
            </w:r>
          </w:p>
        </w:tc>
        <w:tc>
          <w:tcPr>
            <w:tcW w:w="1156" w:type="dxa"/>
            <w:tcBorders>
              <w:top w:val="nil"/>
              <w:left w:val="nil"/>
              <w:bottom w:val="single" w:sz="8" w:space="0" w:color="BFBFBF"/>
              <w:right w:val="nil"/>
            </w:tcBorders>
            <w:shd w:val="clear" w:color="000000" w:fill="FFFFFF"/>
            <w:vAlign w:val="center"/>
            <w:hideMark/>
          </w:tcPr>
          <w:p w14:paraId="6EA39348" w14:textId="77777777" w:rsidR="00F43984" w:rsidRPr="006E08C5" w:rsidRDefault="00F43984" w:rsidP="002F131C">
            <w:pPr>
              <w:rPr>
                <w:rFonts w:ascii="Montserrat Medium" w:eastAsia="Times New Roman" w:hAnsi="Montserrat Medium" w:cs="Arial"/>
                <w:color w:val="000000"/>
                <w:sz w:val="18"/>
                <w:szCs w:val="18"/>
                <w:lang w:eastAsia="es-MX"/>
              </w:rPr>
            </w:pPr>
            <w:r w:rsidRPr="006E08C5">
              <w:rPr>
                <w:rFonts w:ascii="Montserrat Medium" w:eastAsia="Times New Roman" w:hAnsi="Montserrat Medium" w:cs="Arial"/>
                <w:color w:val="000000"/>
                <w:sz w:val="18"/>
                <w:szCs w:val="18"/>
                <w:lang w:eastAsia="es-MX"/>
              </w:rPr>
              <w:t> </w:t>
            </w:r>
          </w:p>
        </w:tc>
        <w:tc>
          <w:tcPr>
            <w:tcW w:w="1187" w:type="dxa"/>
            <w:tcBorders>
              <w:top w:val="nil"/>
              <w:left w:val="nil"/>
              <w:bottom w:val="single" w:sz="8" w:space="0" w:color="BFBFBF"/>
              <w:right w:val="nil"/>
            </w:tcBorders>
            <w:shd w:val="clear" w:color="000000" w:fill="FFFFFF"/>
            <w:vAlign w:val="center"/>
            <w:hideMark/>
          </w:tcPr>
          <w:p w14:paraId="14561111" w14:textId="77777777" w:rsidR="00F43984" w:rsidRPr="006E08C5" w:rsidRDefault="00F43984" w:rsidP="002F131C">
            <w:pPr>
              <w:rPr>
                <w:rFonts w:ascii="Montserrat Medium" w:eastAsia="Times New Roman" w:hAnsi="Montserrat Medium" w:cs="Arial"/>
                <w:color w:val="000000"/>
                <w:sz w:val="18"/>
                <w:szCs w:val="18"/>
                <w:lang w:eastAsia="es-MX"/>
              </w:rPr>
            </w:pPr>
            <w:r w:rsidRPr="006E08C5">
              <w:rPr>
                <w:rFonts w:ascii="Montserrat Medium" w:eastAsia="Times New Roman" w:hAnsi="Montserrat Medium" w:cs="Arial"/>
                <w:color w:val="000000"/>
                <w:sz w:val="18"/>
                <w:szCs w:val="18"/>
                <w:lang w:eastAsia="es-MX"/>
              </w:rPr>
              <w:t> </w:t>
            </w:r>
          </w:p>
        </w:tc>
        <w:tc>
          <w:tcPr>
            <w:tcW w:w="1224" w:type="dxa"/>
            <w:tcBorders>
              <w:top w:val="nil"/>
              <w:left w:val="nil"/>
              <w:bottom w:val="single" w:sz="8" w:space="0" w:color="BFBFBF"/>
              <w:right w:val="single" w:sz="4" w:space="0" w:color="auto"/>
            </w:tcBorders>
            <w:shd w:val="clear" w:color="000000" w:fill="FFFFFF"/>
            <w:vAlign w:val="center"/>
            <w:hideMark/>
          </w:tcPr>
          <w:p w14:paraId="44D97FD5" w14:textId="77777777" w:rsidR="00F43984" w:rsidRPr="006E08C5" w:rsidRDefault="00F43984" w:rsidP="002F131C">
            <w:pPr>
              <w:rPr>
                <w:rFonts w:ascii="Montserrat Medium" w:eastAsia="Times New Roman" w:hAnsi="Montserrat Medium" w:cs="Arial"/>
                <w:color w:val="000000"/>
                <w:sz w:val="18"/>
                <w:szCs w:val="18"/>
                <w:lang w:eastAsia="es-MX"/>
              </w:rPr>
            </w:pPr>
            <w:r w:rsidRPr="006E08C5">
              <w:rPr>
                <w:rFonts w:ascii="Montserrat Medium" w:eastAsia="Times New Roman" w:hAnsi="Montserrat Medium" w:cs="Arial"/>
                <w:color w:val="000000"/>
                <w:sz w:val="18"/>
                <w:szCs w:val="18"/>
                <w:lang w:eastAsia="es-MX"/>
              </w:rPr>
              <w:t> </w:t>
            </w:r>
          </w:p>
        </w:tc>
      </w:tr>
      <w:tr w:rsidR="006E08C5" w:rsidRPr="009C26EF" w14:paraId="5676005B" w14:textId="77777777" w:rsidTr="00D51385">
        <w:trPr>
          <w:trHeight w:val="405"/>
          <w:jc w:val="center"/>
        </w:trPr>
        <w:tc>
          <w:tcPr>
            <w:tcW w:w="3058" w:type="dxa"/>
            <w:tcBorders>
              <w:top w:val="nil"/>
              <w:left w:val="single" w:sz="4" w:space="0" w:color="auto"/>
              <w:bottom w:val="single" w:sz="8" w:space="0" w:color="4F81BD"/>
              <w:right w:val="nil"/>
            </w:tcBorders>
            <w:shd w:val="clear" w:color="000000" w:fill="B0ABA1"/>
            <w:vAlign w:val="center"/>
            <w:hideMark/>
          </w:tcPr>
          <w:p w14:paraId="03C50B02" w14:textId="77777777" w:rsidR="006E08C5" w:rsidRPr="006E08C5" w:rsidRDefault="006E08C5" w:rsidP="002F131C">
            <w:pPr>
              <w:rPr>
                <w:rFonts w:ascii="Montserrat Medium" w:eastAsia="Times New Roman" w:hAnsi="Montserrat Medium" w:cs="Arial"/>
                <w:color w:val="000000"/>
                <w:sz w:val="12"/>
                <w:szCs w:val="12"/>
                <w:lang w:eastAsia="es-MX"/>
              </w:rPr>
            </w:pPr>
            <w:r w:rsidRPr="006E08C5">
              <w:rPr>
                <w:rFonts w:ascii="Montserrat Medium" w:eastAsia="Times New Roman" w:hAnsi="Montserrat Medium" w:cs="Arial"/>
                <w:color w:val="000000"/>
                <w:sz w:val="12"/>
                <w:szCs w:val="12"/>
                <w:lang w:eastAsia="es-MX"/>
              </w:rPr>
              <w:t>1.   Ingresos de Libre Disposición (1=A+B+C+D+E+F+G+H+I+J+K+L)</w:t>
            </w:r>
          </w:p>
        </w:tc>
        <w:tc>
          <w:tcPr>
            <w:tcW w:w="1170" w:type="dxa"/>
            <w:tcBorders>
              <w:top w:val="nil"/>
              <w:left w:val="nil"/>
              <w:bottom w:val="single" w:sz="8" w:space="0" w:color="4F81BD"/>
              <w:right w:val="nil"/>
            </w:tcBorders>
            <w:shd w:val="clear" w:color="000000" w:fill="B0ABA1"/>
            <w:noWrap/>
            <w:vAlign w:val="center"/>
            <w:hideMark/>
          </w:tcPr>
          <w:p w14:paraId="394406C5" w14:textId="4BF9477E" w:rsidR="006E08C5" w:rsidRPr="006E08C5" w:rsidRDefault="006E08C5" w:rsidP="002F131C">
            <w:pPr>
              <w:jc w:val="right"/>
              <w:rPr>
                <w:rFonts w:ascii="Montserrat Medium" w:eastAsia="Times New Roman" w:hAnsi="Montserrat Medium" w:cs="Arial"/>
                <w:color w:val="000000"/>
                <w:sz w:val="14"/>
                <w:szCs w:val="14"/>
                <w:highlight w:val="yellow"/>
                <w:lang w:eastAsia="es-MX"/>
              </w:rPr>
            </w:pPr>
            <w:r w:rsidRPr="006E08C5">
              <w:rPr>
                <w:rFonts w:ascii="Montserrat Medium" w:eastAsia="Times New Roman" w:hAnsi="Montserrat Medium" w:cs="Arial"/>
                <w:color w:val="000000"/>
                <w:sz w:val="14"/>
                <w:szCs w:val="14"/>
                <w:lang w:eastAsia="es-MX"/>
              </w:rPr>
              <w:t>34,666,625,856</w:t>
            </w:r>
          </w:p>
        </w:tc>
        <w:tc>
          <w:tcPr>
            <w:tcW w:w="1149" w:type="dxa"/>
            <w:tcBorders>
              <w:top w:val="nil"/>
              <w:left w:val="nil"/>
              <w:bottom w:val="single" w:sz="8" w:space="0" w:color="4F81BD"/>
              <w:right w:val="nil"/>
            </w:tcBorders>
            <w:shd w:val="clear" w:color="000000" w:fill="B0ABA1"/>
            <w:noWrap/>
            <w:vAlign w:val="center"/>
            <w:hideMark/>
          </w:tcPr>
          <w:p w14:paraId="01C49281" w14:textId="54184C23" w:rsidR="006E08C5" w:rsidRPr="006E08C5" w:rsidRDefault="006E08C5" w:rsidP="002F131C">
            <w:pPr>
              <w:jc w:val="right"/>
              <w:rPr>
                <w:rFonts w:ascii="Montserrat Medium" w:eastAsia="Times New Roman" w:hAnsi="Montserrat Medium" w:cs="Arial"/>
                <w:color w:val="000000"/>
                <w:sz w:val="14"/>
                <w:szCs w:val="14"/>
                <w:highlight w:val="yellow"/>
                <w:lang w:eastAsia="es-MX"/>
              </w:rPr>
            </w:pPr>
            <w:r w:rsidRPr="006E08C5">
              <w:rPr>
                <w:rFonts w:ascii="Montserrat Medium" w:eastAsia="Times New Roman" w:hAnsi="Montserrat Medium" w:cs="Arial"/>
                <w:color w:val="000000"/>
                <w:sz w:val="14"/>
                <w:szCs w:val="14"/>
                <w:lang w:eastAsia="es-MX"/>
              </w:rPr>
              <w:t>36,210,624,509</w:t>
            </w:r>
          </w:p>
        </w:tc>
        <w:tc>
          <w:tcPr>
            <w:tcW w:w="1141" w:type="dxa"/>
            <w:tcBorders>
              <w:top w:val="nil"/>
              <w:left w:val="nil"/>
              <w:bottom w:val="single" w:sz="8" w:space="0" w:color="4F81BD"/>
              <w:right w:val="nil"/>
            </w:tcBorders>
            <w:shd w:val="clear" w:color="000000" w:fill="B0ABA1"/>
            <w:noWrap/>
            <w:vAlign w:val="center"/>
            <w:hideMark/>
          </w:tcPr>
          <w:p w14:paraId="6D3517A8" w14:textId="4E545C26" w:rsidR="006E08C5" w:rsidRPr="006E08C5" w:rsidRDefault="006E08C5" w:rsidP="002F131C">
            <w:pPr>
              <w:jc w:val="right"/>
              <w:rPr>
                <w:rFonts w:ascii="Montserrat Medium" w:eastAsia="Times New Roman" w:hAnsi="Montserrat Medium" w:cs="Arial"/>
                <w:color w:val="000000"/>
                <w:sz w:val="14"/>
                <w:szCs w:val="14"/>
                <w:highlight w:val="yellow"/>
                <w:lang w:eastAsia="es-MX"/>
              </w:rPr>
            </w:pPr>
            <w:r w:rsidRPr="006E08C5">
              <w:rPr>
                <w:rFonts w:ascii="Montserrat Medium" w:eastAsia="Times New Roman" w:hAnsi="Montserrat Medium" w:cs="Arial"/>
                <w:color w:val="000000"/>
                <w:sz w:val="14"/>
                <w:szCs w:val="14"/>
                <w:lang w:eastAsia="es-MX"/>
              </w:rPr>
              <w:t>36,992,375,119</w:t>
            </w:r>
          </w:p>
        </w:tc>
        <w:tc>
          <w:tcPr>
            <w:tcW w:w="1156" w:type="dxa"/>
            <w:tcBorders>
              <w:top w:val="nil"/>
              <w:left w:val="nil"/>
              <w:bottom w:val="single" w:sz="8" w:space="0" w:color="4F81BD"/>
              <w:right w:val="nil"/>
            </w:tcBorders>
            <w:shd w:val="clear" w:color="000000" w:fill="B0ABA1"/>
            <w:noWrap/>
            <w:vAlign w:val="center"/>
            <w:hideMark/>
          </w:tcPr>
          <w:p w14:paraId="28D97C19" w14:textId="207AE649" w:rsidR="006E08C5" w:rsidRPr="006E08C5" w:rsidRDefault="006E08C5" w:rsidP="002F131C">
            <w:pPr>
              <w:jc w:val="right"/>
              <w:rPr>
                <w:rFonts w:ascii="Montserrat Medium" w:eastAsia="Times New Roman" w:hAnsi="Montserrat Medium" w:cs="Arial"/>
                <w:color w:val="000000"/>
                <w:sz w:val="14"/>
                <w:szCs w:val="14"/>
                <w:highlight w:val="yellow"/>
                <w:lang w:eastAsia="es-MX"/>
              </w:rPr>
            </w:pPr>
            <w:r w:rsidRPr="006E08C5">
              <w:rPr>
                <w:rFonts w:ascii="Montserrat Medium" w:eastAsia="Times New Roman" w:hAnsi="Montserrat Medium" w:cs="Arial"/>
                <w:color w:val="000000"/>
                <w:sz w:val="14"/>
                <w:szCs w:val="14"/>
                <w:lang w:eastAsia="es-MX"/>
              </w:rPr>
              <w:t>38,213,123,497</w:t>
            </w:r>
          </w:p>
        </w:tc>
        <w:tc>
          <w:tcPr>
            <w:tcW w:w="1187" w:type="dxa"/>
            <w:tcBorders>
              <w:top w:val="nil"/>
              <w:left w:val="nil"/>
              <w:bottom w:val="single" w:sz="8" w:space="0" w:color="4F81BD"/>
              <w:right w:val="nil"/>
            </w:tcBorders>
            <w:shd w:val="clear" w:color="000000" w:fill="B0ABA1"/>
            <w:noWrap/>
            <w:vAlign w:val="center"/>
            <w:hideMark/>
          </w:tcPr>
          <w:p w14:paraId="3A7AA36C" w14:textId="4C0B4C84" w:rsidR="006E08C5" w:rsidRPr="006E08C5" w:rsidRDefault="006E08C5" w:rsidP="002F131C">
            <w:pPr>
              <w:jc w:val="right"/>
              <w:rPr>
                <w:rFonts w:ascii="Montserrat Medium" w:eastAsia="Times New Roman" w:hAnsi="Montserrat Medium" w:cs="Arial"/>
                <w:color w:val="000000"/>
                <w:sz w:val="14"/>
                <w:szCs w:val="14"/>
                <w:highlight w:val="yellow"/>
                <w:lang w:eastAsia="es-MX"/>
              </w:rPr>
            </w:pPr>
            <w:r w:rsidRPr="006E08C5">
              <w:rPr>
                <w:rFonts w:ascii="Montserrat Medium" w:eastAsia="Times New Roman" w:hAnsi="Montserrat Medium" w:cs="Arial"/>
                <w:color w:val="000000"/>
                <w:sz w:val="14"/>
                <w:szCs w:val="14"/>
                <w:lang w:eastAsia="es-MX"/>
              </w:rPr>
              <w:t>39,874,156,572</w:t>
            </w:r>
          </w:p>
        </w:tc>
        <w:tc>
          <w:tcPr>
            <w:tcW w:w="1224" w:type="dxa"/>
            <w:tcBorders>
              <w:top w:val="nil"/>
              <w:left w:val="nil"/>
              <w:bottom w:val="single" w:sz="8" w:space="0" w:color="4F81BD"/>
              <w:right w:val="single" w:sz="4" w:space="0" w:color="auto"/>
            </w:tcBorders>
            <w:shd w:val="clear" w:color="000000" w:fill="B0ABA1"/>
            <w:noWrap/>
            <w:vAlign w:val="center"/>
            <w:hideMark/>
          </w:tcPr>
          <w:p w14:paraId="0DDC45FF" w14:textId="0C14BB5F" w:rsidR="006E08C5" w:rsidRPr="006E08C5" w:rsidRDefault="006E08C5" w:rsidP="002F131C">
            <w:pPr>
              <w:jc w:val="right"/>
              <w:rPr>
                <w:rFonts w:ascii="Montserrat Medium" w:eastAsia="Times New Roman" w:hAnsi="Montserrat Medium" w:cs="Arial"/>
                <w:color w:val="000000"/>
                <w:sz w:val="14"/>
                <w:szCs w:val="14"/>
                <w:highlight w:val="yellow"/>
                <w:lang w:eastAsia="es-MX"/>
              </w:rPr>
            </w:pPr>
            <w:r w:rsidRPr="006E08C5">
              <w:rPr>
                <w:rFonts w:ascii="Montserrat Medium" w:eastAsia="Times New Roman" w:hAnsi="Montserrat Medium" w:cs="Arial"/>
                <w:color w:val="000000"/>
                <w:sz w:val="14"/>
                <w:szCs w:val="14"/>
                <w:lang w:eastAsia="es-MX"/>
              </w:rPr>
              <w:t>40,776,803,740</w:t>
            </w:r>
          </w:p>
        </w:tc>
      </w:tr>
      <w:tr w:rsidR="006E08C5" w:rsidRPr="009C26EF" w14:paraId="56E64FB6" w14:textId="77777777" w:rsidTr="00D51385">
        <w:trPr>
          <w:trHeight w:val="199"/>
          <w:jc w:val="center"/>
        </w:trPr>
        <w:tc>
          <w:tcPr>
            <w:tcW w:w="3058" w:type="dxa"/>
            <w:tcBorders>
              <w:top w:val="nil"/>
              <w:left w:val="single" w:sz="4" w:space="0" w:color="auto"/>
              <w:bottom w:val="nil"/>
              <w:right w:val="nil"/>
            </w:tcBorders>
            <w:shd w:val="clear" w:color="000000" w:fill="FFFFFF"/>
            <w:vAlign w:val="center"/>
            <w:hideMark/>
          </w:tcPr>
          <w:p w14:paraId="07F89028" w14:textId="77777777" w:rsidR="006E08C5" w:rsidRPr="006E08C5" w:rsidRDefault="006E08C5" w:rsidP="002F131C">
            <w:pPr>
              <w:ind w:firstLineChars="200" w:firstLine="240"/>
              <w:rPr>
                <w:rFonts w:ascii="Montserrat Medium" w:eastAsia="Times New Roman" w:hAnsi="Montserrat Medium" w:cs="Arial"/>
                <w:sz w:val="12"/>
                <w:szCs w:val="12"/>
                <w:lang w:eastAsia="es-MX"/>
              </w:rPr>
            </w:pPr>
            <w:r w:rsidRPr="006E08C5">
              <w:rPr>
                <w:rFonts w:ascii="Montserrat Medium" w:eastAsia="Times New Roman" w:hAnsi="Montserrat Medium" w:cs="Arial"/>
                <w:sz w:val="12"/>
                <w:szCs w:val="12"/>
                <w:lang w:eastAsia="es-MX"/>
              </w:rPr>
              <w:t>A.    Impuestos</w:t>
            </w:r>
          </w:p>
        </w:tc>
        <w:tc>
          <w:tcPr>
            <w:tcW w:w="1170" w:type="dxa"/>
            <w:tcBorders>
              <w:top w:val="nil"/>
              <w:left w:val="nil"/>
              <w:bottom w:val="nil"/>
              <w:right w:val="nil"/>
            </w:tcBorders>
            <w:shd w:val="clear" w:color="000000" w:fill="FFFFFF"/>
            <w:noWrap/>
            <w:vAlign w:val="center"/>
            <w:hideMark/>
          </w:tcPr>
          <w:p w14:paraId="65BF13FD" w14:textId="450A47B8"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9,578,187,995</w:t>
            </w:r>
          </w:p>
        </w:tc>
        <w:tc>
          <w:tcPr>
            <w:tcW w:w="1149" w:type="dxa"/>
            <w:tcBorders>
              <w:top w:val="nil"/>
              <w:left w:val="nil"/>
              <w:bottom w:val="nil"/>
              <w:right w:val="nil"/>
            </w:tcBorders>
            <w:shd w:val="clear" w:color="000000" w:fill="FFFFFF"/>
            <w:noWrap/>
            <w:vAlign w:val="center"/>
            <w:hideMark/>
          </w:tcPr>
          <w:p w14:paraId="6E6EB95C" w14:textId="3A80E718"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9,894,268,199</w:t>
            </w:r>
          </w:p>
        </w:tc>
        <w:tc>
          <w:tcPr>
            <w:tcW w:w="1141" w:type="dxa"/>
            <w:tcBorders>
              <w:top w:val="nil"/>
              <w:left w:val="nil"/>
              <w:bottom w:val="nil"/>
              <w:right w:val="nil"/>
            </w:tcBorders>
            <w:shd w:val="clear" w:color="000000" w:fill="FFFFFF"/>
            <w:noWrap/>
            <w:vAlign w:val="center"/>
            <w:hideMark/>
          </w:tcPr>
          <w:p w14:paraId="28C9E034" w14:textId="555A7684"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10,220,779,050</w:t>
            </w:r>
          </w:p>
        </w:tc>
        <w:tc>
          <w:tcPr>
            <w:tcW w:w="1156" w:type="dxa"/>
            <w:tcBorders>
              <w:top w:val="nil"/>
              <w:left w:val="nil"/>
              <w:bottom w:val="nil"/>
              <w:right w:val="nil"/>
            </w:tcBorders>
            <w:shd w:val="clear" w:color="000000" w:fill="FFFFFF"/>
            <w:noWrap/>
            <w:vAlign w:val="center"/>
            <w:hideMark/>
          </w:tcPr>
          <w:p w14:paraId="63AB0660" w14:textId="24CB6386"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10,558,064,759</w:t>
            </w:r>
          </w:p>
        </w:tc>
        <w:tc>
          <w:tcPr>
            <w:tcW w:w="1187" w:type="dxa"/>
            <w:tcBorders>
              <w:top w:val="nil"/>
              <w:left w:val="nil"/>
              <w:bottom w:val="nil"/>
              <w:right w:val="nil"/>
            </w:tcBorders>
            <w:shd w:val="clear" w:color="000000" w:fill="FFFFFF"/>
            <w:noWrap/>
            <w:vAlign w:val="center"/>
            <w:hideMark/>
          </w:tcPr>
          <w:p w14:paraId="332088C3" w14:textId="3FB4CDB3"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10,906,480,896</w:t>
            </w:r>
          </w:p>
        </w:tc>
        <w:tc>
          <w:tcPr>
            <w:tcW w:w="1224" w:type="dxa"/>
            <w:tcBorders>
              <w:top w:val="nil"/>
              <w:left w:val="nil"/>
              <w:bottom w:val="nil"/>
              <w:right w:val="single" w:sz="4" w:space="0" w:color="auto"/>
            </w:tcBorders>
            <w:shd w:val="clear" w:color="000000" w:fill="FFFFFF"/>
            <w:noWrap/>
            <w:vAlign w:val="center"/>
            <w:hideMark/>
          </w:tcPr>
          <w:p w14:paraId="022B6C4C" w14:textId="4E7C122F"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11,266,394,766</w:t>
            </w:r>
          </w:p>
        </w:tc>
      </w:tr>
      <w:tr w:rsidR="006E08C5" w:rsidRPr="009C26EF" w14:paraId="4C7FEFFB" w14:textId="77777777" w:rsidTr="00D51385">
        <w:trPr>
          <w:trHeight w:val="199"/>
          <w:jc w:val="center"/>
        </w:trPr>
        <w:tc>
          <w:tcPr>
            <w:tcW w:w="3058" w:type="dxa"/>
            <w:tcBorders>
              <w:top w:val="nil"/>
              <w:left w:val="single" w:sz="4" w:space="0" w:color="auto"/>
              <w:bottom w:val="nil"/>
              <w:right w:val="nil"/>
            </w:tcBorders>
            <w:shd w:val="clear" w:color="000000" w:fill="FFFFFF"/>
            <w:vAlign w:val="center"/>
            <w:hideMark/>
          </w:tcPr>
          <w:p w14:paraId="5C8CEA7C" w14:textId="77777777" w:rsidR="006E08C5" w:rsidRPr="006E08C5" w:rsidRDefault="006E08C5" w:rsidP="002F131C">
            <w:pPr>
              <w:ind w:firstLineChars="200" w:firstLine="240"/>
              <w:rPr>
                <w:rFonts w:ascii="Montserrat Medium" w:eastAsia="Times New Roman" w:hAnsi="Montserrat Medium" w:cs="Arial"/>
                <w:sz w:val="12"/>
                <w:szCs w:val="12"/>
                <w:lang w:eastAsia="es-MX"/>
              </w:rPr>
            </w:pPr>
            <w:r w:rsidRPr="006E08C5">
              <w:rPr>
                <w:rFonts w:ascii="Montserrat Medium" w:eastAsia="Times New Roman" w:hAnsi="Montserrat Medium" w:cs="Arial"/>
                <w:sz w:val="12"/>
                <w:szCs w:val="12"/>
                <w:lang w:eastAsia="es-MX"/>
              </w:rPr>
              <w:t>B.    Cuotas y Aportaciones de Seguridad Social</w:t>
            </w:r>
          </w:p>
        </w:tc>
        <w:tc>
          <w:tcPr>
            <w:tcW w:w="1170" w:type="dxa"/>
            <w:tcBorders>
              <w:top w:val="nil"/>
              <w:left w:val="nil"/>
              <w:bottom w:val="nil"/>
              <w:right w:val="nil"/>
            </w:tcBorders>
            <w:shd w:val="clear" w:color="000000" w:fill="FFFFFF"/>
            <w:noWrap/>
            <w:vAlign w:val="center"/>
            <w:hideMark/>
          </w:tcPr>
          <w:p w14:paraId="250C8113" w14:textId="0C0717E8"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49" w:type="dxa"/>
            <w:tcBorders>
              <w:top w:val="nil"/>
              <w:left w:val="nil"/>
              <w:bottom w:val="nil"/>
              <w:right w:val="nil"/>
            </w:tcBorders>
            <w:shd w:val="clear" w:color="000000" w:fill="FFFFFF"/>
            <w:noWrap/>
            <w:vAlign w:val="center"/>
            <w:hideMark/>
          </w:tcPr>
          <w:p w14:paraId="6BC06A33" w14:textId="5F981763"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41" w:type="dxa"/>
            <w:tcBorders>
              <w:top w:val="nil"/>
              <w:left w:val="nil"/>
              <w:bottom w:val="nil"/>
              <w:right w:val="nil"/>
            </w:tcBorders>
            <w:shd w:val="clear" w:color="000000" w:fill="FFFFFF"/>
            <w:noWrap/>
            <w:vAlign w:val="center"/>
            <w:hideMark/>
          </w:tcPr>
          <w:p w14:paraId="4FB71E7D" w14:textId="11120D14"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56" w:type="dxa"/>
            <w:tcBorders>
              <w:top w:val="nil"/>
              <w:left w:val="nil"/>
              <w:bottom w:val="nil"/>
              <w:right w:val="nil"/>
            </w:tcBorders>
            <w:shd w:val="clear" w:color="000000" w:fill="FFFFFF"/>
            <w:noWrap/>
            <w:vAlign w:val="center"/>
            <w:hideMark/>
          </w:tcPr>
          <w:p w14:paraId="3F1973E8" w14:textId="34CB8A24"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87" w:type="dxa"/>
            <w:tcBorders>
              <w:top w:val="nil"/>
              <w:left w:val="nil"/>
              <w:bottom w:val="nil"/>
              <w:right w:val="nil"/>
            </w:tcBorders>
            <w:shd w:val="clear" w:color="000000" w:fill="FFFFFF"/>
            <w:noWrap/>
            <w:vAlign w:val="center"/>
            <w:hideMark/>
          </w:tcPr>
          <w:p w14:paraId="4E806498" w14:textId="5373F787"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224" w:type="dxa"/>
            <w:tcBorders>
              <w:top w:val="nil"/>
              <w:left w:val="nil"/>
              <w:bottom w:val="nil"/>
              <w:right w:val="single" w:sz="4" w:space="0" w:color="auto"/>
            </w:tcBorders>
            <w:shd w:val="clear" w:color="000000" w:fill="FFFFFF"/>
            <w:noWrap/>
            <w:vAlign w:val="center"/>
            <w:hideMark/>
          </w:tcPr>
          <w:p w14:paraId="2EA008D7" w14:textId="4BB56139"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r>
      <w:tr w:rsidR="006E08C5" w:rsidRPr="009C26EF" w14:paraId="16E262EB" w14:textId="77777777" w:rsidTr="00D51385">
        <w:trPr>
          <w:trHeight w:val="199"/>
          <w:jc w:val="center"/>
        </w:trPr>
        <w:tc>
          <w:tcPr>
            <w:tcW w:w="3058" w:type="dxa"/>
            <w:tcBorders>
              <w:top w:val="nil"/>
              <w:left w:val="single" w:sz="4" w:space="0" w:color="auto"/>
              <w:bottom w:val="nil"/>
              <w:right w:val="nil"/>
            </w:tcBorders>
            <w:shd w:val="clear" w:color="000000" w:fill="FFFFFF"/>
            <w:vAlign w:val="center"/>
            <w:hideMark/>
          </w:tcPr>
          <w:p w14:paraId="63263BC9" w14:textId="77777777" w:rsidR="006E08C5" w:rsidRPr="006E08C5" w:rsidRDefault="006E08C5" w:rsidP="002F131C">
            <w:pPr>
              <w:ind w:firstLineChars="200" w:firstLine="240"/>
              <w:rPr>
                <w:rFonts w:ascii="Montserrat Medium" w:eastAsia="Times New Roman" w:hAnsi="Montserrat Medium" w:cs="Arial"/>
                <w:sz w:val="12"/>
                <w:szCs w:val="12"/>
                <w:lang w:eastAsia="es-MX"/>
              </w:rPr>
            </w:pPr>
            <w:r w:rsidRPr="006E08C5">
              <w:rPr>
                <w:rFonts w:ascii="Montserrat Medium" w:eastAsia="Times New Roman" w:hAnsi="Montserrat Medium" w:cs="Arial"/>
                <w:sz w:val="12"/>
                <w:szCs w:val="12"/>
                <w:lang w:eastAsia="es-MX"/>
              </w:rPr>
              <w:t>C.    Contribuciones de Mejoras</w:t>
            </w:r>
          </w:p>
        </w:tc>
        <w:tc>
          <w:tcPr>
            <w:tcW w:w="1170" w:type="dxa"/>
            <w:tcBorders>
              <w:top w:val="nil"/>
              <w:left w:val="nil"/>
              <w:bottom w:val="nil"/>
              <w:right w:val="nil"/>
            </w:tcBorders>
            <w:shd w:val="clear" w:color="000000" w:fill="FFFFFF"/>
            <w:noWrap/>
            <w:vAlign w:val="center"/>
            <w:hideMark/>
          </w:tcPr>
          <w:p w14:paraId="4CD0726C" w14:textId="560A9D72"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49" w:type="dxa"/>
            <w:tcBorders>
              <w:top w:val="nil"/>
              <w:left w:val="nil"/>
              <w:bottom w:val="nil"/>
              <w:right w:val="nil"/>
            </w:tcBorders>
            <w:shd w:val="clear" w:color="000000" w:fill="FFFFFF"/>
            <w:noWrap/>
            <w:vAlign w:val="center"/>
            <w:hideMark/>
          </w:tcPr>
          <w:p w14:paraId="73C2825B" w14:textId="70BC841B"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41" w:type="dxa"/>
            <w:tcBorders>
              <w:top w:val="nil"/>
              <w:left w:val="nil"/>
              <w:bottom w:val="nil"/>
              <w:right w:val="nil"/>
            </w:tcBorders>
            <w:shd w:val="clear" w:color="000000" w:fill="FFFFFF"/>
            <w:noWrap/>
            <w:vAlign w:val="center"/>
            <w:hideMark/>
          </w:tcPr>
          <w:p w14:paraId="080FD732" w14:textId="2430D3D7"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56" w:type="dxa"/>
            <w:tcBorders>
              <w:top w:val="nil"/>
              <w:left w:val="nil"/>
              <w:bottom w:val="nil"/>
              <w:right w:val="nil"/>
            </w:tcBorders>
            <w:shd w:val="clear" w:color="000000" w:fill="FFFFFF"/>
            <w:noWrap/>
            <w:vAlign w:val="center"/>
            <w:hideMark/>
          </w:tcPr>
          <w:p w14:paraId="62BF4FA3" w14:textId="0C13A608"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87" w:type="dxa"/>
            <w:tcBorders>
              <w:top w:val="nil"/>
              <w:left w:val="nil"/>
              <w:bottom w:val="nil"/>
              <w:right w:val="nil"/>
            </w:tcBorders>
            <w:shd w:val="clear" w:color="000000" w:fill="FFFFFF"/>
            <w:noWrap/>
            <w:vAlign w:val="center"/>
            <w:hideMark/>
          </w:tcPr>
          <w:p w14:paraId="605EFC13" w14:textId="57F3C061"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224" w:type="dxa"/>
            <w:tcBorders>
              <w:top w:val="nil"/>
              <w:left w:val="nil"/>
              <w:bottom w:val="nil"/>
              <w:right w:val="single" w:sz="4" w:space="0" w:color="auto"/>
            </w:tcBorders>
            <w:shd w:val="clear" w:color="000000" w:fill="FFFFFF"/>
            <w:noWrap/>
            <w:vAlign w:val="center"/>
            <w:hideMark/>
          </w:tcPr>
          <w:p w14:paraId="36F95944" w14:textId="4A7A098C"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r>
      <w:tr w:rsidR="006E08C5" w:rsidRPr="009C26EF" w14:paraId="27AD87BF" w14:textId="77777777" w:rsidTr="00D51385">
        <w:trPr>
          <w:trHeight w:val="199"/>
          <w:jc w:val="center"/>
        </w:trPr>
        <w:tc>
          <w:tcPr>
            <w:tcW w:w="3058" w:type="dxa"/>
            <w:tcBorders>
              <w:top w:val="nil"/>
              <w:left w:val="single" w:sz="4" w:space="0" w:color="auto"/>
              <w:right w:val="nil"/>
            </w:tcBorders>
            <w:shd w:val="clear" w:color="000000" w:fill="FFFFFF"/>
            <w:vAlign w:val="center"/>
            <w:hideMark/>
          </w:tcPr>
          <w:p w14:paraId="05F9835A" w14:textId="77777777" w:rsidR="006E08C5" w:rsidRPr="006E08C5" w:rsidRDefault="006E08C5" w:rsidP="002F131C">
            <w:pPr>
              <w:ind w:firstLineChars="200" w:firstLine="240"/>
              <w:rPr>
                <w:rFonts w:ascii="Montserrat Medium" w:eastAsia="Times New Roman" w:hAnsi="Montserrat Medium" w:cs="Arial"/>
                <w:sz w:val="12"/>
                <w:szCs w:val="12"/>
                <w:lang w:eastAsia="es-MX"/>
              </w:rPr>
            </w:pPr>
            <w:r w:rsidRPr="006E08C5">
              <w:rPr>
                <w:rFonts w:ascii="Montserrat Medium" w:eastAsia="Times New Roman" w:hAnsi="Montserrat Medium" w:cs="Arial"/>
                <w:sz w:val="12"/>
                <w:szCs w:val="12"/>
                <w:lang w:eastAsia="es-MX"/>
              </w:rPr>
              <w:t>D.    Derechos</w:t>
            </w:r>
          </w:p>
        </w:tc>
        <w:tc>
          <w:tcPr>
            <w:tcW w:w="1170" w:type="dxa"/>
            <w:tcBorders>
              <w:top w:val="nil"/>
              <w:left w:val="nil"/>
              <w:right w:val="nil"/>
            </w:tcBorders>
            <w:shd w:val="clear" w:color="000000" w:fill="FFFFFF"/>
            <w:noWrap/>
            <w:vAlign w:val="center"/>
            <w:hideMark/>
          </w:tcPr>
          <w:p w14:paraId="5030CD17" w14:textId="43E72AA4"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3,710,432,663</w:t>
            </w:r>
          </w:p>
        </w:tc>
        <w:tc>
          <w:tcPr>
            <w:tcW w:w="1149" w:type="dxa"/>
            <w:tcBorders>
              <w:top w:val="nil"/>
              <w:left w:val="nil"/>
              <w:right w:val="nil"/>
            </w:tcBorders>
            <w:shd w:val="clear" w:color="000000" w:fill="FFFFFF"/>
            <w:noWrap/>
            <w:vAlign w:val="center"/>
            <w:hideMark/>
          </w:tcPr>
          <w:p w14:paraId="7B38CA70" w14:textId="56BE8988"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4,232,876,941</w:t>
            </w:r>
          </w:p>
        </w:tc>
        <w:tc>
          <w:tcPr>
            <w:tcW w:w="1141" w:type="dxa"/>
            <w:tcBorders>
              <w:top w:val="nil"/>
              <w:left w:val="nil"/>
              <w:right w:val="nil"/>
            </w:tcBorders>
            <w:shd w:val="clear" w:color="000000" w:fill="FFFFFF"/>
            <w:noWrap/>
            <w:vAlign w:val="center"/>
            <w:hideMark/>
          </w:tcPr>
          <w:p w14:paraId="4CBB17C8" w14:textId="6671F6F9"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3,959,361,880</w:t>
            </w:r>
          </w:p>
        </w:tc>
        <w:tc>
          <w:tcPr>
            <w:tcW w:w="1156" w:type="dxa"/>
            <w:tcBorders>
              <w:top w:val="nil"/>
              <w:left w:val="nil"/>
              <w:right w:val="nil"/>
            </w:tcBorders>
            <w:shd w:val="clear" w:color="000000" w:fill="FFFFFF"/>
            <w:noWrap/>
            <w:vAlign w:val="center"/>
            <w:hideMark/>
          </w:tcPr>
          <w:p w14:paraId="408C3F7A" w14:textId="0F2C092B"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4,090,020,822</w:t>
            </w:r>
          </w:p>
        </w:tc>
        <w:tc>
          <w:tcPr>
            <w:tcW w:w="1187" w:type="dxa"/>
            <w:tcBorders>
              <w:top w:val="nil"/>
              <w:left w:val="nil"/>
              <w:right w:val="nil"/>
            </w:tcBorders>
            <w:shd w:val="clear" w:color="000000" w:fill="FFFFFF"/>
            <w:noWrap/>
            <w:vAlign w:val="center"/>
            <w:hideMark/>
          </w:tcPr>
          <w:p w14:paraId="5F6C13C5" w14:textId="69FD86CC"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4,624,991,509</w:t>
            </w:r>
          </w:p>
        </w:tc>
        <w:tc>
          <w:tcPr>
            <w:tcW w:w="1224" w:type="dxa"/>
            <w:tcBorders>
              <w:top w:val="nil"/>
              <w:left w:val="nil"/>
              <w:right w:val="single" w:sz="4" w:space="0" w:color="auto"/>
            </w:tcBorders>
            <w:shd w:val="clear" w:color="000000" w:fill="FFFFFF"/>
            <w:noWrap/>
            <w:vAlign w:val="center"/>
            <w:hideMark/>
          </w:tcPr>
          <w:p w14:paraId="503F4E59" w14:textId="4D8146A9"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4,364,416,229</w:t>
            </w:r>
          </w:p>
        </w:tc>
      </w:tr>
      <w:tr w:rsidR="006E08C5" w:rsidRPr="009C26EF" w14:paraId="444C1FDA" w14:textId="77777777" w:rsidTr="00D51385">
        <w:trPr>
          <w:trHeight w:val="199"/>
          <w:jc w:val="center"/>
        </w:trPr>
        <w:tc>
          <w:tcPr>
            <w:tcW w:w="3058" w:type="dxa"/>
            <w:tcBorders>
              <w:top w:val="nil"/>
              <w:left w:val="single" w:sz="4" w:space="0" w:color="auto"/>
              <w:right w:val="nil"/>
            </w:tcBorders>
            <w:shd w:val="clear" w:color="000000" w:fill="FFFFFF"/>
            <w:vAlign w:val="center"/>
            <w:hideMark/>
          </w:tcPr>
          <w:p w14:paraId="473D74F1" w14:textId="77777777" w:rsidR="006E08C5" w:rsidRPr="006E08C5" w:rsidRDefault="006E08C5" w:rsidP="002F131C">
            <w:pPr>
              <w:ind w:firstLineChars="200" w:firstLine="240"/>
              <w:rPr>
                <w:rFonts w:ascii="Montserrat Medium" w:eastAsia="Times New Roman" w:hAnsi="Montserrat Medium" w:cs="Arial"/>
                <w:sz w:val="12"/>
                <w:szCs w:val="12"/>
                <w:lang w:eastAsia="es-MX"/>
              </w:rPr>
            </w:pPr>
            <w:r w:rsidRPr="006E08C5">
              <w:rPr>
                <w:rFonts w:ascii="Montserrat Medium" w:eastAsia="Times New Roman" w:hAnsi="Montserrat Medium" w:cs="Arial"/>
                <w:sz w:val="12"/>
                <w:szCs w:val="12"/>
                <w:lang w:eastAsia="es-MX"/>
              </w:rPr>
              <w:t>E.    Productos</w:t>
            </w:r>
          </w:p>
        </w:tc>
        <w:tc>
          <w:tcPr>
            <w:tcW w:w="1170" w:type="dxa"/>
            <w:tcBorders>
              <w:top w:val="nil"/>
              <w:left w:val="nil"/>
              <w:right w:val="nil"/>
            </w:tcBorders>
            <w:shd w:val="clear" w:color="000000" w:fill="FFFFFF"/>
            <w:noWrap/>
            <w:vAlign w:val="center"/>
            <w:hideMark/>
          </w:tcPr>
          <w:p w14:paraId="1BBC1121" w14:textId="270407A7"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427,724,041</w:t>
            </w:r>
          </w:p>
        </w:tc>
        <w:tc>
          <w:tcPr>
            <w:tcW w:w="1149" w:type="dxa"/>
            <w:tcBorders>
              <w:top w:val="nil"/>
              <w:left w:val="nil"/>
              <w:right w:val="nil"/>
            </w:tcBorders>
            <w:shd w:val="clear" w:color="000000" w:fill="FFFFFF"/>
            <w:noWrap/>
            <w:vAlign w:val="center"/>
            <w:hideMark/>
          </w:tcPr>
          <w:p w14:paraId="18E9CEB8" w14:textId="6943C53E"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441,838,934</w:t>
            </w:r>
          </w:p>
        </w:tc>
        <w:tc>
          <w:tcPr>
            <w:tcW w:w="1141" w:type="dxa"/>
            <w:tcBorders>
              <w:top w:val="nil"/>
              <w:left w:val="nil"/>
              <w:right w:val="nil"/>
            </w:tcBorders>
            <w:shd w:val="clear" w:color="000000" w:fill="FFFFFF"/>
            <w:noWrap/>
            <w:vAlign w:val="center"/>
            <w:hideMark/>
          </w:tcPr>
          <w:p w14:paraId="5CAC375E" w14:textId="6B237D65"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456,419,619</w:t>
            </w:r>
          </w:p>
        </w:tc>
        <w:tc>
          <w:tcPr>
            <w:tcW w:w="1156" w:type="dxa"/>
            <w:tcBorders>
              <w:top w:val="nil"/>
              <w:left w:val="nil"/>
              <w:right w:val="nil"/>
            </w:tcBorders>
            <w:shd w:val="clear" w:color="000000" w:fill="FFFFFF"/>
            <w:noWrap/>
            <w:vAlign w:val="center"/>
            <w:hideMark/>
          </w:tcPr>
          <w:p w14:paraId="55D4F8C6" w14:textId="3471BAC5"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471,481,466</w:t>
            </w:r>
          </w:p>
        </w:tc>
        <w:tc>
          <w:tcPr>
            <w:tcW w:w="1187" w:type="dxa"/>
            <w:tcBorders>
              <w:top w:val="nil"/>
              <w:left w:val="nil"/>
              <w:right w:val="nil"/>
            </w:tcBorders>
            <w:shd w:val="clear" w:color="000000" w:fill="FFFFFF"/>
            <w:noWrap/>
            <w:vAlign w:val="center"/>
            <w:hideMark/>
          </w:tcPr>
          <w:p w14:paraId="6658A5C9" w14:textId="2C0A2209"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487,040,354</w:t>
            </w:r>
          </w:p>
        </w:tc>
        <w:tc>
          <w:tcPr>
            <w:tcW w:w="1224" w:type="dxa"/>
            <w:tcBorders>
              <w:top w:val="nil"/>
              <w:left w:val="nil"/>
              <w:right w:val="single" w:sz="4" w:space="0" w:color="auto"/>
            </w:tcBorders>
            <w:shd w:val="clear" w:color="000000" w:fill="FFFFFF"/>
            <w:noWrap/>
            <w:vAlign w:val="center"/>
            <w:hideMark/>
          </w:tcPr>
          <w:p w14:paraId="71DCF266" w14:textId="73A44D57"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503,112,686</w:t>
            </w:r>
          </w:p>
        </w:tc>
      </w:tr>
      <w:tr w:rsidR="006E08C5" w:rsidRPr="009C26EF" w14:paraId="572C335E" w14:textId="77777777" w:rsidTr="00D51385">
        <w:trPr>
          <w:trHeight w:val="199"/>
          <w:jc w:val="center"/>
        </w:trPr>
        <w:tc>
          <w:tcPr>
            <w:tcW w:w="3058" w:type="dxa"/>
            <w:tcBorders>
              <w:left w:val="single" w:sz="4" w:space="0" w:color="auto"/>
              <w:bottom w:val="nil"/>
              <w:right w:val="nil"/>
            </w:tcBorders>
            <w:shd w:val="clear" w:color="000000" w:fill="FFFFFF"/>
            <w:vAlign w:val="center"/>
            <w:hideMark/>
          </w:tcPr>
          <w:p w14:paraId="376EBE25" w14:textId="77777777" w:rsidR="006E08C5" w:rsidRPr="006E08C5" w:rsidRDefault="006E08C5" w:rsidP="002F131C">
            <w:pPr>
              <w:ind w:firstLineChars="200" w:firstLine="240"/>
              <w:rPr>
                <w:rFonts w:ascii="Montserrat Medium" w:eastAsia="Times New Roman" w:hAnsi="Montserrat Medium" w:cs="Arial"/>
                <w:sz w:val="12"/>
                <w:szCs w:val="12"/>
                <w:lang w:eastAsia="es-MX"/>
              </w:rPr>
            </w:pPr>
            <w:r w:rsidRPr="006E08C5">
              <w:rPr>
                <w:rFonts w:ascii="Montserrat Medium" w:eastAsia="Times New Roman" w:hAnsi="Montserrat Medium" w:cs="Arial"/>
                <w:sz w:val="12"/>
                <w:szCs w:val="12"/>
                <w:lang w:eastAsia="es-MX"/>
              </w:rPr>
              <w:t>F.    Aprovechamientos</w:t>
            </w:r>
          </w:p>
        </w:tc>
        <w:tc>
          <w:tcPr>
            <w:tcW w:w="1170" w:type="dxa"/>
            <w:tcBorders>
              <w:left w:val="nil"/>
              <w:bottom w:val="nil"/>
              <w:right w:val="nil"/>
            </w:tcBorders>
            <w:shd w:val="clear" w:color="000000" w:fill="FFFFFF"/>
            <w:noWrap/>
            <w:vAlign w:val="center"/>
            <w:hideMark/>
          </w:tcPr>
          <w:p w14:paraId="2E816404" w14:textId="58A06142"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361,385,248</w:t>
            </w:r>
          </w:p>
        </w:tc>
        <w:tc>
          <w:tcPr>
            <w:tcW w:w="1149" w:type="dxa"/>
            <w:tcBorders>
              <w:left w:val="nil"/>
              <w:bottom w:val="nil"/>
              <w:right w:val="nil"/>
            </w:tcBorders>
            <w:shd w:val="clear" w:color="000000" w:fill="FFFFFF"/>
            <w:noWrap/>
            <w:vAlign w:val="center"/>
            <w:hideMark/>
          </w:tcPr>
          <w:p w14:paraId="34E6A760" w14:textId="31700542"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373,310,961</w:t>
            </w:r>
          </w:p>
        </w:tc>
        <w:tc>
          <w:tcPr>
            <w:tcW w:w="1141" w:type="dxa"/>
            <w:tcBorders>
              <w:left w:val="nil"/>
              <w:bottom w:val="nil"/>
              <w:right w:val="nil"/>
            </w:tcBorders>
            <w:shd w:val="clear" w:color="000000" w:fill="FFFFFF"/>
            <w:noWrap/>
            <w:vAlign w:val="center"/>
            <w:hideMark/>
          </w:tcPr>
          <w:p w14:paraId="0FAFD104" w14:textId="10500E8D"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385,630,223</w:t>
            </w:r>
          </w:p>
        </w:tc>
        <w:tc>
          <w:tcPr>
            <w:tcW w:w="1156" w:type="dxa"/>
            <w:tcBorders>
              <w:left w:val="nil"/>
              <w:bottom w:val="nil"/>
              <w:right w:val="nil"/>
            </w:tcBorders>
            <w:shd w:val="clear" w:color="000000" w:fill="FFFFFF"/>
            <w:noWrap/>
            <w:vAlign w:val="center"/>
            <w:hideMark/>
          </w:tcPr>
          <w:p w14:paraId="66F23056" w14:textId="59598CD5"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398,356,020</w:t>
            </w:r>
          </w:p>
        </w:tc>
        <w:tc>
          <w:tcPr>
            <w:tcW w:w="1187" w:type="dxa"/>
            <w:tcBorders>
              <w:left w:val="nil"/>
              <w:bottom w:val="nil"/>
              <w:right w:val="nil"/>
            </w:tcBorders>
            <w:shd w:val="clear" w:color="000000" w:fill="FFFFFF"/>
            <w:noWrap/>
            <w:vAlign w:val="center"/>
            <w:hideMark/>
          </w:tcPr>
          <w:p w14:paraId="743541AF" w14:textId="5A2751A6"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411,501,769</w:t>
            </w:r>
          </w:p>
        </w:tc>
        <w:tc>
          <w:tcPr>
            <w:tcW w:w="1224" w:type="dxa"/>
            <w:tcBorders>
              <w:left w:val="nil"/>
              <w:bottom w:val="nil"/>
              <w:right w:val="single" w:sz="4" w:space="0" w:color="auto"/>
            </w:tcBorders>
            <w:shd w:val="clear" w:color="000000" w:fill="FFFFFF"/>
            <w:noWrap/>
            <w:vAlign w:val="center"/>
            <w:hideMark/>
          </w:tcPr>
          <w:p w14:paraId="3A25CCBD" w14:textId="51A0F602"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425,081,327</w:t>
            </w:r>
          </w:p>
        </w:tc>
      </w:tr>
      <w:tr w:rsidR="006E08C5" w:rsidRPr="009C26EF" w14:paraId="7C3B39EF" w14:textId="77777777" w:rsidTr="00D51385">
        <w:trPr>
          <w:trHeight w:val="199"/>
          <w:jc w:val="center"/>
        </w:trPr>
        <w:tc>
          <w:tcPr>
            <w:tcW w:w="3058" w:type="dxa"/>
            <w:tcBorders>
              <w:top w:val="nil"/>
              <w:left w:val="single" w:sz="4" w:space="0" w:color="auto"/>
              <w:right w:val="nil"/>
            </w:tcBorders>
            <w:shd w:val="clear" w:color="000000" w:fill="FFFFFF"/>
            <w:vAlign w:val="center"/>
            <w:hideMark/>
          </w:tcPr>
          <w:p w14:paraId="55BB8CA4" w14:textId="77777777" w:rsidR="006E08C5" w:rsidRPr="006E08C5" w:rsidRDefault="006E08C5" w:rsidP="002F131C">
            <w:pPr>
              <w:ind w:firstLineChars="200" w:firstLine="240"/>
              <w:rPr>
                <w:rFonts w:ascii="Montserrat Medium" w:eastAsia="Times New Roman" w:hAnsi="Montserrat Medium" w:cs="Arial"/>
                <w:sz w:val="12"/>
                <w:szCs w:val="12"/>
                <w:lang w:eastAsia="es-MX"/>
              </w:rPr>
            </w:pPr>
            <w:r w:rsidRPr="006E08C5">
              <w:rPr>
                <w:rFonts w:ascii="Montserrat Medium" w:eastAsia="Times New Roman" w:hAnsi="Montserrat Medium" w:cs="Arial"/>
                <w:sz w:val="12"/>
                <w:szCs w:val="12"/>
                <w:lang w:eastAsia="es-MX"/>
              </w:rPr>
              <w:t>G.    Ingresos por Venta de Bienes y Prestación de Servicios</w:t>
            </w:r>
          </w:p>
        </w:tc>
        <w:tc>
          <w:tcPr>
            <w:tcW w:w="1170" w:type="dxa"/>
            <w:tcBorders>
              <w:top w:val="nil"/>
              <w:left w:val="nil"/>
              <w:right w:val="nil"/>
            </w:tcBorders>
            <w:shd w:val="clear" w:color="000000" w:fill="FFFFFF"/>
            <w:noWrap/>
            <w:vAlign w:val="center"/>
            <w:hideMark/>
          </w:tcPr>
          <w:p w14:paraId="170F5436" w14:textId="5941C3B5"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49" w:type="dxa"/>
            <w:tcBorders>
              <w:top w:val="nil"/>
              <w:left w:val="nil"/>
              <w:right w:val="nil"/>
            </w:tcBorders>
            <w:shd w:val="clear" w:color="000000" w:fill="FFFFFF"/>
            <w:noWrap/>
            <w:vAlign w:val="center"/>
            <w:hideMark/>
          </w:tcPr>
          <w:p w14:paraId="421E4CEC" w14:textId="0AB5F52A"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41" w:type="dxa"/>
            <w:tcBorders>
              <w:top w:val="nil"/>
              <w:left w:val="nil"/>
              <w:right w:val="nil"/>
            </w:tcBorders>
            <w:shd w:val="clear" w:color="000000" w:fill="FFFFFF"/>
            <w:noWrap/>
            <w:vAlign w:val="center"/>
            <w:hideMark/>
          </w:tcPr>
          <w:p w14:paraId="1F79C125" w14:textId="4C9E5FAD"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56" w:type="dxa"/>
            <w:tcBorders>
              <w:top w:val="nil"/>
              <w:left w:val="nil"/>
              <w:right w:val="nil"/>
            </w:tcBorders>
            <w:shd w:val="clear" w:color="000000" w:fill="FFFFFF"/>
            <w:noWrap/>
            <w:vAlign w:val="center"/>
            <w:hideMark/>
          </w:tcPr>
          <w:p w14:paraId="1CF35FE4" w14:textId="2E9E47C4"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87" w:type="dxa"/>
            <w:tcBorders>
              <w:top w:val="nil"/>
              <w:left w:val="nil"/>
              <w:right w:val="nil"/>
            </w:tcBorders>
            <w:shd w:val="clear" w:color="000000" w:fill="FFFFFF"/>
            <w:noWrap/>
            <w:vAlign w:val="center"/>
            <w:hideMark/>
          </w:tcPr>
          <w:p w14:paraId="3FB27130" w14:textId="28B78C43"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224" w:type="dxa"/>
            <w:tcBorders>
              <w:top w:val="nil"/>
              <w:left w:val="nil"/>
              <w:right w:val="single" w:sz="4" w:space="0" w:color="auto"/>
            </w:tcBorders>
            <w:shd w:val="clear" w:color="000000" w:fill="FFFFFF"/>
            <w:noWrap/>
            <w:vAlign w:val="center"/>
            <w:hideMark/>
          </w:tcPr>
          <w:p w14:paraId="3BAD2397" w14:textId="414BF4B8"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r>
      <w:tr w:rsidR="006E08C5" w:rsidRPr="009C26EF" w14:paraId="4E02D313" w14:textId="77777777" w:rsidTr="00D51385">
        <w:trPr>
          <w:trHeight w:val="199"/>
          <w:jc w:val="center"/>
        </w:trPr>
        <w:tc>
          <w:tcPr>
            <w:tcW w:w="3058" w:type="dxa"/>
            <w:tcBorders>
              <w:top w:val="nil"/>
              <w:left w:val="single" w:sz="4" w:space="0" w:color="auto"/>
              <w:right w:val="nil"/>
            </w:tcBorders>
            <w:shd w:val="clear" w:color="000000" w:fill="FFFFFF"/>
            <w:vAlign w:val="center"/>
            <w:hideMark/>
          </w:tcPr>
          <w:p w14:paraId="072A7D1D" w14:textId="77777777" w:rsidR="006E08C5" w:rsidRPr="006E08C5" w:rsidRDefault="006E08C5" w:rsidP="002F131C">
            <w:pPr>
              <w:ind w:firstLineChars="200" w:firstLine="240"/>
              <w:rPr>
                <w:rFonts w:ascii="Montserrat Medium" w:eastAsia="Times New Roman" w:hAnsi="Montserrat Medium" w:cs="Arial"/>
                <w:sz w:val="12"/>
                <w:szCs w:val="12"/>
                <w:lang w:eastAsia="es-MX"/>
              </w:rPr>
            </w:pPr>
            <w:r w:rsidRPr="006E08C5">
              <w:rPr>
                <w:rFonts w:ascii="Montserrat Medium" w:eastAsia="Times New Roman" w:hAnsi="Montserrat Medium" w:cs="Arial"/>
                <w:sz w:val="12"/>
                <w:szCs w:val="12"/>
                <w:lang w:eastAsia="es-MX"/>
              </w:rPr>
              <w:t>H.    Participaciones</w:t>
            </w:r>
          </w:p>
        </w:tc>
        <w:tc>
          <w:tcPr>
            <w:tcW w:w="1170" w:type="dxa"/>
            <w:tcBorders>
              <w:top w:val="nil"/>
              <w:left w:val="nil"/>
              <w:right w:val="nil"/>
            </w:tcBorders>
            <w:shd w:val="clear" w:color="000000" w:fill="FFFFFF"/>
            <w:noWrap/>
            <w:vAlign w:val="center"/>
            <w:hideMark/>
          </w:tcPr>
          <w:p w14:paraId="040E7B9C" w14:textId="5B4BEAC4"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18,219,975,297</w:t>
            </w:r>
          </w:p>
        </w:tc>
        <w:tc>
          <w:tcPr>
            <w:tcW w:w="1149" w:type="dxa"/>
            <w:tcBorders>
              <w:top w:val="nil"/>
              <w:left w:val="nil"/>
              <w:right w:val="nil"/>
            </w:tcBorders>
            <w:shd w:val="clear" w:color="000000" w:fill="FFFFFF"/>
            <w:noWrap/>
            <w:vAlign w:val="center"/>
            <w:hideMark/>
          </w:tcPr>
          <w:p w14:paraId="3AA8BA62" w14:textId="0D85AEB1"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18,821,234,482</w:t>
            </w:r>
          </w:p>
        </w:tc>
        <w:tc>
          <w:tcPr>
            <w:tcW w:w="1141" w:type="dxa"/>
            <w:tcBorders>
              <w:top w:val="nil"/>
              <w:left w:val="nil"/>
              <w:right w:val="nil"/>
            </w:tcBorders>
            <w:shd w:val="clear" w:color="000000" w:fill="FFFFFF"/>
            <w:noWrap/>
            <w:vAlign w:val="center"/>
            <w:hideMark/>
          </w:tcPr>
          <w:p w14:paraId="7603099B" w14:textId="6A468E3E"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19,442,335,220</w:t>
            </w:r>
          </w:p>
        </w:tc>
        <w:tc>
          <w:tcPr>
            <w:tcW w:w="1156" w:type="dxa"/>
            <w:tcBorders>
              <w:top w:val="nil"/>
              <w:left w:val="nil"/>
              <w:right w:val="nil"/>
            </w:tcBorders>
            <w:shd w:val="clear" w:color="000000" w:fill="FFFFFF"/>
            <w:noWrap/>
            <w:vAlign w:val="center"/>
            <w:hideMark/>
          </w:tcPr>
          <w:p w14:paraId="6D946E80" w14:textId="37967DFD"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20,083,932,282</w:t>
            </w:r>
          </w:p>
        </w:tc>
        <w:tc>
          <w:tcPr>
            <w:tcW w:w="1187" w:type="dxa"/>
            <w:tcBorders>
              <w:top w:val="nil"/>
              <w:left w:val="nil"/>
              <w:right w:val="nil"/>
            </w:tcBorders>
            <w:shd w:val="clear" w:color="000000" w:fill="FFFFFF"/>
            <w:noWrap/>
            <w:vAlign w:val="center"/>
            <w:hideMark/>
          </w:tcPr>
          <w:p w14:paraId="7260139E" w14:textId="08E38914"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20,746,702,047</w:t>
            </w:r>
          </w:p>
        </w:tc>
        <w:tc>
          <w:tcPr>
            <w:tcW w:w="1224" w:type="dxa"/>
            <w:tcBorders>
              <w:top w:val="nil"/>
              <w:left w:val="nil"/>
              <w:right w:val="single" w:sz="4" w:space="0" w:color="auto"/>
            </w:tcBorders>
            <w:shd w:val="clear" w:color="000000" w:fill="FFFFFF"/>
            <w:noWrap/>
            <w:vAlign w:val="center"/>
            <w:hideMark/>
          </w:tcPr>
          <w:p w14:paraId="6ADD7C9F" w14:textId="74592B92"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21,431,343,215</w:t>
            </w:r>
          </w:p>
        </w:tc>
      </w:tr>
      <w:tr w:rsidR="006E08C5" w:rsidRPr="009C26EF" w14:paraId="1D564E77" w14:textId="77777777" w:rsidTr="00D51385">
        <w:trPr>
          <w:trHeight w:val="199"/>
          <w:jc w:val="center"/>
        </w:trPr>
        <w:tc>
          <w:tcPr>
            <w:tcW w:w="3058" w:type="dxa"/>
            <w:tcBorders>
              <w:left w:val="single" w:sz="4" w:space="0" w:color="auto"/>
              <w:right w:val="nil"/>
            </w:tcBorders>
            <w:shd w:val="clear" w:color="000000" w:fill="FFFFFF"/>
            <w:vAlign w:val="center"/>
            <w:hideMark/>
          </w:tcPr>
          <w:p w14:paraId="5D686EB8" w14:textId="77777777" w:rsidR="006E08C5" w:rsidRPr="006E08C5" w:rsidRDefault="006E08C5" w:rsidP="002F131C">
            <w:pPr>
              <w:ind w:firstLineChars="200" w:firstLine="240"/>
              <w:rPr>
                <w:rFonts w:ascii="Montserrat Medium" w:eastAsia="Times New Roman" w:hAnsi="Montserrat Medium" w:cs="Arial"/>
                <w:sz w:val="12"/>
                <w:szCs w:val="12"/>
                <w:lang w:eastAsia="es-MX"/>
              </w:rPr>
            </w:pPr>
            <w:r w:rsidRPr="006E08C5">
              <w:rPr>
                <w:rFonts w:ascii="Montserrat Medium" w:eastAsia="Times New Roman" w:hAnsi="Montserrat Medium" w:cs="Arial"/>
                <w:sz w:val="12"/>
                <w:szCs w:val="12"/>
                <w:lang w:eastAsia="es-MX"/>
              </w:rPr>
              <w:t>I.     Incentivos Derivados de la Colaboración Fiscal</w:t>
            </w:r>
          </w:p>
        </w:tc>
        <w:tc>
          <w:tcPr>
            <w:tcW w:w="1170" w:type="dxa"/>
            <w:tcBorders>
              <w:left w:val="nil"/>
              <w:right w:val="nil"/>
            </w:tcBorders>
            <w:shd w:val="clear" w:color="000000" w:fill="FFFFFF"/>
            <w:noWrap/>
            <w:vAlign w:val="center"/>
            <w:hideMark/>
          </w:tcPr>
          <w:p w14:paraId="0A6C7B7D" w14:textId="63D34B58"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2,368,920,612</w:t>
            </w:r>
          </w:p>
        </w:tc>
        <w:tc>
          <w:tcPr>
            <w:tcW w:w="1149" w:type="dxa"/>
            <w:tcBorders>
              <w:left w:val="nil"/>
              <w:right w:val="nil"/>
            </w:tcBorders>
            <w:shd w:val="clear" w:color="000000" w:fill="FFFFFF"/>
            <w:noWrap/>
            <w:vAlign w:val="center"/>
            <w:hideMark/>
          </w:tcPr>
          <w:p w14:paraId="7ECA1A70" w14:textId="26CB8CE6"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2,447,094,992</w:t>
            </w:r>
          </w:p>
        </w:tc>
        <w:tc>
          <w:tcPr>
            <w:tcW w:w="1141" w:type="dxa"/>
            <w:tcBorders>
              <w:left w:val="nil"/>
              <w:right w:val="nil"/>
            </w:tcBorders>
            <w:shd w:val="clear" w:color="000000" w:fill="FFFFFF"/>
            <w:noWrap/>
            <w:vAlign w:val="center"/>
            <w:hideMark/>
          </w:tcPr>
          <w:p w14:paraId="2A652516" w14:textId="2C12EBD4"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2,527,849,127</w:t>
            </w:r>
          </w:p>
        </w:tc>
        <w:tc>
          <w:tcPr>
            <w:tcW w:w="1156" w:type="dxa"/>
            <w:tcBorders>
              <w:left w:val="nil"/>
              <w:right w:val="nil"/>
            </w:tcBorders>
            <w:shd w:val="clear" w:color="000000" w:fill="FFFFFF"/>
            <w:noWrap/>
            <w:vAlign w:val="center"/>
            <w:hideMark/>
          </w:tcPr>
          <w:p w14:paraId="054C9423" w14:textId="0075B4A4"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2,611,268,148</w:t>
            </w:r>
          </w:p>
        </w:tc>
        <w:tc>
          <w:tcPr>
            <w:tcW w:w="1187" w:type="dxa"/>
            <w:tcBorders>
              <w:left w:val="nil"/>
              <w:right w:val="nil"/>
            </w:tcBorders>
            <w:shd w:val="clear" w:color="000000" w:fill="FFFFFF"/>
            <w:noWrap/>
            <w:vAlign w:val="center"/>
            <w:hideMark/>
          </w:tcPr>
          <w:p w14:paraId="65DBBFB4" w14:textId="0E49CB93"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2,697,439,997</w:t>
            </w:r>
          </w:p>
        </w:tc>
        <w:tc>
          <w:tcPr>
            <w:tcW w:w="1224" w:type="dxa"/>
            <w:tcBorders>
              <w:left w:val="nil"/>
              <w:right w:val="single" w:sz="4" w:space="0" w:color="auto"/>
            </w:tcBorders>
            <w:shd w:val="clear" w:color="000000" w:fill="FFFFFF"/>
            <w:noWrap/>
            <w:vAlign w:val="center"/>
            <w:hideMark/>
          </w:tcPr>
          <w:p w14:paraId="3A56570D" w14:textId="4503EC3F"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2,786,455,517</w:t>
            </w:r>
          </w:p>
        </w:tc>
      </w:tr>
      <w:tr w:rsidR="006E08C5" w:rsidRPr="009C26EF" w14:paraId="5EE38715" w14:textId="77777777" w:rsidTr="00D51385">
        <w:trPr>
          <w:trHeight w:val="199"/>
          <w:jc w:val="center"/>
        </w:trPr>
        <w:tc>
          <w:tcPr>
            <w:tcW w:w="3058" w:type="dxa"/>
            <w:tcBorders>
              <w:left w:val="single" w:sz="4" w:space="0" w:color="auto"/>
              <w:bottom w:val="nil"/>
              <w:right w:val="nil"/>
            </w:tcBorders>
            <w:shd w:val="clear" w:color="000000" w:fill="FFFFFF"/>
            <w:vAlign w:val="center"/>
            <w:hideMark/>
          </w:tcPr>
          <w:p w14:paraId="130CDC50" w14:textId="77777777" w:rsidR="006E08C5" w:rsidRPr="006E08C5" w:rsidRDefault="006E08C5" w:rsidP="002F131C">
            <w:pPr>
              <w:ind w:firstLineChars="200" w:firstLine="240"/>
              <w:rPr>
                <w:rFonts w:ascii="Montserrat Medium" w:eastAsia="Times New Roman" w:hAnsi="Montserrat Medium" w:cs="Arial"/>
                <w:sz w:val="12"/>
                <w:szCs w:val="12"/>
                <w:lang w:eastAsia="es-MX"/>
              </w:rPr>
            </w:pPr>
            <w:r w:rsidRPr="006E08C5">
              <w:rPr>
                <w:rFonts w:ascii="Montserrat Medium" w:eastAsia="Times New Roman" w:hAnsi="Montserrat Medium" w:cs="Arial"/>
                <w:sz w:val="12"/>
                <w:szCs w:val="12"/>
                <w:lang w:eastAsia="es-MX"/>
              </w:rPr>
              <w:t>J.    Transferencias y Asignaciones</w:t>
            </w:r>
          </w:p>
        </w:tc>
        <w:tc>
          <w:tcPr>
            <w:tcW w:w="1170" w:type="dxa"/>
            <w:tcBorders>
              <w:left w:val="nil"/>
              <w:bottom w:val="nil"/>
              <w:right w:val="nil"/>
            </w:tcBorders>
            <w:shd w:val="clear" w:color="000000" w:fill="FFFFFF"/>
            <w:noWrap/>
            <w:vAlign w:val="center"/>
            <w:hideMark/>
          </w:tcPr>
          <w:p w14:paraId="6F6C9B90" w14:textId="6D53DF4C"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49" w:type="dxa"/>
            <w:tcBorders>
              <w:left w:val="nil"/>
              <w:bottom w:val="nil"/>
              <w:right w:val="nil"/>
            </w:tcBorders>
            <w:shd w:val="clear" w:color="000000" w:fill="FFFFFF"/>
            <w:noWrap/>
            <w:vAlign w:val="center"/>
            <w:hideMark/>
          </w:tcPr>
          <w:p w14:paraId="3498CD7D" w14:textId="32150F51"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41" w:type="dxa"/>
            <w:tcBorders>
              <w:left w:val="nil"/>
              <w:bottom w:val="nil"/>
              <w:right w:val="nil"/>
            </w:tcBorders>
            <w:shd w:val="clear" w:color="000000" w:fill="FFFFFF"/>
            <w:noWrap/>
            <w:vAlign w:val="center"/>
            <w:hideMark/>
          </w:tcPr>
          <w:p w14:paraId="650FF6B8" w14:textId="38185517"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56" w:type="dxa"/>
            <w:tcBorders>
              <w:left w:val="nil"/>
              <w:bottom w:val="nil"/>
              <w:right w:val="nil"/>
            </w:tcBorders>
            <w:shd w:val="clear" w:color="000000" w:fill="FFFFFF"/>
            <w:noWrap/>
            <w:vAlign w:val="center"/>
            <w:hideMark/>
          </w:tcPr>
          <w:p w14:paraId="3078E788" w14:textId="498DD88A"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87" w:type="dxa"/>
            <w:tcBorders>
              <w:left w:val="nil"/>
              <w:bottom w:val="nil"/>
              <w:right w:val="nil"/>
            </w:tcBorders>
            <w:shd w:val="clear" w:color="000000" w:fill="FFFFFF"/>
            <w:noWrap/>
            <w:vAlign w:val="center"/>
            <w:hideMark/>
          </w:tcPr>
          <w:p w14:paraId="29571B75" w14:textId="13DBA721"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224" w:type="dxa"/>
            <w:tcBorders>
              <w:left w:val="nil"/>
              <w:bottom w:val="nil"/>
              <w:right w:val="single" w:sz="4" w:space="0" w:color="auto"/>
            </w:tcBorders>
            <w:shd w:val="clear" w:color="000000" w:fill="FFFFFF"/>
            <w:noWrap/>
            <w:vAlign w:val="center"/>
            <w:hideMark/>
          </w:tcPr>
          <w:p w14:paraId="0DC5232F" w14:textId="6A287281"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r>
      <w:tr w:rsidR="006E08C5" w:rsidRPr="009C26EF" w14:paraId="3C35B6CB" w14:textId="77777777" w:rsidTr="00D51385">
        <w:trPr>
          <w:trHeight w:val="199"/>
          <w:jc w:val="center"/>
        </w:trPr>
        <w:tc>
          <w:tcPr>
            <w:tcW w:w="3058" w:type="dxa"/>
            <w:tcBorders>
              <w:top w:val="nil"/>
              <w:left w:val="single" w:sz="4" w:space="0" w:color="auto"/>
              <w:bottom w:val="nil"/>
              <w:right w:val="nil"/>
            </w:tcBorders>
            <w:shd w:val="clear" w:color="000000" w:fill="FFFFFF"/>
            <w:vAlign w:val="center"/>
            <w:hideMark/>
          </w:tcPr>
          <w:p w14:paraId="59C215A2" w14:textId="77777777" w:rsidR="006E08C5" w:rsidRPr="006E08C5" w:rsidRDefault="006E08C5" w:rsidP="002F131C">
            <w:pPr>
              <w:ind w:firstLineChars="200" w:firstLine="240"/>
              <w:rPr>
                <w:rFonts w:ascii="Montserrat Medium" w:eastAsia="Times New Roman" w:hAnsi="Montserrat Medium" w:cs="Arial"/>
                <w:sz w:val="12"/>
                <w:szCs w:val="12"/>
                <w:lang w:eastAsia="es-MX"/>
              </w:rPr>
            </w:pPr>
            <w:r w:rsidRPr="006E08C5">
              <w:rPr>
                <w:rFonts w:ascii="Montserrat Medium" w:eastAsia="Times New Roman" w:hAnsi="Montserrat Medium" w:cs="Arial"/>
                <w:sz w:val="12"/>
                <w:szCs w:val="12"/>
                <w:lang w:eastAsia="es-MX"/>
              </w:rPr>
              <w:t>K.    Convenios</w:t>
            </w:r>
          </w:p>
        </w:tc>
        <w:tc>
          <w:tcPr>
            <w:tcW w:w="1170" w:type="dxa"/>
            <w:tcBorders>
              <w:top w:val="nil"/>
              <w:left w:val="nil"/>
              <w:bottom w:val="nil"/>
              <w:right w:val="nil"/>
            </w:tcBorders>
            <w:shd w:val="clear" w:color="000000" w:fill="FFFFFF"/>
            <w:noWrap/>
            <w:vAlign w:val="center"/>
            <w:hideMark/>
          </w:tcPr>
          <w:p w14:paraId="05C4BC00" w14:textId="02866CD3"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49" w:type="dxa"/>
            <w:tcBorders>
              <w:top w:val="nil"/>
              <w:left w:val="nil"/>
              <w:bottom w:val="nil"/>
              <w:right w:val="nil"/>
            </w:tcBorders>
            <w:shd w:val="clear" w:color="000000" w:fill="FFFFFF"/>
            <w:noWrap/>
            <w:vAlign w:val="center"/>
            <w:hideMark/>
          </w:tcPr>
          <w:p w14:paraId="676CFECD" w14:textId="58CFB9FE"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41" w:type="dxa"/>
            <w:tcBorders>
              <w:top w:val="nil"/>
              <w:left w:val="nil"/>
              <w:bottom w:val="nil"/>
              <w:right w:val="nil"/>
            </w:tcBorders>
            <w:shd w:val="clear" w:color="000000" w:fill="FFFFFF"/>
            <w:noWrap/>
            <w:vAlign w:val="center"/>
            <w:hideMark/>
          </w:tcPr>
          <w:p w14:paraId="5B77DE28" w14:textId="2B88CFB9"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56" w:type="dxa"/>
            <w:tcBorders>
              <w:top w:val="nil"/>
              <w:left w:val="nil"/>
              <w:bottom w:val="nil"/>
              <w:right w:val="nil"/>
            </w:tcBorders>
            <w:shd w:val="clear" w:color="000000" w:fill="FFFFFF"/>
            <w:noWrap/>
            <w:vAlign w:val="center"/>
            <w:hideMark/>
          </w:tcPr>
          <w:p w14:paraId="20927CA6" w14:textId="1BF5ED66"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87" w:type="dxa"/>
            <w:tcBorders>
              <w:top w:val="nil"/>
              <w:left w:val="nil"/>
              <w:bottom w:val="nil"/>
              <w:right w:val="nil"/>
            </w:tcBorders>
            <w:shd w:val="clear" w:color="000000" w:fill="FFFFFF"/>
            <w:noWrap/>
            <w:vAlign w:val="center"/>
            <w:hideMark/>
          </w:tcPr>
          <w:p w14:paraId="2EC4B729" w14:textId="76CEA585"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224" w:type="dxa"/>
            <w:tcBorders>
              <w:top w:val="nil"/>
              <w:left w:val="nil"/>
              <w:bottom w:val="nil"/>
              <w:right w:val="single" w:sz="4" w:space="0" w:color="auto"/>
            </w:tcBorders>
            <w:shd w:val="clear" w:color="000000" w:fill="FFFFFF"/>
            <w:noWrap/>
            <w:vAlign w:val="center"/>
            <w:hideMark/>
          </w:tcPr>
          <w:p w14:paraId="4BB364FA" w14:textId="488DB054"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r>
      <w:tr w:rsidR="006E08C5" w:rsidRPr="009C26EF" w14:paraId="14AE68B2" w14:textId="77777777" w:rsidTr="00D51385">
        <w:trPr>
          <w:trHeight w:val="199"/>
          <w:jc w:val="center"/>
        </w:trPr>
        <w:tc>
          <w:tcPr>
            <w:tcW w:w="3058" w:type="dxa"/>
            <w:tcBorders>
              <w:top w:val="nil"/>
              <w:left w:val="single" w:sz="4" w:space="0" w:color="auto"/>
              <w:right w:val="nil"/>
            </w:tcBorders>
            <w:shd w:val="clear" w:color="000000" w:fill="FFFFFF"/>
            <w:vAlign w:val="center"/>
            <w:hideMark/>
          </w:tcPr>
          <w:p w14:paraId="73B259C4" w14:textId="77777777" w:rsidR="006E08C5" w:rsidRPr="006E08C5" w:rsidRDefault="006E08C5" w:rsidP="002F131C">
            <w:pPr>
              <w:ind w:firstLineChars="200" w:firstLine="240"/>
              <w:rPr>
                <w:rFonts w:ascii="Montserrat Medium" w:eastAsia="Times New Roman" w:hAnsi="Montserrat Medium" w:cs="Arial"/>
                <w:sz w:val="12"/>
                <w:szCs w:val="12"/>
                <w:lang w:eastAsia="es-MX"/>
              </w:rPr>
            </w:pPr>
            <w:r w:rsidRPr="006E08C5">
              <w:rPr>
                <w:rFonts w:ascii="Montserrat Medium" w:eastAsia="Times New Roman" w:hAnsi="Montserrat Medium" w:cs="Arial"/>
                <w:sz w:val="12"/>
                <w:szCs w:val="12"/>
                <w:lang w:eastAsia="es-MX"/>
              </w:rPr>
              <w:t>L.    Otros Ingresos de Libre Disposición</w:t>
            </w:r>
          </w:p>
        </w:tc>
        <w:tc>
          <w:tcPr>
            <w:tcW w:w="1170" w:type="dxa"/>
            <w:tcBorders>
              <w:top w:val="nil"/>
              <w:left w:val="nil"/>
              <w:right w:val="nil"/>
            </w:tcBorders>
            <w:shd w:val="clear" w:color="000000" w:fill="FFFFFF"/>
            <w:noWrap/>
            <w:vAlign w:val="center"/>
            <w:hideMark/>
          </w:tcPr>
          <w:p w14:paraId="1C2AB41C" w14:textId="1AD423FE"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49" w:type="dxa"/>
            <w:tcBorders>
              <w:top w:val="nil"/>
              <w:left w:val="nil"/>
              <w:right w:val="nil"/>
            </w:tcBorders>
            <w:shd w:val="clear" w:color="000000" w:fill="FFFFFF"/>
            <w:noWrap/>
            <w:vAlign w:val="center"/>
            <w:hideMark/>
          </w:tcPr>
          <w:p w14:paraId="2D4C4C0C" w14:textId="54C43D73"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41" w:type="dxa"/>
            <w:tcBorders>
              <w:top w:val="nil"/>
              <w:left w:val="nil"/>
              <w:right w:val="nil"/>
            </w:tcBorders>
            <w:shd w:val="clear" w:color="000000" w:fill="FFFFFF"/>
            <w:noWrap/>
            <w:vAlign w:val="center"/>
            <w:hideMark/>
          </w:tcPr>
          <w:p w14:paraId="630E32D6" w14:textId="60F9264A"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56" w:type="dxa"/>
            <w:tcBorders>
              <w:top w:val="nil"/>
              <w:left w:val="nil"/>
              <w:right w:val="nil"/>
            </w:tcBorders>
            <w:shd w:val="clear" w:color="000000" w:fill="FFFFFF"/>
            <w:noWrap/>
            <w:vAlign w:val="center"/>
            <w:hideMark/>
          </w:tcPr>
          <w:p w14:paraId="32C12AB6" w14:textId="719474F1"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87" w:type="dxa"/>
            <w:tcBorders>
              <w:top w:val="nil"/>
              <w:left w:val="nil"/>
              <w:right w:val="nil"/>
            </w:tcBorders>
            <w:shd w:val="clear" w:color="000000" w:fill="FFFFFF"/>
            <w:noWrap/>
            <w:vAlign w:val="center"/>
            <w:hideMark/>
          </w:tcPr>
          <w:p w14:paraId="37906255" w14:textId="18462917"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224" w:type="dxa"/>
            <w:tcBorders>
              <w:top w:val="nil"/>
              <w:left w:val="nil"/>
              <w:right w:val="single" w:sz="4" w:space="0" w:color="auto"/>
            </w:tcBorders>
            <w:shd w:val="clear" w:color="000000" w:fill="FFFFFF"/>
            <w:noWrap/>
            <w:vAlign w:val="center"/>
            <w:hideMark/>
          </w:tcPr>
          <w:p w14:paraId="39192508" w14:textId="47CF3FF5"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r>
      <w:tr w:rsidR="006E08C5" w:rsidRPr="009C26EF" w14:paraId="37320AA3" w14:textId="77777777" w:rsidTr="00D51385">
        <w:trPr>
          <w:trHeight w:val="199"/>
          <w:jc w:val="center"/>
        </w:trPr>
        <w:tc>
          <w:tcPr>
            <w:tcW w:w="3058" w:type="dxa"/>
            <w:tcBorders>
              <w:top w:val="nil"/>
              <w:left w:val="single" w:sz="4" w:space="0" w:color="auto"/>
              <w:bottom w:val="single" w:sz="4" w:space="0" w:color="auto"/>
              <w:right w:val="nil"/>
            </w:tcBorders>
            <w:shd w:val="clear" w:color="000000" w:fill="FFFFFF"/>
            <w:vAlign w:val="center"/>
            <w:hideMark/>
          </w:tcPr>
          <w:p w14:paraId="01F31E67" w14:textId="77777777" w:rsidR="006E08C5" w:rsidRPr="006E08C5" w:rsidRDefault="006E08C5" w:rsidP="002F131C">
            <w:pPr>
              <w:ind w:firstLineChars="200" w:firstLine="240"/>
              <w:rPr>
                <w:rFonts w:ascii="Montserrat Medium" w:eastAsia="Times New Roman" w:hAnsi="Montserrat Medium" w:cs="Arial"/>
                <w:sz w:val="12"/>
                <w:szCs w:val="12"/>
                <w:lang w:eastAsia="es-MX"/>
              </w:rPr>
            </w:pPr>
            <w:r w:rsidRPr="006E08C5">
              <w:rPr>
                <w:rFonts w:ascii="Montserrat Medium" w:eastAsia="Times New Roman" w:hAnsi="Montserrat Medium" w:cs="Arial"/>
                <w:sz w:val="12"/>
                <w:szCs w:val="12"/>
                <w:lang w:eastAsia="es-MX"/>
              </w:rPr>
              <w:t> </w:t>
            </w:r>
          </w:p>
        </w:tc>
        <w:tc>
          <w:tcPr>
            <w:tcW w:w="1170" w:type="dxa"/>
            <w:tcBorders>
              <w:top w:val="nil"/>
              <w:left w:val="nil"/>
              <w:bottom w:val="single" w:sz="4" w:space="0" w:color="auto"/>
              <w:right w:val="nil"/>
            </w:tcBorders>
            <w:shd w:val="clear" w:color="000000" w:fill="FFFFFF"/>
            <w:noWrap/>
            <w:vAlign w:val="center"/>
            <w:hideMark/>
          </w:tcPr>
          <w:p w14:paraId="66E20F8F" w14:textId="3A4BA857"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 </w:t>
            </w:r>
          </w:p>
        </w:tc>
        <w:tc>
          <w:tcPr>
            <w:tcW w:w="1149" w:type="dxa"/>
            <w:tcBorders>
              <w:top w:val="nil"/>
              <w:left w:val="nil"/>
              <w:bottom w:val="single" w:sz="4" w:space="0" w:color="auto"/>
              <w:right w:val="nil"/>
            </w:tcBorders>
            <w:shd w:val="clear" w:color="000000" w:fill="FFFFFF"/>
            <w:noWrap/>
            <w:vAlign w:val="center"/>
            <w:hideMark/>
          </w:tcPr>
          <w:p w14:paraId="097BDF5C" w14:textId="453E73B9"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 </w:t>
            </w:r>
          </w:p>
        </w:tc>
        <w:tc>
          <w:tcPr>
            <w:tcW w:w="1141" w:type="dxa"/>
            <w:tcBorders>
              <w:top w:val="nil"/>
              <w:left w:val="nil"/>
              <w:bottom w:val="single" w:sz="4" w:space="0" w:color="auto"/>
              <w:right w:val="nil"/>
            </w:tcBorders>
            <w:shd w:val="clear" w:color="000000" w:fill="FFFFFF"/>
            <w:noWrap/>
            <w:vAlign w:val="center"/>
            <w:hideMark/>
          </w:tcPr>
          <w:p w14:paraId="703480F2" w14:textId="4306619F"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 </w:t>
            </w:r>
          </w:p>
        </w:tc>
        <w:tc>
          <w:tcPr>
            <w:tcW w:w="1156" w:type="dxa"/>
            <w:tcBorders>
              <w:top w:val="nil"/>
              <w:left w:val="nil"/>
              <w:bottom w:val="single" w:sz="4" w:space="0" w:color="auto"/>
              <w:right w:val="nil"/>
            </w:tcBorders>
            <w:shd w:val="clear" w:color="000000" w:fill="FFFFFF"/>
            <w:noWrap/>
            <w:vAlign w:val="center"/>
            <w:hideMark/>
          </w:tcPr>
          <w:p w14:paraId="2943AA6B" w14:textId="1B73C243"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 </w:t>
            </w:r>
          </w:p>
        </w:tc>
        <w:tc>
          <w:tcPr>
            <w:tcW w:w="1187" w:type="dxa"/>
            <w:tcBorders>
              <w:top w:val="nil"/>
              <w:left w:val="nil"/>
              <w:bottom w:val="single" w:sz="4" w:space="0" w:color="auto"/>
              <w:right w:val="nil"/>
            </w:tcBorders>
            <w:shd w:val="clear" w:color="000000" w:fill="FFFFFF"/>
            <w:noWrap/>
            <w:vAlign w:val="center"/>
            <w:hideMark/>
          </w:tcPr>
          <w:p w14:paraId="23ED90EE" w14:textId="154696D7"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 </w:t>
            </w:r>
          </w:p>
        </w:tc>
        <w:tc>
          <w:tcPr>
            <w:tcW w:w="1224" w:type="dxa"/>
            <w:tcBorders>
              <w:top w:val="nil"/>
              <w:left w:val="nil"/>
              <w:bottom w:val="single" w:sz="4" w:space="0" w:color="auto"/>
              <w:right w:val="single" w:sz="4" w:space="0" w:color="auto"/>
            </w:tcBorders>
            <w:shd w:val="clear" w:color="000000" w:fill="FFFFFF"/>
            <w:noWrap/>
            <w:vAlign w:val="center"/>
            <w:hideMark/>
          </w:tcPr>
          <w:p w14:paraId="6BDDCDEE" w14:textId="639F66D9"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 </w:t>
            </w:r>
          </w:p>
        </w:tc>
      </w:tr>
      <w:tr w:rsidR="006E08C5" w:rsidRPr="009C26EF" w14:paraId="5EE6E8AD" w14:textId="77777777" w:rsidTr="00D51385">
        <w:trPr>
          <w:trHeight w:val="435"/>
          <w:jc w:val="center"/>
        </w:trPr>
        <w:tc>
          <w:tcPr>
            <w:tcW w:w="3058" w:type="dxa"/>
            <w:tcBorders>
              <w:top w:val="single" w:sz="4" w:space="0" w:color="auto"/>
              <w:left w:val="single" w:sz="4" w:space="0" w:color="auto"/>
              <w:bottom w:val="single" w:sz="8" w:space="0" w:color="4F81BD"/>
              <w:right w:val="nil"/>
            </w:tcBorders>
            <w:shd w:val="clear" w:color="000000" w:fill="B0ABA1"/>
            <w:vAlign w:val="center"/>
            <w:hideMark/>
          </w:tcPr>
          <w:p w14:paraId="15CEEDB4" w14:textId="77777777" w:rsidR="006E08C5" w:rsidRPr="006E08C5" w:rsidRDefault="006E08C5" w:rsidP="002F131C">
            <w:pPr>
              <w:rPr>
                <w:rFonts w:ascii="Montserrat Medium" w:eastAsia="Times New Roman" w:hAnsi="Montserrat Medium" w:cs="Arial"/>
                <w:color w:val="000000"/>
                <w:sz w:val="12"/>
                <w:szCs w:val="12"/>
                <w:lang w:eastAsia="es-MX"/>
              </w:rPr>
            </w:pPr>
            <w:r w:rsidRPr="006E08C5">
              <w:rPr>
                <w:rFonts w:ascii="Montserrat Medium" w:eastAsia="Times New Roman" w:hAnsi="Montserrat Medium" w:cs="Arial"/>
                <w:color w:val="000000"/>
                <w:sz w:val="12"/>
                <w:szCs w:val="12"/>
                <w:lang w:eastAsia="es-MX"/>
              </w:rPr>
              <w:lastRenderedPageBreak/>
              <w:t>2.   Transferencias Federales Etiquetadas(2=A+B+C+D+E)</w:t>
            </w:r>
          </w:p>
        </w:tc>
        <w:tc>
          <w:tcPr>
            <w:tcW w:w="1170" w:type="dxa"/>
            <w:tcBorders>
              <w:top w:val="single" w:sz="4" w:space="0" w:color="auto"/>
              <w:left w:val="nil"/>
              <w:bottom w:val="single" w:sz="8" w:space="0" w:color="4F81BD"/>
              <w:right w:val="nil"/>
            </w:tcBorders>
            <w:shd w:val="clear" w:color="000000" w:fill="B0ABA1"/>
            <w:noWrap/>
            <w:vAlign w:val="center"/>
            <w:hideMark/>
          </w:tcPr>
          <w:p w14:paraId="3E81C7BD" w14:textId="37C2CBE1" w:rsidR="006E08C5" w:rsidRPr="006E08C5" w:rsidRDefault="006E08C5" w:rsidP="002F131C">
            <w:pPr>
              <w:jc w:val="right"/>
              <w:rPr>
                <w:rFonts w:ascii="Montserrat Medium" w:eastAsia="Times New Roman" w:hAnsi="Montserrat Medium" w:cs="Arial"/>
                <w:color w:val="000000"/>
                <w:sz w:val="14"/>
                <w:szCs w:val="14"/>
                <w:highlight w:val="yellow"/>
                <w:lang w:eastAsia="es-MX"/>
              </w:rPr>
            </w:pPr>
            <w:r w:rsidRPr="006E08C5">
              <w:rPr>
                <w:rFonts w:ascii="Montserrat Medium" w:eastAsia="Times New Roman" w:hAnsi="Montserrat Medium" w:cs="Arial"/>
                <w:color w:val="000000"/>
                <w:sz w:val="14"/>
                <w:szCs w:val="14"/>
                <w:lang w:eastAsia="es-MX"/>
              </w:rPr>
              <w:t>16,807,174,188</w:t>
            </w:r>
          </w:p>
        </w:tc>
        <w:tc>
          <w:tcPr>
            <w:tcW w:w="1149" w:type="dxa"/>
            <w:tcBorders>
              <w:top w:val="single" w:sz="4" w:space="0" w:color="auto"/>
              <w:left w:val="nil"/>
              <w:bottom w:val="single" w:sz="8" w:space="0" w:color="4F81BD"/>
              <w:right w:val="nil"/>
            </w:tcBorders>
            <w:shd w:val="clear" w:color="000000" w:fill="B0ABA1"/>
            <w:noWrap/>
            <w:vAlign w:val="center"/>
            <w:hideMark/>
          </w:tcPr>
          <w:p w14:paraId="13D88417" w14:textId="721087AD" w:rsidR="006E08C5" w:rsidRPr="006E08C5" w:rsidRDefault="006E08C5" w:rsidP="002F131C">
            <w:pPr>
              <w:jc w:val="right"/>
              <w:rPr>
                <w:rFonts w:ascii="Montserrat Medium" w:eastAsia="Times New Roman" w:hAnsi="Montserrat Medium" w:cs="Arial"/>
                <w:color w:val="000000"/>
                <w:sz w:val="14"/>
                <w:szCs w:val="14"/>
                <w:highlight w:val="yellow"/>
                <w:lang w:eastAsia="es-MX"/>
              </w:rPr>
            </w:pPr>
            <w:r w:rsidRPr="006E08C5">
              <w:rPr>
                <w:rFonts w:ascii="Montserrat Medium" w:eastAsia="Times New Roman" w:hAnsi="Montserrat Medium" w:cs="Arial"/>
                <w:color w:val="000000"/>
                <w:sz w:val="14"/>
                <w:szCs w:val="14"/>
                <w:lang w:eastAsia="es-MX"/>
              </w:rPr>
              <w:t>17,361,810,936</w:t>
            </w:r>
          </w:p>
        </w:tc>
        <w:tc>
          <w:tcPr>
            <w:tcW w:w="1141" w:type="dxa"/>
            <w:tcBorders>
              <w:top w:val="single" w:sz="4" w:space="0" w:color="auto"/>
              <w:left w:val="nil"/>
              <w:bottom w:val="single" w:sz="8" w:space="0" w:color="4F81BD"/>
              <w:right w:val="nil"/>
            </w:tcBorders>
            <w:shd w:val="clear" w:color="000000" w:fill="B0ABA1"/>
            <w:noWrap/>
            <w:vAlign w:val="center"/>
            <w:hideMark/>
          </w:tcPr>
          <w:p w14:paraId="74502571" w14:textId="38653ABC" w:rsidR="006E08C5" w:rsidRPr="006E08C5" w:rsidRDefault="006E08C5" w:rsidP="002F131C">
            <w:pPr>
              <w:jc w:val="right"/>
              <w:rPr>
                <w:rFonts w:ascii="Montserrat Medium" w:eastAsia="Times New Roman" w:hAnsi="Montserrat Medium" w:cs="Arial"/>
                <w:color w:val="000000"/>
                <w:sz w:val="14"/>
                <w:szCs w:val="14"/>
                <w:highlight w:val="yellow"/>
                <w:lang w:eastAsia="es-MX"/>
              </w:rPr>
            </w:pPr>
            <w:r w:rsidRPr="006E08C5">
              <w:rPr>
                <w:rFonts w:ascii="Montserrat Medium" w:eastAsia="Times New Roman" w:hAnsi="Montserrat Medium" w:cs="Arial"/>
                <w:color w:val="000000"/>
                <w:sz w:val="14"/>
                <w:szCs w:val="14"/>
                <w:lang w:eastAsia="es-MX"/>
              </w:rPr>
              <w:t>17,934,750,697</w:t>
            </w:r>
          </w:p>
        </w:tc>
        <w:tc>
          <w:tcPr>
            <w:tcW w:w="1156" w:type="dxa"/>
            <w:tcBorders>
              <w:top w:val="single" w:sz="4" w:space="0" w:color="auto"/>
              <w:left w:val="nil"/>
              <w:bottom w:val="single" w:sz="8" w:space="0" w:color="4F81BD"/>
              <w:right w:val="nil"/>
            </w:tcBorders>
            <w:shd w:val="clear" w:color="000000" w:fill="B0ABA1"/>
            <w:noWrap/>
            <w:vAlign w:val="center"/>
            <w:hideMark/>
          </w:tcPr>
          <w:p w14:paraId="41B95E01" w14:textId="5530362B" w:rsidR="006E08C5" w:rsidRPr="006E08C5" w:rsidRDefault="006E08C5" w:rsidP="002F131C">
            <w:pPr>
              <w:jc w:val="right"/>
              <w:rPr>
                <w:rFonts w:ascii="Montserrat Medium" w:eastAsia="Times New Roman" w:hAnsi="Montserrat Medium" w:cs="Arial"/>
                <w:color w:val="000000"/>
                <w:sz w:val="14"/>
                <w:szCs w:val="14"/>
                <w:highlight w:val="yellow"/>
                <w:lang w:eastAsia="es-MX"/>
              </w:rPr>
            </w:pPr>
            <w:r w:rsidRPr="006E08C5">
              <w:rPr>
                <w:rFonts w:ascii="Montserrat Medium" w:eastAsia="Times New Roman" w:hAnsi="Montserrat Medium" w:cs="Arial"/>
                <w:color w:val="000000"/>
                <w:sz w:val="14"/>
                <w:szCs w:val="14"/>
                <w:lang w:eastAsia="es-MX"/>
              </w:rPr>
              <w:t>18,526,597,470</w:t>
            </w:r>
          </w:p>
        </w:tc>
        <w:tc>
          <w:tcPr>
            <w:tcW w:w="1187" w:type="dxa"/>
            <w:tcBorders>
              <w:top w:val="single" w:sz="4" w:space="0" w:color="auto"/>
              <w:left w:val="nil"/>
              <w:bottom w:val="single" w:sz="8" w:space="0" w:color="4F81BD"/>
              <w:right w:val="nil"/>
            </w:tcBorders>
            <w:shd w:val="clear" w:color="000000" w:fill="B0ABA1"/>
            <w:noWrap/>
            <w:vAlign w:val="center"/>
            <w:hideMark/>
          </w:tcPr>
          <w:p w14:paraId="7F58333C" w14:textId="13122482" w:rsidR="006E08C5" w:rsidRPr="006E08C5" w:rsidRDefault="006E08C5" w:rsidP="002F131C">
            <w:pPr>
              <w:jc w:val="right"/>
              <w:rPr>
                <w:rFonts w:ascii="Montserrat Medium" w:eastAsia="Times New Roman" w:hAnsi="Montserrat Medium" w:cs="Arial"/>
                <w:color w:val="000000"/>
                <w:sz w:val="14"/>
                <w:szCs w:val="14"/>
                <w:highlight w:val="yellow"/>
                <w:lang w:eastAsia="es-MX"/>
              </w:rPr>
            </w:pPr>
            <w:r w:rsidRPr="006E08C5">
              <w:rPr>
                <w:rFonts w:ascii="Montserrat Medium" w:eastAsia="Times New Roman" w:hAnsi="Montserrat Medium" w:cs="Arial"/>
                <w:color w:val="000000"/>
                <w:sz w:val="14"/>
                <w:szCs w:val="14"/>
                <w:lang w:eastAsia="es-MX"/>
              </w:rPr>
              <w:t>19,137,975,187</w:t>
            </w:r>
          </w:p>
        </w:tc>
        <w:tc>
          <w:tcPr>
            <w:tcW w:w="1224" w:type="dxa"/>
            <w:tcBorders>
              <w:top w:val="single" w:sz="4" w:space="0" w:color="auto"/>
              <w:left w:val="nil"/>
              <w:bottom w:val="single" w:sz="8" w:space="0" w:color="4F81BD"/>
              <w:right w:val="single" w:sz="4" w:space="0" w:color="auto"/>
            </w:tcBorders>
            <w:shd w:val="clear" w:color="000000" w:fill="B0ABA1"/>
            <w:noWrap/>
            <w:vAlign w:val="center"/>
            <w:hideMark/>
          </w:tcPr>
          <w:p w14:paraId="75B2940F" w14:textId="773C7C86" w:rsidR="006E08C5" w:rsidRPr="006E08C5" w:rsidRDefault="006E08C5" w:rsidP="002F131C">
            <w:pPr>
              <w:jc w:val="right"/>
              <w:rPr>
                <w:rFonts w:ascii="Montserrat Medium" w:eastAsia="Times New Roman" w:hAnsi="Montserrat Medium" w:cs="Arial"/>
                <w:color w:val="000000"/>
                <w:sz w:val="14"/>
                <w:szCs w:val="14"/>
                <w:highlight w:val="yellow"/>
                <w:lang w:eastAsia="es-MX"/>
              </w:rPr>
            </w:pPr>
            <w:r w:rsidRPr="006E08C5">
              <w:rPr>
                <w:rFonts w:ascii="Montserrat Medium" w:eastAsia="Times New Roman" w:hAnsi="Montserrat Medium" w:cs="Arial"/>
                <w:color w:val="000000"/>
                <w:sz w:val="14"/>
                <w:szCs w:val="14"/>
                <w:lang w:eastAsia="es-MX"/>
              </w:rPr>
              <w:t>19,769,528,368</w:t>
            </w:r>
          </w:p>
        </w:tc>
      </w:tr>
      <w:tr w:rsidR="006E08C5" w:rsidRPr="009C26EF" w14:paraId="0EEA3DE7" w14:textId="77777777" w:rsidTr="00D51385">
        <w:trPr>
          <w:trHeight w:val="199"/>
          <w:jc w:val="center"/>
        </w:trPr>
        <w:tc>
          <w:tcPr>
            <w:tcW w:w="3058" w:type="dxa"/>
            <w:tcBorders>
              <w:top w:val="nil"/>
              <w:left w:val="single" w:sz="4" w:space="0" w:color="auto"/>
              <w:bottom w:val="nil"/>
              <w:right w:val="nil"/>
            </w:tcBorders>
            <w:shd w:val="clear" w:color="000000" w:fill="FFFFFF"/>
            <w:vAlign w:val="center"/>
            <w:hideMark/>
          </w:tcPr>
          <w:p w14:paraId="5B791DF8" w14:textId="77777777" w:rsidR="006E08C5" w:rsidRPr="006E08C5" w:rsidRDefault="006E08C5" w:rsidP="002F131C">
            <w:pPr>
              <w:ind w:firstLineChars="200" w:firstLine="240"/>
              <w:rPr>
                <w:rFonts w:ascii="Montserrat Medium" w:eastAsia="Times New Roman" w:hAnsi="Montserrat Medium" w:cs="Arial"/>
                <w:sz w:val="12"/>
                <w:szCs w:val="12"/>
                <w:lang w:eastAsia="es-MX"/>
              </w:rPr>
            </w:pPr>
            <w:r w:rsidRPr="006E08C5">
              <w:rPr>
                <w:rFonts w:ascii="Montserrat Medium" w:eastAsia="Times New Roman" w:hAnsi="Montserrat Medium" w:cs="Arial"/>
                <w:sz w:val="12"/>
                <w:szCs w:val="12"/>
                <w:lang w:eastAsia="es-MX"/>
              </w:rPr>
              <w:t>A.    Aportaciones</w:t>
            </w:r>
          </w:p>
        </w:tc>
        <w:tc>
          <w:tcPr>
            <w:tcW w:w="1170" w:type="dxa"/>
            <w:tcBorders>
              <w:top w:val="nil"/>
              <w:left w:val="nil"/>
              <w:bottom w:val="nil"/>
              <w:right w:val="nil"/>
            </w:tcBorders>
            <w:shd w:val="clear" w:color="000000" w:fill="FFFFFF"/>
            <w:noWrap/>
            <w:vAlign w:val="center"/>
            <w:hideMark/>
          </w:tcPr>
          <w:p w14:paraId="507FAD3A" w14:textId="289ED693"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14,806,504,881</w:t>
            </w:r>
          </w:p>
        </w:tc>
        <w:tc>
          <w:tcPr>
            <w:tcW w:w="1149" w:type="dxa"/>
            <w:tcBorders>
              <w:top w:val="nil"/>
              <w:left w:val="nil"/>
              <w:bottom w:val="nil"/>
              <w:right w:val="nil"/>
            </w:tcBorders>
            <w:shd w:val="clear" w:color="000000" w:fill="FFFFFF"/>
            <w:noWrap/>
            <w:vAlign w:val="center"/>
            <w:hideMark/>
          </w:tcPr>
          <w:p w14:paraId="4D2566C2" w14:textId="75748F5C"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15,295,119,542</w:t>
            </w:r>
          </w:p>
        </w:tc>
        <w:tc>
          <w:tcPr>
            <w:tcW w:w="1141" w:type="dxa"/>
            <w:tcBorders>
              <w:top w:val="nil"/>
              <w:left w:val="nil"/>
              <w:bottom w:val="nil"/>
              <w:right w:val="nil"/>
            </w:tcBorders>
            <w:shd w:val="clear" w:color="000000" w:fill="FFFFFF"/>
            <w:noWrap/>
            <w:vAlign w:val="center"/>
            <w:hideMark/>
          </w:tcPr>
          <w:p w14:paraId="2EE3EE67" w14:textId="61747E69"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15,799,858,487</w:t>
            </w:r>
          </w:p>
        </w:tc>
        <w:tc>
          <w:tcPr>
            <w:tcW w:w="1156" w:type="dxa"/>
            <w:tcBorders>
              <w:top w:val="nil"/>
              <w:left w:val="nil"/>
              <w:bottom w:val="nil"/>
              <w:right w:val="nil"/>
            </w:tcBorders>
            <w:shd w:val="clear" w:color="000000" w:fill="FFFFFF"/>
            <w:noWrap/>
            <w:vAlign w:val="center"/>
            <w:hideMark/>
          </w:tcPr>
          <w:p w14:paraId="793DBBA8" w14:textId="3B3AF831"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16,321,253,817</w:t>
            </w:r>
          </w:p>
        </w:tc>
        <w:tc>
          <w:tcPr>
            <w:tcW w:w="1187" w:type="dxa"/>
            <w:tcBorders>
              <w:top w:val="nil"/>
              <w:left w:val="nil"/>
              <w:bottom w:val="nil"/>
              <w:right w:val="nil"/>
            </w:tcBorders>
            <w:shd w:val="clear" w:color="000000" w:fill="FFFFFF"/>
            <w:noWrap/>
            <w:vAlign w:val="center"/>
            <w:hideMark/>
          </w:tcPr>
          <w:p w14:paraId="50551EDB" w14:textId="03230A62"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16,859,855,193</w:t>
            </w:r>
          </w:p>
        </w:tc>
        <w:tc>
          <w:tcPr>
            <w:tcW w:w="1224" w:type="dxa"/>
            <w:tcBorders>
              <w:top w:val="nil"/>
              <w:left w:val="nil"/>
              <w:bottom w:val="nil"/>
              <w:right w:val="single" w:sz="4" w:space="0" w:color="auto"/>
            </w:tcBorders>
            <w:shd w:val="clear" w:color="000000" w:fill="FFFFFF"/>
            <w:noWrap/>
            <w:vAlign w:val="center"/>
            <w:hideMark/>
          </w:tcPr>
          <w:p w14:paraId="6C8D9717" w14:textId="50267B9A"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17,416,230,414</w:t>
            </w:r>
          </w:p>
        </w:tc>
      </w:tr>
      <w:tr w:rsidR="006E08C5" w:rsidRPr="009C26EF" w14:paraId="7AD4F174" w14:textId="77777777" w:rsidTr="00D51385">
        <w:trPr>
          <w:trHeight w:val="199"/>
          <w:jc w:val="center"/>
        </w:trPr>
        <w:tc>
          <w:tcPr>
            <w:tcW w:w="3058" w:type="dxa"/>
            <w:tcBorders>
              <w:top w:val="nil"/>
              <w:left w:val="single" w:sz="4" w:space="0" w:color="auto"/>
              <w:bottom w:val="nil"/>
              <w:right w:val="nil"/>
            </w:tcBorders>
            <w:shd w:val="clear" w:color="000000" w:fill="FFFFFF"/>
            <w:vAlign w:val="center"/>
            <w:hideMark/>
          </w:tcPr>
          <w:p w14:paraId="4B5573CD" w14:textId="77777777" w:rsidR="006E08C5" w:rsidRPr="006E08C5" w:rsidRDefault="006E08C5" w:rsidP="002F131C">
            <w:pPr>
              <w:ind w:firstLineChars="200" w:firstLine="240"/>
              <w:rPr>
                <w:rFonts w:ascii="Montserrat Medium" w:eastAsia="Times New Roman" w:hAnsi="Montserrat Medium" w:cs="Arial"/>
                <w:sz w:val="12"/>
                <w:szCs w:val="12"/>
                <w:lang w:eastAsia="es-MX"/>
              </w:rPr>
            </w:pPr>
            <w:r w:rsidRPr="006E08C5">
              <w:rPr>
                <w:rFonts w:ascii="Montserrat Medium" w:eastAsia="Times New Roman" w:hAnsi="Montserrat Medium" w:cs="Arial"/>
                <w:sz w:val="12"/>
                <w:szCs w:val="12"/>
                <w:lang w:eastAsia="es-MX"/>
              </w:rPr>
              <w:t>B.    Convenios</w:t>
            </w:r>
          </w:p>
        </w:tc>
        <w:tc>
          <w:tcPr>
            <w:tcW w:w="1170" w:type="dxa"/>
            <w:tcBorders>
              <w:top w:val="nil"/>
              <w:left w:val="nil"/>
              <w:bottom w:val="nil"/>
              <w:right w:val="nil"/>
            </w:tcBorders>
            <w:shd w:val="clear" w:color="000000" w:fill="FFFFFF"/>
            <w:noWrap/>
            <w:vAlign w:val="center"/>
            <w:hideMark/>
          </w:tcPr>
          <w:p w14:paraId="284851BF" w14:textId="6A48C739"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2,000,669,307</w:t>
            </w:r>
          </w:p>
        </w:tc>
        <w:tc>
          <w:tcPr>
            <w:tcW w:w="1149" w:type="dxa"/>
            <w:tcBorders>
              <w:top w:val="nil"/>
              <w:left w:val="nil"/>
              <w:bottom w:val="nil"/>
              <w:right w:val="nil"/>
            </w:tcBorders>
            <w:shd w:val="clear" w:color="000000" w:fill="FFFFFF"/>
            <w:noWrap/>
            <w:vAlign w:val="center"/>
            <w:hideMark/>
          </w:tcPr>
          <w:p w14:paraId="7974D0CB" w14:textId="46B4552F"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2,066,691,394</w:t>
            </w:r>
          </w:p>
        </w:tc>
        <w:tc>
          <w:tcPr>
            <w:tcW w:w="1141" w:type="dxa"/>
            <w:tcBorders>
              <w:top w:val="nil"/>
              <w:left w:val="nil"/>
              <w:bottom w:val="nil"/>
              <w:right w:val="nil"/>
            </w:tcBorders>
            <w:shd w:val="clear" w:color="000000" w:fill="FFFFFF"/>
            <w:noWrap/>
            <w:vAlign w:val="center"/>
            <w:hideMark/>
          </w:tcPr>
          <w:p w14:paraId="117AF5BC" w14:textId="78DE198D"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2,134,892,210</w:t>
            </w:r>
          </w:p>
        </w:tc>
        <w:tc>
          <w:tcPr>
            <w:tcW w:w="1156" w:type="dxa"/>
            <w:tcBorders>
              <w:top w:val="nil"/>
              <w:left w:val="nil"/>
              <w:bottom w:val="nil"/>
              <w:right w:val="nil"/>
            </w:tcBorders>
            <w:shd w:val="clear" w:color="000000" w:fill="FFFFFF"/>
            <w:noWrap/>
            <w:vAlign w:val="center"/>
            <w:hideMark/>
          </w:tcPr>
          <w:p w14:paraId="3531D5AF" w14:textId="0EE93235"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2,205,343,653</w:t>
            </w:r>
          </w:p>
        </w:tc>
        <w:tc>
          <w:tcPr>
            <w:tcW w:w="1187" w:type="dxa"/>
            <w:tcBorders>
              <w:top w:val="nil"/>
              <w:left w:val="nil"/>
              <w:bottom w:val="nil"/>
              <w:right w:val="nil"/>
            </w:tcBorders>
            <w:shd w:val="clear" w:color="000000" w:fill="FFFFFF"/>
            <w:noWrap/>
            <w:vAlign w:val="center"/>
            <w:hideMark/>
          </w:tcPr>
          <w:p w14:paraId="53DF70BE" w14:textId="30951B80"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2,278,119,994</w:t>
            </w:r>
          </w:p>
        </w:tc>
        <w:tc>
          <w:tcPr>
            <w:tcW w:w="1224" w:type="dxa"/>
            <w:tcBorders>
              <w:top w:val="nil"/>
              <w:left w:val="nil"/>
              <w:bottom w:val="nil"/>
              <w:right w:val="single" w:sz="4" w:space="0" w:color="auto"/>
            </w:tcBorders>
            <w:shd w:val="clear" w:color="000000" w:fill="FFFFFF"/>
            <w:noWrap/>
            <w:vAlign w:val="center"/>
            <w:hideMark/>
          </w:tcPr>
          <w:p w14:paraId="3DF4FE84" w14:textId="15A339A5"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2,353,297,954</w:t>
            </w:r>
          </w:p>
        </w:tc>
      </w:tr>
      <w:tr w:rsidR="006E08C5" w:rsidRPr="009C26EF" w14:paraId="4B3D0DE7" w14:textId="77777777" w:rsidTr="00D51385">
        <w:trPr>
          <w:trHeight w:val="199"/>
          <w:jc w:val="center"/>
        </w:trPr>
        <w:tc>
          <w:tcPr>
            <w:tcW w:w="3058" w:type="dxa"/>
            <w:tcBorders>
              <w:top w:val="nil"/>
              <w:left w:val="single" w:sz="4" w:space="0" w:color="auto"/>
              <w:bottom w:val="nil"/>
              <w:right w:val="nil"/>
            </w:tcBorders>
            <w:shd w:val="clear" w:color="000000" w:fill="FFFFFF"/>
            <w:vAlign w:val="center"/>
            <w:hideMark/>
          </w:tcPr>
          <w:p w14:paraId="563FF7BC" w14:textId="77777777" w:rsidR="006E08C5" w:rsidRPr="006E08C5" w:rsidRDefault="006E08C5" w:rsidP="002F131C">
            <w:pPr>
              <w:ind w:firstLineChars="200" w:firstLine="240"/>
              <w:rPr>
                <w:rFonts w:ascii="Montserrat Medium" w:eastAsia="Times New Roman" w:hAnsi="Montserrat Medium" w:cs="Arial"/>
                <w:sz w:val="12"/>
                <w:szCs w:val="12"/>
                <w:lang w:eastAsia="es-MX"/>
              </w:rPr>
            </w:pPr>
            <w:r w:rsidRPr="006E08C5">
              <w:rPr>
                <w:rFonts w:ascii="Montserrat Medium" w:eastAsia="Times New Roman" w:hAnsi="Montserrat Medium" w:cs="Arial"/>
                <w:sz w:val="12"/>
                <w:szCs w:val="12"/>
                <w:lang w:eastAsia="es-MX"/>
              </w:rPr>
              <w:t>C.    Fondos Distintos de Aportaciones</w:t>
            </w:r>
          </w:p>
        </w:tc>
        <w:tc>
          <w:tcPr>
            <w:tcW w:w="1170" w:type="dxa"/>
            <w:tcBorders>
              <w:top w:val="nil"/>
              <w:left w:val="nil"/>
              <w:bottom w:val="nil"/>
              <w:right w:val="nil"/>
            </w:tcBorders>
            <w:shd w:val="clear" w:color="000000" w:fill="FFFFFF"/>
            <w:noWrap/>
            <w:vAlign w:val="center"/>
            <w:hideMark/>
          </w:tcPr>
          <w:p w14:paraId="6F0FC63A" w14:textId="09DE4308"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49" w:type="dxa"/>
            <w:tcBorders>
              <w:top w:val="nil"/>
              <w:left w:val="nil"/>
              <w:bottom w:val="nil"/>
              <w:right w:val="nil"/>
            </w:tcBorders>
            <w:shd w:val="clear" w:color="000000" w:fill="FFFFFF"/>
            <w:noWrap/>
            <w:vAlign w:val="center"/>
            <w:hideMark/>
          </w:tcPr>
          <w:p w14:paraId="4B34A498" w14:textId="536268FB"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41" w:type="dxa"/>
            <w:tcBorders>
              <w:top w:val="nil"/>
              <w:left w:val="nil"/>
              <w:bottom w:val="nil"/>
              <w:right w:val="nil"/>
            </w:tcBorders>
            <w:shd w:val="clear" w:color="000000" w:fill="FFFFFF"/>
            <w:noWrap/>
            <w:vAlign w:val="center"/>
            <w:hideMark/>
          </w:tcPr>
          <w:p w14:paraId="3D9B2912" w14:textId="309A208B"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56" w:type="dxa"/>
            <w:tcBorders>
              <w:top w:val="nil"/>
              <w:left w:val="nil"/>
              <w:bottom w:val="nil"/>
              <w:right w:val="nil"/>
            </w:tcBorders>
            <w:shd w:val="clear" w:color="000000" w:fill="FFFFFF"/>
            <w:noWrap/>
            <w:vAlign w:val="center"/>
            <w:hideMark/>
          </w:tcPr>
          <w:p w14:paraId="048366D1" w14:textId="4729694C"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87" w:type="dxa"/>
            <w:tcBorders>
              <w:top w:val="nil"/>
              <w:left w:val="nil"/>
              <w:bottom w:val="nil"/>
              <w:right w:val="nil"/>
            </w:tcBorders>
            <w:shd w:val="clear" w:color="000000" w:fill="FFFFFF"/>
            <w:noWrap/>
            <w:vAlign w:val="center"/>
            <w:hideMark/>
          </w:tcPr>
          <w:p w14:paraId="400C1A25" w14:textId="5551B3EE"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224" w:type="dxa"/>
            <w:tcBorders>
              <w:top w:val="nil"/>
              <w:left w:val="nil"/>
              <w:bottom w:val="nil"/>
              <w:right w:val="single" w:sz="4" w:space="0" w:color="auto"/>
            </w:tcBorders>
            <w:shd w:val="clear" w:color="000000" w:fill="FFFFFF"/>
            <w:noWrap/>
            <w:vAlign w:val="center"/>
            <w:hideMark/>
          </w:tcPr>
          <w:p w14:paraId="2B53DC74" w14:textId="0B54D25F"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r>
      <w:tr w:rsidR="006E08C5" w:rsidRPr="009C26EF" w14:paraId="7EDBB65A" w14:textId="77777777" w:rsidTr="00D51385">
        <w:trPr>
          <w:trHeight w:val="199"/>
          <w:jc w:val="center"/>
        </w:trPr>
        <w:tc>
          <w:tcPr>
            <w:tcW w:w="3058" w:type="dxa"/>
            <w:tcBorders>
              <w:top w:val="nil"/>
              <w:left w:val="single" w:sz="4" w:space="0" w:color="auto"/>
              <w:bottom w:val="nil"/>
              <w:right w:val="nil"/>
            </w:tcBorders>
            <w:shd w:val="clear" w:color="000000" w:fill="FFFFFF"/>
            <w:vAlign w:val="center"/>
            <w:hideMark/>
          </w:tcPr>
          <w:p w14:paraId="004B46DD" w14:textId="77777777" w:rsidR="006E08C5" w:rsidRPr="006E08C5" w:rsidRDefault="006E08C5" w:rsidP="002F131C">
            <w:pPr>
              <w:ind w:firstLineChars="200" w:firstLine="240"/>
              <w:rPr>
                <w:rFonts w:ascii="Montserrat Medium" w:eastAsia="Times New Roman" w:hAnsi="Montserrat Medium" w:cs="Arial"/>
                <w:sz w:val="12"/>
                <w:szCs w:val="12"/>
                <w:lang w:eastAsia="es-MX"/>
              </w:rPr>
            </w:pPr>
            <w:r w:rsidRPr="006E08C5">
              <w:rPr>
                <w:rFonts w:ascii="Montserrat Medium" w:eastAsia="Times New Roman" w:hAnsi="Montserrat Medium" w:cs="Arial"/>
                <w:sz w:val="12"/>
                <w:szCs w:val="12"/>
                <w:lang w:eastAsia="es-MX"/>
              </w:rPr>
              <w:t>D.    Transferencias, Asignaciones, Subsidios y Subvenciones, y Pensiones y Jubilaciones</w:t>
            </w:r>
          </w:p>
        </w:tc>
        <w:tc>
          <w:tcPr>
            <w:tcW w:w="1170" w:type="dxa"/>
            <w:tcBorders>
              <w:top w:val="nil"/>
              <w:left w:val="nil"/>
              <w:bottom w:val="nil"/>
              <w:right w:val="nil"/>
            </w:tcBorders>
            <w:shd w:val="clear" w:color="000000" w:fill="FFFFFF"/>
            <w:noWrap/>
            <w:vAlign w:val="center"/>
            <w:hideMark/>
          </w:tcPr>
          <w:p w14:paraId="62EA4DFF" w14:textId="26BF2915"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49" w:type="dxa"/>
            <w:tcBorders>
              <w:top w:val="nil"/>
              <w:left w:val="nil"/>
              <w:bottom w:val="nil"/>
              <w:right w:val="nil"/>
            </w:tcBorders>
            <w:shd w:val="clear" w:color="000000" w:fill="FFFFFF"/>
            <w:noWrap/>
            <w:vAlign w:val="center"/>
            <w:hideMark/>
          </w:tcPr>
          <w:p w14:paraId="51BF14F1" w14:textId="72C0314D"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41" w:type="dxa"/>
            <w:tcBorders>
              <w:top w:val="nil"/>
              <w:left w:val="nil"/>
              <w:bottom w:val="nil"/>
              <w:right w:val="nil"/>
            </w:tcBorders>
            <w:shd w:val="clear" w:color="000000" w:fill="FFFFFF"/>
            <w:noWrap/>
            <w:vAlign w:val="center"/>
            <w:hideMark/>
          </w:tcPr>
          <w:p w14:paraId="2A933998" w14:textId="1F9398E1"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56" w:type="dxa"/>
            <w:tcBorders>
              <w:top w:val="nil"/>
              <w:left w:val="nil"/>
              <w:bottom w:val="nil"/>
              <w:right w:val="nil"/>
            </w:tcBorders>
            <w:shd w:val="clear" w:color="000000" w:fill="FFFFFF"/>
            <w:noWrap/>
            <w:vAlign w:val="center"/>
            <w:hideMark/>
          </w:tcPr>
          <w:p w14:paraId="6D15401A" w14:textId="0A109998"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87" w:type="dxa"/>
            <w:tcBorders>
              <w:top w:val="nil"/>
              <w:left w:val="nil"/>
              <w:bottom w:val="nil"/>
              <w:right w:val="nil"/>
            </w:tcBorders>
            <w:shd w:val="clear" w:color="000000" w:fill="FFFFFF"/>
            <w:noWrap/>
            <w:vAlign w:val="center"/>
            <w:hideMark/>
          </w:tcPr>
          <w:p w14:paraId="63491503" w14:textId="0AF2E807"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224" w:type="dxa"/>
            <w:tcBorders>
              <w:top w:val="nil"/>
              <w:left w:val="nil"/>
              <w:bottom w:val="nil"/>
              <w:right w:val="single" w:sz="4" w:space="0" w:color="auto"/>
            </w:tcBorders>
            <w:shd w:val="clear" w:color="000000" w:fill="FFFFFF"/>
            <w:noWrap/>
            <w:vAlign w:val="center"/>
            <w:hideMark/>
          </w:tcPr>
          <w:p w14:paraId="05B7FFC4" w14:textId="010228AE"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r>
      <w:tr w:rsidR="006E08C5" w:rsidRPr="009C26EF" w14:paraId="39E7AA21" w14:textId="77777777" w:rsidTr="00D51385">
        <w:trPr>
          <w:trHeight w:val="199"/>
          <w:jc w:val="center"/>
        </w:trPr>
        <w:tc>
          <w:tcPr>
            <w:tcW w:w="3058" w:type="dxa"/>
            <w:tcBorders>
              <w:top w:val="nil"/>
              <w:left w:val="single" w:sz="4" w:space="0" w:color="auto"/>
              <w:bottom w:val="nil"/>
              <w:right w:val="nil"/>
            </w:tcBorders>
            <w:shd w:val="clear" w:color="000000" w:fill="FFFFFF"/>
            <w:vAlign w:val="center"/>
            <w:hideMark/>
          </w:tcPr>
          <w:p w14:paraId="4DEF84B8" w14:textId="77777777" w:rsidR="006E08C5" w:rsidRPr="006E08C5" w:rsidRDefault="006E08C5" w:rsidP="002F131C">
            <w:pPr>
              <w:ind w:firstLineChars="200" w:firstLine="240"/>
              <w:rPr>
                <w:rFonts w:ascii="Montserrat Medium" w:eastAsia="Times New Roman" w:hAnsi="Montserrat Medium" w:cs="Arial"/>
                <w:sz w:val="12"/>
                <w:szCs w:val="12"/>
                <w:lang w:eastAsia="es-MX"/>
              </w:rPr>
            </w:pPr>
            <w:r w:rsidRPr="006E08C5">
              <w:rPr>
                <w:rFonts w:ascii="Montserrat Medium" w:eastAsia="Times New Roman" w:hAnsi="Montserrat Medium" w:cs="Arial"/>
                <w:sz w:val="12"/>
                <w:szCs w:val="12"/>
                <w:lang w:eastAsia="es-MX"/>
              </w:rPr>
              <w:t>E.    Otras Transferencias Federales Etiquetadas</w:t>
            </w:r>
          </w:p>
        </w:tc>
        <w:tc>
          <w:tcPr>
            <w:tcW w:w="1170" w:type="dxa"/>
            <w:tcBorders>
              <w:top w:val="nil"/>
              <w:left w:val="nil"/>
              <w:bottom w:val="nil"/>
              <w:right w:val="nil"/>
            </w:tcBorders>
            <w:shd w:val="clear" w:color="000000" w:fill="FFFFFF"/>
            <w:noWrap/>
            <w:vAlign w:val="center"/>
            <w:hideMark/>
          </w:tcPr>
          <w:p w14:paraId="78C36194" w14:textId="73FD060E"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49" w:type="dxa"/>
            <w:tcBorders>
              <w:top w:val="nil"/>
              <w:left w:val="nil"/>
              <w:bottom w:val="nil"/>
              <w:right w:val="nil"/>
            </w:tcBorders>
            <w:shd w:val="clear" w:color="000000" w:fill="FFFFFF"/>
            <w:noWrap/>
            <w:vAlign w:val="center"/>
            <w:hideMark/>
          </w:tcPr>
          <w:p w14:paraId="7A8369B1" w14:textId="065ED3D6"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41" w:type="dxa"/>
            <w:tcBorders>
              <w:top w:val="nil"/>
              <w:left w:val="nil"/>
              <w:bottom w:val="nil"/>
              <w:right w:val="nil"/>
            </w:tcBorders>
            <w:shd w:val="clear" w:color="000000" w:fill="FFFFFF"/>
            <w:noWrap/>
            <w:vAlign w:val="center"/>
            <w:hideMark/>
          </w:tcPr>
          <w:p w14:paraId="1E7AA01E" w14:textId="1174F3A1"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56" w:type="dxa"/>
            <w:tcBorders>
              <w:top w:val="nil"/>
              <w:left w:val="nil"/>
              <w:bottom w:val="nil"/>
              <w:right w:val="nil"/>
            </w:tcBorders>
            <w:shd w:val="clear" w:color="000000" w:fill="FFFFFF"/>
            <w:noWrap/>
            <w:vAlign w:val="center"/>
            <w:hideMark/>
          </w:tcPr>
          <w:p w14:paraId="615D5944" w14:textId="46A89837"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87" w:type="dxa"/>
            <w:tcBorders>
              <w:top w:val="nil"/>
              <w:left w:val="nil"/>
              <w:bottom w:val="nil"/>
              <w:right w:val="nil"/>
            </w:tcBorders>
            <w:shd w:val="clear" w:color="000000" w:fill="FFFFFF"/>
            <w:noWrap/>
            <w:vAlign w:val="center"/>
            <w:hideMark/>
          </w:tcPr>
          <w:p w14:paraId="553672A6" w14:textId="6D920010"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224" w:type="dxa"/>
            <w:tcBorders>
              <w:top w:val="nil"/>
              <w:left w:val="nil"/>
              <w:bottom w:val="nil"/>
              <w:right w:val="single" w:sz="4" w:space="0" w:color="auto"/>
            </w:tcBorders>
            <w:shd w:val="clear" w:color="000000" w:fill="FFFFFF"/>
            <w:noWrap/>
            <w:vAlign w:val="center"/>
            <w:hideMark/>
          </w:tcPr>
          <w:p w14:paraId="24D92831" w14:textId="07ED55EA"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r>
      <w:tr w:rsidR="006E08C5" w:rsidRPr="009C26EF" w14:paraId="16F2CBA8" w14:textId="77777777" w:rsidTr="00D51385">
        <w:trPr>
          <w:trHeight w:val="199"/>
          <w:jc w:val="center"/>
        </w:trPr>
        <w:tc>
          <w:tcPr>
            <w:tcW w:w="3058" w:type="dxa"/>
            <w:tcBorders>
              <w:top w:val="nil"/>
              <w:left w:val="single" w:sz="4" w:space="0" w:color="auto"/>
              <w:bottom w:val="nil"/>
              <w:right w:val="nil"/>
            </w:tcBorders>
            <w:shd w:val="clear" w:color="000000" w:fill="FFFFFF"/>
            <w:vAlign w:val="center"/>
            <w:hideMark/>
          </w:tcPr>
          <w:p w14:paraId="07769506" w14:textId="77777777" w:rsidR="006E08C5" w:rsidRPr="006E08C5" w:rsidRDefault="006E08C5" w:rsidP="002F131C">
            <w:pPr>
              <w:ind w:firstLineChars="200" w:firstLine="240"/>
              <w:rPr>
                <w:rFonts w:ascii="Montserrat Medium" w:eastAsia="Times New Roman" w:hAnsi="Montserrat Medium" w:cs="Arial"/>
                <w:sz w:val="12"/>
                <w:szCs w:val="12"/>
                <w:lang w:eastAsia="es-MX"/>
              </w:rPr>
            </w:pPr>
            <w:r w:rsidRPr="006E08C5">
              <w:rPr>
                <w:rFonts w:ascii="Montserrat Medium" w:eastAsia="Times New Roman" w:hAnsi="Montserrat Medium" w:cs="Arial"/>
                <w:sz w:val="12"/>
                <w:szCs w:val="12"/>
                <w:lang w:eastAsia="es-MX"/>
              </w:rPr>
              <w:t> </w:t>
            </w:r>
          </w:p>
        </w:tc>
        <w:tc>
          <w:tcPr>
            <w:tcW w:w="1170" w:type="dxa"/>
            <w:tcBorders>
              <w:top w:val="nil"/>
              <w:left w:val="nil"/>
              <w:bottom w:val="nil"/>
              <w:right w:val="nil"/>
            </w:tcBorders>
            <w:shd w:val="clear" w:color="000000" w:fill="FFFFFF"/>
            <w:noWrap/>
            <w:vAlign w:val="center"/>
            <w:hideMark/>
          </w:tcPr>
          <w:p w14:paraId="6B3FC345" w14:textId="6EC4368D"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 </w:t>
            </w:r>
          </w:p>
        </w:tc>
        <w:tc>
          <w:tcPr>
            <w:tcW w:w="1149" w:type="dxa"/>
            <w:tcBorders>
              <w:top w:val="nil"/>
              <w:left w:val="nil"/>
              <w:bottom w:val="nil"/>
              <w:right w:val="nil"/>
            </w:tcBorders>
            <w:shd w:val="clear" w:color="000000" w:fill="FFFFFF"/>
            <w:noWrap/>
            <w:vAlign w:val="center"/>
            <w:hideMark/>
          </w:tcPr>
          <w:p w14:paraId="083321D6" w14:textId="25752900"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 </w:t>
            </w:r>
          </w:p>
        </w:tc>
        <w:tc>
          <w:tcPr>
            <w:tcW w:w="1141" w:type="dxa"/>
            <w:tcBorders>
              <w:top w:val="nil"/>
              <w:left w:val="nil"/>
              <w:bottom w:val="nil"/>
              <w:right w:val="nil"/>
            </w:tcBorders>
            <w:shd w:val="clear" w:color="000000" w:fill="FFFFFF"/>
            <w:noWrap/>
            <w:vAlign w:val="center"/>
            <w:hideMark/>
          </w:tcPr>
          <w:p w14:paraId="2CA5B448" w14:textId="518D469C"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 </w:t>
            </w:r>
          </w:p>
        </w:tc>
        <w:tc>
          <w:tcPr>
            <w:tcW w:w="1156" w:type="dxa"/>
            <w:tcBorders>
              <w:top w:val="nil"/>
              <w:left w:val="nil"/>
              <w:bottom w:val="nil"/>
              <w:right w:val="nil"/>
            </w:tcBorders>
            <w:shd w:val="clear" w:color="000000" w:fill="FFFFFF"/>
            <w:noWrap/>
            <w:vAlign w:val="center"/>
            <w:hideMark/>
          </w:tcPr>
          <w:p w14:paraId="6C020811" w14:textId="699317D3"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 </w:t>
            </w:r>
          </w:p>
        </w:tc>
        <w:tc>
          <w:tcPr>
            <w:tcW w:w="1187" w:type="dxa"/>
            <w:tcBorders>
              <w:top w:val="nil"/>
              <w:left w:val="nil"/>
              <w:bottom w:val="nil"/>
              <w:right w:val="nil"/>
            </w:tcBorders>
            <w:shd w:val="clear" w:color="000000" w:fill="FFFFFF"/>
            <w:noWrap/>
            <w:vAlign w:val="center"/>
            <w:hideMark/>
          </w:tcPr>
          <w:p w14:paraId="24FC732E" w14:textId="3CBFB5B8"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 </w:t>
            </w:r>
          </w:p>
        </w:tc>
        <w:tc>
          <w:tcPr>
            <w:tcW w:w="1224" w:type="dxa"/>
            <w:tcBorders>
              <w:top w:val="nil"/>
              <w:left w:val="nil"/>
              <w:bottom w:val="nil"/>
              <w:right w:val="single" w:sz="4" w:space="0" w:color="auto"/>
            </w:tcBorders>
            <w:shd w:val="clear" w:color="000000" w:fill="FFFFFF"/>
            <w:noWrap/>
            <w:vAlign w:val="center"/>
            <w:hideMark/>
          </w:tcPr>
          <w:p w14:paraId="03DB810F" w14:textId="3C07C6A6"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 </w:t>
            </w:r>
          </w:p>
        </w:tc>
      </w:tr>
      <w:tr w:rsidR="006E08C5" w:rsidRPr="009C26EF" w14:paraId="4BE55600" w14:textId="77777777" w:rsidTr="00D51385">
        <w:trPr>
          <w:trHeight w:val="222"/>
          <w:jc w:val="center"/>
        </w:trPr>
        <w:tc>
          <w:tcPr>
            <w:tcW w:w="3058" w:type="dxa"/>
            <w:tcBorders>
              <w:top w:val="nil"/>
              <w:left w:val="single" w:sz="4" w:space="0" w:color="auto"/>
              <w:bottom w:val="single" w:sz="8" w:space="0" w:color="4F81BD"/>
              <w:right w:val="nil"/>
            </w:tcBorders>
            <w:shd w:val="clear" w:color="000000" w:fill="B0ABA1"/>
            <w:vAlign w:val="center"/>
            <w:hideMark/>
          </w:tcPr>
          <w:p w14:paraId="7B7BB023" w14:textId="77777777" w:rsidR="006E08C5" w:rsidRPr="006E08C5" w:rsidRDefault="006E08C5" w:rsidP="002F131C">
            <w:pPr>
              <w:rPr>
                <w:rFonts w:ascii="Montserrat Medium" w:eastAsia="Times New Roman" w:hAnsi="Montserrat Medium" w:cs="Arial"/>
                <w:color w:val="000000"/>
                <w:sz w:val="12"/>
                <w:szCs w:val="12"/>
                <w:lang w:eastAsia="es-MX"/>
              </w:rPr>
            </w:pPr>
            <w:r w:rsidRPr="006E08C5">
              <w:rPr>
                <w:rFonts w:ascii="Montserrat Medium" w:eastAsia="Times New Roman" w:hAnsi="Montserrat Medium" w:cs="Arial"/>
                <w:color w:val="000000"/>
                <w:sz w:val="12"/>
                <w:szCs w:val="12"/>
                <w:lang w:eastAsia="es-MX"/>
              </w:rPr>
              <w:t>3.   Ingresos Derivados de Financiamientos (3=A)</w:t>
            </w:r>
          </w:p>
        </w:tc>
        <w:tc>
          <w:tcPr>
            <w:tcW w:w="1170" w:type="dxa"/>
            <w:tcBorders>
              <w:top w:val="nil"/>
              <w:left w:val="nil"/>
              <w:bottom w:val="single" w:sz="8" w:space="0" w:color="4F81BD"/>
              <w:right w:val="nil"/>
            </w:tcBorders>
            <w:shd w:val="clear" w:color="000000" w:fill="B0ABA1"/>
            <w:noWrap/>
            <w:vAlign w:val="center"/>
            <w:hideMark/>
          </w:tcPr>
          <w:p w14:paraId="53213330" w14:textId="28278216" w:rsidR="006E08C5" w:rsidRPr="006E08C5" w:rsidRDefault="006E08C5" w:rsidP="002F131C">
            <w:pPr>
              <w:jc w:val="right"/>
              <w:rPr>
                <w:rFonts w:ascii="Montserrat Medium" w:eastAsia="Times New Roman" w:hAnsi="Montserrat Medium" w:cs="Arial"/>
                <w:color w:val="000000"/>
                <w:sz w:val="14"/>
                <w:szCs w:val="14"/>
                <w:highlight w:val="yellow"/>
                <w:lang w:eastAsia="es-MX"/>
              </w:rPr>
            </w:pPr>
            <w:r w:rsidRPr="006E08C5">
              <w:rPr>
                <w:rFonts w:ascii="Montserrat Medium" w:eastAsia="Times New Roman" w:hAnsi="Montserrat Medium" w:cs="Arial"/>
                <w:color w:val="000000"/>
                <w:sz w:val="14"/>
                <w:szCs w:val="14"/>
                <w:lang w:eastAsia="es-MX"/>
              </w:rPr>
              <w:t>0</w:t>
            </w:r>
          </w:p>
        </w:tc>
        <w:tc>
          <w:tcPr>
            <w:tcW w:w="1149" w:type="dxa"/>
            <w:tcBorders>
              <w:top w:val="nil"/>
              <w:left w:val="nil"/>
              <w:bottom w:val="single" w:sz="8" w:space="0" w:color="4F81BD"/>
              <w:right w:val="nil"/>
            </w:tcBorders>
            <w:shd w:val="clear" w:color="000000" w:fill="B0ABA1"/>
            <w:noWrap/>
            <w:vAlign w:val="center"/>
            <w:hideMark/>
          </w:tcPr>
          <w:p w14:paraId="3BB597AC" w14:textId="00123EE8" w:rsidR="006E08C5" w:rsidRPr="006E08C5" w:rsidRDefault="006E08C5" w:rsidP="002F131C">
            <w:pPr>
              <w:jc w:val="right"/>
              <w:rPr>
                <w:rFonts w:ascii="Montserrat Medium" w:eastAsia="Times New Roman" w:hAnsi="Montserrat Medium" w:cs="Arial"/>
                <w:color w:val="000000"/>
                <w:sz w:val="14"/>
                <w:szCs w:val="14"/>
                <w:highlight w:val="yellow"/>
                <w:lang w:eastAsia="es-MX"/>
              </w:rPr>
            </w:pPr>
            <w:r w:rsidRPr="006E08C5">
              <w:rPr>
                <w:rFonts w:ascii="Montserrat Medium" w:eastAsia="Times New Roman" w:hAnsi="Montserrat Medium" w:cs="Arial"/>
                <w:color w:val="000000"/>
                <w:sz w:val="14"/>
                <w:szCs w:val="14"/>
                <w:lang w:eastAsia="es-MX"/>
              </w:rPr>
              <w:t>0</w:t>
            </w:r>
          </w:p>
        </w:tc>
        <w:tc>
          <w:tcPr>
            <w:tcW w:w="1141" w:type="dxa"/>
            <w:tcBorders>
              <w:top w:val="nil"/>
              <w:left w:val="nil"/>
              <w:bottom w:val="single" w:sz="8" w:space="0" w:color="4F81BD"/>
              <w:right w:val="nil"/>
            </w:tcBorders>
            <w:shd w:val="clear" w:color="000000" w:fill="B0ABA1"/>
            <w:noWrap/>
            <w:vAlign w:val="center"/>
            <w:hideMark/>
          </w:tcPr>
          <w:p w14:paraId="40887627" w14:textId="504A4037" w:rsidR="006E08C5" w:rsidRPr="006E08C5" w:rsidRDefault="006E08C5" w:rsidP="002F131C">
            <w:pPr>
              <w:jc w:val="right"/>
              <w:rPr>
                <w:rFonts w:ascii="Montserrat Medium" w:eastAsia="Times New Roman" w:hAnsi="Montserrat Medium" w:cs="Arial"/>
                <w:color w:val="000000"/>
                <w:sz w:val="14"/>
                <w:szCs w:val="14"/>
                <w:highlight w:val="yellow"/>
                <w:lang w:eastAsia="es-MX"/>
              </w:rPr>
            </w:pPr>
            <w:r w:rsidRPr="006E08C5">
              <w:rPr>
                <w:rFonts w:ascii="Montserrat Medium" w:eastAsia="Times New Roman" w:hAnsi="Montserrat Medium" w:cs="Arial"/>
                <w:color w:val="000000"/>
                <w:sz w:val="14"/>
                <w:szCs w:val="14"/>
                <w:lang w:eastAsia="es-MX"/>
              </w:rPr>
              <w:t>0</w:t>
            </w:r>
          </w:p>
        </w:tc>
        <w:tc>
          <w:tcPr>
            <w:tcW w:w="1156" w:type="dxa"/>
            <w:tcBorders>
              <w:top w:val="nil"/>
              <w:left w:val="nil"/>
              <w:bottom w:val="single" w:sz="8" w:space="0" w:color="4F81BD"/>
              <w:right w:val="nil"/>
            </w:tcBorders>
            <w:shd w:val="clear" w:color="000000" w:fill="B0ABA1"/>
            <w:noWrap/>
            <w:vAlign w:val="center"/>
            <w:hideMark/>
          </w:tcPr>
          <w:p w14:paraId="4E2999BF" w14:textId="32413D21" w:rsidR="006E08C5" w:rsidRPr="006E08C5" w:rsidRDefault="006E08C5" w:rsidP="002F131C">
            <w:pPr>
              <w:jc w:val="right"/>
              <w:rPr>
                <w:rFonts w:ascii="Montserrat Medium" w:eastAsia="Times New Roman" w:hAnsi="Montserrat Medium" w:cs="Arial"/>
                <w:color w:val="000000"/>
                <w:sz w:val="14"/>
                <w:szCs w:val="14"/>
                <w:highlight w:val="yellow"/>
                <w:lang w:eastAsia="es-MX"/>
              </w:rPr>
            </w:pPr>
            <w:r w:rsidRPr="006E08C5">
              <w:rPr>
                <w:rFonts w:ascii="Montserrat Medium" w:eastAsia="Times New Roman" w:hAnsi="Montserrat Medium" w:cs="Arial"/>
                <w:color w:val="000000"/>
                <w:sz w:val="14"/>
                <w:szCs w:val="14"/>
                <w:lang w:eastAsia="es-MX"/>
              </w:rPr>
              <w:t>0</w:t>
            </w:r>
          </w:p>
        </w:tc>
        <w:tc>
          <w:tcPr>
            <w:tcW w:w="1187" w:type="dxa"/>
            <w:tcBorders>
              <w:top w:val="nil"/>
              <w:left w:val="nil"/>
              <w:bottom w:val="single" w:sz="8" w:space="0" w:color="4F81BD"/>
              <w:right w:val="nil"/>
            </w:tcBorders>
            <w:shd w:val="clear" w:color="000000" w:fill="B0ABA1"/>
            <w:noWrap/>
            <w:vAlign w:val="center"/>
            <w:hideMark/>
          </w:tcPr>
          <w:p w14:paraId="2CFC1D96" w14:textId="36778128" w:rsidR="006E08C5" w:rsidRPr="006E08C5" w:rsidRDefault="006E08C5" w:rsidP="002F131C">
            <w:pPr>
              <w:jc w:val="right"/>
              <w:rPr>
                <w:rFonts w:ascii="Montserrat Medium" w:eastAsia="Times New Roman" w:hAnsi="Montserrat Medium" w:cs="Arial"/>
                <w:color w:val="000000"/>
                <w:sz w:val="14"/>
                <w:szCs w:val="14"/>
                <w:highlight w:val="yellow"/>
                <w:lang w:eastAsia="es-MX"/>
              </w:rPr>
            </w:pPr>
            <w:r w:rsidRPr="006E08C5">
              <w:rPr>
                <w:rFonts w:ascii="Montserrat Medium" w:eastAsia="Times New Roman" w:hAnsi="Montserrat Medium" w:cs="Arial"/>
                <w:color w:val="000000"/>
                <w:sz w:val="14"/>
                <w:szCs w:val="14"/>
                <w:lang w:eastAsia="es-MX"/>
              </w:rPr>
              <w:t>0</w:t>
            </w:r>
          </w:p>
        </w:tc>
        <w:tc>
          <w:tcPr>
            <w:tcW w:w="1224" w:type="dxa"/>
            <w:tcBorders>
              <w:top w:val="nil"/>
              <w:left w:val="nil"/>
              <w:bottom w:val="single" w:sz="8" w:space="0" w:color="4F81BD"/>
              <w:right w:val="single" w:sz="4" w:space="0" w:color="auto"/>
            </w:tcBorders>
            <w:shd w:val="clear" w:color="000000" w:fill="B0ABA1"/>
            <w:noWrap/>
            <w:vAlign w:val="center"/>
            <w:hideMark/>
          </w:tcPr>
          <w:p w14:paraId="5F07DE3B" w14:textId="7665F999" w:rsidR="006E08C5" w:rsidRPr="006E08C5" w:rsidRDefault="006E08C5" w:rsidP="002F131C">
            <w:pPr>
              <w:jc w:val="right"/>
              <w:rPr>
                <w:rFonts w:ascii="Montserrat Medium" w:eastAsia="Times New Roman" w:hAnsi="Montserrat Medium" w:cs="Arial"/>
                <w:color w:val="000000"/>
                <w:sz w:val="14"/>
                <w:szCs w:val="14"/>
                <w:highlight w:val="yellow"/>
                <w:lang w:eastAsia="es-MX"/>
              </w:rPr>
            </w:pPr>
            <w:r w:rsidRPr="006E08C5">
              <w:rPr>
                <w:rFonts w:ascii="Montserrat Medium" w:eastAsia="Times New Roman" w:hAnsi="Montserrat Medium" w:cs="Arial"/>
                <w:color w:val="000000"/>
                <w:sz w:val="14"/>
                <w:szCs w:val="14"/>
                <w:lang w:eastAsia="es-MX"/>
              </w:rPr>
              <w:t>0</w:t>
            </w:r>
          </w:p>
        </w:tc>
      </w:tr>
      <w:tr w:rsidR="006E08C5" w:rsidRPr="009C26EF" w14:paraId="64AD154A" w14:textId="77777777" w:rsidTr="00D51385">
        <w:trPr>
          <w:trHeight w:val="199"/>
          <w:jc w:val="center"/>
        </w:trPr>
        <w:tc>
          <w:tcPr>
            <w:tcW w:w="3058" w:type="dxa"/>
            <w:tcBorders>
              <w:top w:val="nil"/>
              <w:left w:val="single" w:sz="4" w:space="0" w:color="auto"/>
              <w:bottom w:val="nil"/>
              <w:right w:val="nil"/>
            </w:tcBorders>
            <w:shd w:val="clear" w:color="000000" w:fill="FFFFFF"/>
            <w:vAlign w:val="center"/>
            <w:hideMark/>
          </w:tcPr>
          <w:p w14:paraId="38210C4D" w14:textId="77777777" w:rsidR="006E08C5" w:rsidRPr="006E08C5" w:rsidRDefault="006E08C5" w:rsidP="002F131C">
            <w:pPr>
              <w:ind w:firstLineChars="200" w:firstLine="240"/>
              <w:rPr>
                <w:rFonts w:ascii="Montserrat Medium" w:eastAsia="Times New Roman" w:hAnsi="Montserrat Medium" w:cs="Arial"/>
                <w:sz w:val="12"/>
                <w:szCs w:val="12"/>
                <w:lang w:eastAsia="es-MX"/>
              </w:rPr>
            </w:pPr>
            <w:r w:rsidRPr="006E08C5">
              <w:rPr>
                <w:rFonts w:ascii="Montserrat Medium" w:eastAsia="Times New Roman" w:hAnsi="Montserrat Medium" w:cs="Arial"/>
                <w:sz w:val="12"/>
                <w:szCs w:val="12"/>
                <w:lang w:eastAsia="es-MX"/>
              </w:rPr>
              <w:t>A.    Ingresos Derivados de Financiamientos</w:t>
            </w:r>
          </w:p>
        </w:tc>
        <w:tc>
          <w:tcPr>
            <w:tcW w:w="1170" w:type="dxa"/>
            <w:tcBorders>
              <w:top w:val="nil"/>
              <w:left w:val="nil"/>
              <w:bottom w:val="nil"/>
              <w:right w:val="nil"/>
            </w:tcBorders>
            <w:shd w:val="clear" w:color="000000" w:fill="FFFFFF"/>
            <w:noWrap/>
            <w:vAlign w:val="center"/>
            <w:hideMark/>
          </w:tcPr>
          <w:p w14:paraId="66E1B8B1" w14:textId="53933C06"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49" w:type="dxa"/>
            <w:tcBorders>
              <w:top w:val="nil"/>
              <w:left w:val="nil"/>
              <w:bottom w:val="nil"/>
              <w:right w:val="nil"/>
            </w:tcBorders>
            <w:shd w:val="clear" w:color="000000" w:fill="FFFFFF"/>
            <w:noWrap/>
            <w:vAlign w:val="center"/>
            <w:hideMark/>
          </w:tcPr>
          <w:p w14:paraId="7C774C84" w14:textId="0F025289"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41" w:type="dxa"/>
            <w:tcBorders>
              <w:top w:val="nil"/>
              <w:left w:val="nil"/>
              <w:bottom w:val="nil"/>
              <w:right w:val="nil"/>
            </w:tcBorders>
            <w:shd w:val="clear" w:color="000000" w:fill="FFFFFF"/>
            <w:noWrap/>
            <w:vAlign w:val="center"/>
            <w:hideMark/>
          </w:tcPr>
          <w:p w14:paraId="07BF6B94" w14:textId="134CA7CB"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56" w:type="dxa"/>
            <w:tcBorders>
              <w:top w:val="nil"/>
              <w:left w:val="nil"/>
              <w:bottom w:val="nil"/>
              <w:right w:val="nil"/>
            </w:tcBorders>
            <w:shd w:val="clear" w:color="000000" w:fill="FFFFFF"/>
            <w:noWrap/>
            <w:vAlign w:val="center"/>
            <w:hideMark/>
          </w:tcPr>
          <w:p w14:paraId="558EB78C" w14:textId="390D1048"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87" w:type="dxa"/>
            <w:tcBorders>
              <w:top w:val="nil"/>
              <w:left w:val="nil"/>
              <w:bottom w:val="nil"/>
              <w:right w:val="nil"/>
            </w:tcBorders>
            <w:shd w:val="clear" w:color="000000" w:fill="FFFFFF"/>
            <w:noWrap/>
            <w:vAlign w:val="center"/>
            <w:hideMark/>
          </w:tcPr>
          <w:p w14:paraId="5F246B32" w14:textId="56AABCAF"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224" w:type="dxa"/>
            <w:tcBorders>
              <w:top w:val="nil"/>
              <w:left w:val="nil"/>
              <w:bottom w:val="nil"/>
              <w:right w:val="single" w:sz="4" w:space="0" w:color="auto"/>
            </w:tcBorders>
            <w:shd w:val="clear" w:color="000000" w:fill="FFFFFF"/>
            <w:noWrap/>
            <w:vAlign w:val="center"/>
            <w:hideMark/>
          </w:tcPr>
          <w:p w14:paraId="1331483D" w14:textId="24F6D4C8"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r>
      <w:tr w:rsidR="006E08C5" w:rsidRPr="009C26EF" w14:paraId="36E01A79" w14:textId="77777777" w:rsidTr="00D51385">
        <w:trPr>
          <w:trHeight w:val="222"/>
          <w:jc w:val="center"/>
        </w:trPr>
        <w:tc>
          <w:tcPr>
            <w:tcW w:w="3058" w:type="dxa"/>
            <w:tcBorders>
              <w:top w:val="nil"/>
              <w:left w:val="single" w:sz="4" w:space="0" w:color="auto"/>
              <w:bottom w:val="nil"/>
              <w:right w:val="nil"/>
            </w:tcBorders>
            <w:shd w:val="clear" w:color="000000" w:fill="FFFFFF"/>
            <w:vAlign w:val="center"/>
            <w:hideMark/>
          </w:tcPr>
          <w:p w14:paraId="5F169C83" w14:textId="5801F3E8" w:rsidR="006E08C5" w:rsidRPr="006E08C5" w:rsidRDefault="006E08C5" w:rsidP="002F131C">
            <w:pPr>
              <w:rPr>
                <w:rFonts w:ascii="Montserrat Medium" w:eastAsia="Times New Roman" w:hAnsi="Montserrat Medium" w:cs="Arial"/>
                <w:sz w:val="12"/>
                <w:szCs w:val="12"/>
                <w:lang w:eastAsia="es-MX"/>
              </w:rPr>
            </w:pPr>
          </w:p>
        </w:tc>
        <w:tc>
          <w:tcPr>
            <w:tcW w:w="1170" w:type="dxa"/>
            <w:tcBorders>
              <w:top w:val="nil"/>
              <w:left w:val="nil"/>
              <w:bottom w:val="nil"/>
              <w:right w:val="nil"/>
            </w:tcBorders>
            <w:shd w:val="clear" w:color="000000" w:fill="FFFFFF"/>
            <w:noWrap/>
            <w:vAlign w:val="center"/>
            <w:hideMark/>
          </w:tcPr>
          <w:p w14:paraId="017F2543" w14:textId="3DCC3E9B"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 </w:t>
            </w:r>
          </w:p>
        </w:tc>
        <w:tc>
          <w:tcPr>
            <w:tcW w:w="1149" w:type="dxa"/>
            <w:tcBorders>
              <w:top w:val="nil"/>
              <w:left w:val="nil"/>
              <w:bottom w:val="nil"/>
              <w:right w:val="nil"/>
            </w:tcBorders>
            <w:shd w:val="clear" w:color="000000" w:fill="FFFFFF"/>
            <w:noWrap/>
            <w:vAlign w:val="center"/>
            <w:hideMark/>
          </w:tcPr>
          <w:p w14:paraId="05C51C63" w14:textId="6484A740"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 </w:t>
            </w:r>
          </w:p>
        </w:tc>
        <w:tc>
          <w:tcPr>
            <w:tcW w:w="1141" w:type="dxa"/>
            <w:tcBorders>
              <w:top w:val="nil"/>
              <w:left w:val="nil"/>
              <w:bottom w:val="nil"/>
              <w:right w:val="nil"/>
            </w:tcBorders>
            <w:shd w:val="clear" w:color="000000" w:fill="FFFFFF"/>
            <w:noWrap/>
            <w:vAlign w:val="center"/>
            <w:hideMark/>
          </w:tcPr>
          <w:p w14:paraId="75DEB969" w14:textId="3C6C64A6"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 </w:t>
            </w:r>
          </w:p>
        </w:tc>
        <w:tc>
          <w:tcPr>
            <w:tcW w:w="1156" w:type="dxa"/>
            <w:tcBorders>
              <w:top w:val="nil"/>
              <w:left w:val="nil"/>
              <w:bottom w:val="nil"/>
              <w:right w:val="nil"/>
            </w:tcBorders>
            <w:shd w:val="clear" w:color="000000" w:fill="FFFFFF"/>
            <w:noWrap/>
            <w:vAlign w:val="center"/>
            <w:hideMark/>
          </w:tcPr>
          <w:p w14:paraId="7C7BE65D" w14:textId="21A551E5"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 </w:t>
            </w:r>
          </w:p>
        </w:tc>
        <w:tc>
          <w:tcPr>
            <w:tcW w:w="1187" w:type="dxa"/>
            <w:tcBorders>
              <w:top w:val="nil"/>
              <w:left w:val="nil"/>
              <w:bottom w:val="nil"/>
              <w:right w:val="nil"/>
            </w:tcBorders>
            <w:shd w:val="clear" w:color="000000" w:fill="FFFFFF"/>
            <w:noWrap/>
            <w:vAlign w:val="center"/>
            <w:hideMark/>
          </w:tcPr>
          <w:p w14:paraId="38416A0F" w14:textId="5F9CDA10"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 </w:t>
            </w:r>
          </w:p>
        </w:tc>
        <w:tc>
          <w:tcPr>
            <w:tcW w:w="1224" w:type="dxa"/>
            <w:tcBorders>
              <w:top w:val="nil"/>
              <w:left w:val="nil"/>
              <w:bottom w:val="nil"/>
              <w:right w:val="single" w:sz="4" w:space="0" w:color="auto"/>
            </w:tcBorders>
            <w:shd w:val="clear" w:color="000000" w:fill="FFFFFF"/>
            <w:noWrap/>
            <w:vAlign w:val="center"/>
            <w:hideMark/>
          </w:tcPr>
          <w:p w14:paraId="408E870F" w14:textId="3AE60587"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 </w:t>
            </w:r>
          </w:p>
        </w:tc>
      </w:tr>
      <w:tr w:rsidR="006E08C5" w:rsidRPr="009C26EF" w14:paraId="327146D1" w14:textId="77777777" w:rsidTr="00D51385">
        <w:trPr>
          <w:trHeight w:val="405"/>
          <w:jc w:val="center"/>
        </w:trPr>
        <w:tc>
          <w:tcPr>
            <w:tcW w:w="3058" w:type="dxa"/>
            <w:tcBorders>
              <w:top w:val="nil"/>
              <w:left w:val="single" w:sz="4" w:space="0" w:color="auto"/>
              <w:bottom w:val="single" w:sz="8" w:space="0" w:color="4F81BD"/>
              <w:right w:val="nil"/>
            </w:tcBorders>
            <w:shd w:val="clear" w:color="000000" w:fill="B0ABA1"/>
            <w:vAlign w:val="center"/>
            <w:hideMark/>
          </w:tcPr>
          <w:p w14:paraId="4E646D7F" w14:textId="77777777" w:rsidR="006E08C5" w:rsidRPr="006E08C5" w:rsidRDefault="006E08C5" w:rsidP="002F131C">
            <w:pPr>
              <w:rPr>
                <w:rFonts w:ascii="Montserrat Medium" w:eastAsia="Times New Roman" w:hAnsi="Montserrat Medium" w:cs="Arial"/>
                <w:b/>
                <w:bCs/>
                <w:color w:val="000000"/>
                <w:sz w:val="12"/>
                <w:szCs w:val="12"/>
                <w:lang w:eastAsia="es-MX"/>
              </w:rPr>
            </w:pPr>
            <w:r w:rsidRPr="006E08C5">
              <w:rPr>
                <w:rFonts w:ascii="Montserrat Medium" w:eastAsia="Times New Roman" w:hAnsi="Montserrat Medium" w:cs="Arial"/>
                <w:b/>
                <w:bCs/>
                <w:color w:val="000000"/>
                <w:sz w:val="12"/>
                <w:szCs w:val="12"/>
                <w:lang w:eastAsia="es-MX"/>
              </w:rPr>
              <w:t>4.   Total de Ingresos Proyectados (4=1+2+3)</w:t>
            </w:r>
          </w:p>
        </w:tc>
        <w:tc>
          <w:tcPr>
            <w:tcW w:w="1170" w:type="dxa"/>
            <w:tcBorders>
              <w:top w:val="nil"/>
              <w:left w:val="nil"/>
              <w:bottom w:val="single" w:sz="8" w:space="0" w:color="4F81BD"/>
              <w:right w:val="nil"/>
            </w:tcBorders>
            <w:shd w:val="clear" w:color="000000" w:fill="B0ABA1"/>
            <w:noWrap/>
            <w:vAlign w:val="center"/>
            <w:hideMark/>
          </w:tcPr>
          <w:p w14:paraId="7DC97D4C" w14:textId="27F1FDBF" w:rsidR="006E08C5" w:rsidRPr="006E08C5" w:rsidRDefault="006E08C5" w:rsidP="002F131C">
            <w:pPr>
              <w:jc w:val="right"/>
              <w:rPr>
                <w:rFonts w:ascii="Montserrat Medium" w:eastAsia="Times New Roman" w:hAnsi="Montserrat Medium" w:cs="Arial"/>
                <w:b/>
                <w:bCs/>
                <w:color w:val="000000"/>
                <w:sz w:val="14"/>
                <w:szCs w:val="14"/>
                <w:highlight w:val="yellow"/>
                <w:lang w:eastAsia="es-MX"/>
              </w:rPr>
            </w:pPr>
            <w:r w:rsidRPr="006E08C5">
              <w:rPr>
                <w:rFonts w:ascii="Montserrat Medium" w:eastAsia="Times New Roman" w:hAnsi="Montserrat Medium" w:cs="Arial"/>
                <w:b/>
                <w:bCs/>
                <w:color w:val="000000"/>
                <w:sz w:val="14"/>
                <w:szCs w:val="14"/>
                <w:lang w:eastAsia="es-MX"/>
              </w:rPr>
              <w:t>51,473,800,044</w:t>
            </w:r>
          </w:p>
        </w:tc>
        <w:tc>
          <w:tcPr>
            <w:tcW w:w="1149" w:type="dxa"/>
            <w:tcBorders>
              <w:top w:val="nil"/>
              <w:left w:val="nil"/>
              <w:bottom w:val="single" w:sz="8" w:space="0" w:color="4F81BD"/>
              <w:right w:val="nil"/>
            </w:tcBorders>
            <w:shd w:val="clear" w:color="000000" w:fill="B0ABA1"/>
            <w:noWrap/>
            <w:vAlign w:val="center"/>
            <w:hideMark/>
          </w:tcPr>
          <w:p w14:paraId="35D8B67C" w14:textId="63701B98" w:rsidR="006E08C5" w:rsidRPr="006E08C5" w:rsidRDefault="006E08C5" w:rsidP="002F131C">
            <w:pPr>
              <w:jc w:val="right"/>
              <w:rPr>
                <w:rFonts w:ascii="Montserrat Medium" w:eastAsia="Times New Roman" w:hAnsi="Montserrat Medium" w:cs="Arial"/>
                <w:b/>
                <w:bCs/>
                <w:color w:val="000000"/>
                <w:sz w:val="14"/>
                <w:szCs w:val="14"/>
                <w:highlight w:val="yellow"/>
                <w:lang w:eastAsia="es-MX"/>
              </w:rPr>
            </w:pPr>
            <w:r w:rsidRPr="006E08C5">
              <w:rPr>
                <w:rFonts w:ascii="Montserrat Medium" w:eastAsia="Times New Roman" w:hAnsi="Montserrat Medium" w:cs="Arial"/>
                <w:b/>
                <w:bCs/>
                <w:color w:val="000000"/>
                <w:sz w:val="14"/>
                <w:szCs w:val="14"/>
                <w:lang w:eastAsia="es-MX"/>
              </w:rPr>
              <w:t>53,572,435,445</w:t>
            </w:r>
          </w:p>
        </w:tc>
        <w:tc>
          <w:tcPr>
            <w:tcW w:w="1141" w:type="dxa"/>
            <w:tcBorders>
              <w:top w:val="nil"/>
              <w:left w:val="nil"/>
              <w:bottom w:val="single" w:sz="8" w:space="0" w:color="4F81BD"/>
              <w:right w:val="nil"/>
            </w:tcBorders>
            <w:shd w:val="clear" w:color="000000" w:fill="B0ABA1"/>
            <w:noWrap/>
            <w:vAlign w:val="center"/>
            <w:hideMark/>
          </w:tcPr>
          <w:p w14:paraId="55DD7FD9" w14:textId="3DFA3430" w:rsidR="006E08C5" w:rsidRPr="006E08C5" w:rsidRDefault="006E08C5" w:rsidP="002F131C">
            <w:pPr>
              <w:jc w:val="right"/>
              <w:rPr>
                <w:rFonts w:ascii="Montserrat Medium" w:eastAsia="Times New Roman" w:hAnsi="Montserrat Medium" w:cs="Arial"/>
                <w:b/>
                <w:bCs/>
                <w:color w:val="000000"/>
                <w:sz w:val="14"/>
                <w:szCs w:val="14"/>
                <w:highlight w:val="yellow"/>
                <w:lang w:eastAsia="es-MX"/>
              </w:rPr>
            </w:pPr>
            <w:r w:rsidRPr="006E08C5">
              <w:rPr>
                <w:rFonts w:ascii="Montserrat Medium" w:eastAsia="Times New Roman" w:hAnsi="Montserrat Medium" w:cs="Arial"/>
                <w:b/>
                <w:bCs/>
                <w:color w:val="000000"/>
                <w:sz w:val="14"/>
                <w:szCs w:val="14"/>
                <w:lang w:eastAsia="es-MX"/>
              </w:rPr>
              <w:t>54,927,125,816</w:t>
            </w:r>
          </w:p>
        </w:tc>
        <w:tc>
          <w:tcPr>
            <w:tcW w:w="1156" w:type="dxa"/>
            <w:tcBorders>
              <w:top w:val="nil"/>
              <w:left w:val="nil"/>
              <w:bottom w:val="single" w:sz="8" w:space="0" w:color="4F81BD"/>
              <w:right w:val="nil"/>
            </w:tcBorders>
            <w:shd w:val="clear" w:color="000000" w:fill="B0ABA1"/>
            <w:noWrap/>
            <w:vAlign w:val="center"/>
            <w:hideMark/>
          </w:tcPr>
          <w:p w14:paraId="2D7E88A4" w14:textId="1A42782C" w:rsidR="006E08C5" w:rsidRPr="006E08C5" w:rsidRDefault="006E08C5" w:rsidP="002F131C">
            <w:pPr>
              <w:jc w:val="right"/>
              <w:rPr>
                <w:rFonts w:ascii="Montserrat Medium" w:eastAsia="Times New Roman" w:hAnsi="Montserrat Medium" w:cs="Arial"/>
                <w:b/>
                <w:bCs/>
                <w:color w:val="000000"/>
                <w:sz w:val="14"/>
                <w:szCs w:val="14"/>
                <w:highlight w:val="yellow"/>
                <w:lang w:eastAsia="es-MX"/>
              </w:rPr>
            </w:pPr>
            <w:r w:rsidRPr="006E08C5">
              <w:rPr>
                <w:rFonts w:ascii="Montserrat Medium" w:eastAsia="Times New Roman" w:hAnsi="Montserrat Medium" w:cs="Arial"/>
                <w:b/>
                <w:bCs/>
                <w:color w:val="000000"/>
                <w:sz w:val="14"/>
                <w:szCs w:val="14"/>
                <w:lang w:eastAsia="es-MX"/>
              </w:rPr>
              <w:t>56,739,720,967</w:t>
            </w:r>
          </w:p>
        </w:tc>
        <w:tc>
          <w:tcPr>
            <w:tcW w:w="1187" w:type="dxa"/>
            <w:tcBorders>
              <w:top w:val="nil"/>
              <w:left w:val="nil"/>
              <w:bottom w:val="single" w:sz="8" w:space="0" w:color="4F81BD"/>
              <w:right w:val="nil"/>
            </w:tcBorders>
            <w:shd w:val="clear" w:color="000000" w:fill="B0ABA1"/>
            <w:noWrap/>
            <w:vAlign w:val="center"/>
            <w:hideMark/>
          </w:tcPr>
          <w:p w14:paraId="6A4CC920" w14:textId="09A5D98A" w:rsidR="006E08C5" w:rsidRPr="006E08C5" w:rsidRDefault="006E08C5" w:rsidP="002F131C">
            <w:pPr>
              <w:jc w:val="right"/>
              <w:rPr>
                <w:rFonts w:ascii="Montserrat Medium" w:eastAsia="Times New Roman" w:hAnsi="Montserrat Medium" w:cs="Arial"/>
                <w:b/>
                <w:bCs/>
                <w:color w:val="000000"/>
                <w:sz w:val="14"/>
                <w:szCs w:val="14"/>
                <w:highlight w:val="yellow"/>
                <w:lang w:eastAsia="es-MX"/>
              </w:rPr>
            </w:pPr>
            <w:r w:rsidRPr="006E08C5">
              <w:rPr>
                <w:rFonts w:ascii="Montserrat Medium" w:eastAsia="Times New Roman" w:hAnsi="Montserrat Medium" w:cs="Arial"/>
                <w:b/>
                <w:bCs/>
                <w:color w:val="000000"/>
                <w:sz w:val="14"/>
                <w:szCs w:val="14"/>
                <w:lang w:eastAsia="es-MX"/>
              </w:rPr>
              <w:t>59,012,131,759</w:t>
            </w:r>
          </w:p>
        </w:tc>
        <w:tc>
          <w:tcPr>
            <w:tcW w:w="1224" w:type="dxa"/>
            <w:tcBorders>
              <w:top w:val="nil"/>
              <w:left w:val="nil"/>
              <w:bottom w:val="single" w:sz="8" w:space="0" w:color="4F81BD"/>
              <w:right w:val="single" w:sz="4" w:space="0" w:color="auto"/>
            </w:tcBorders>
            <w:shd w:val="clear" w:color="000000" w:fill="B0ABA1"/>
            <w:noWrap/>
            <w:vAlign w:val="center"/>
            <w:hideMark/>
          </w:tcPr>
          <w:p w14:paraId="1ECCD0C1" w14:textId="5678A2F0" w:rsidR="006E08C5" w:rsidRPr="006E08C5" w:rsidRDefault="006E08C5" w:rsidP="002F131C">
            <w:pPr>
              <w:jc w:val="right"/>
              <w:rPr>
                <w:rFonts w:ascii="Montserrat Medium" w:eastAsia="Times New Roman" w:hAnsi="Montserrat Medium" w:cs="Arial"/>
                <w:b/>
                <w:bCs/>
                <w:color w:val="000000"/>
                <w:sz w:val="14"/>
                <w:szCs w:val="14"/>
                <w:highlight w:val="yellow"/>
                <w:lang w:eastAsia="es-MX"/>
              </w:rPr>
            </w:pPr>
            <w:r w:rsidRPr="006E08C5">
              <w:rPr>
                <w:rFonts w:ascii="Montserrat Medium" w:eastAsia="Times New Roman" w:hAnsi="Montserrat Medium" w:cs="Arial"/>
                <w:b/>
                <w:bCs/>
                <w:color w:val="000000"/>
                <w:sz w:val="14"/>
                <w:szCs w:val="14"/>
                <w:lang w:eastAsia="es-MX"/>
              </w:rPr>
              <w:t>60,546,332,108</w:t>
            </w:r>
          </w:p>
        </w:tc>
      </w:tr>
      <w:tr w:rsidR="006E08C5" w:rsidRPr="009C26EF" w14:paraId="09A00E75" w14:textId="77777777" w:rsidTr="00D51385">
        <w:trPr>
          <w:trHeight w:val="115"/>
          <w:jc w:val="center"/>
        </w:trPr>
        <w:tc>
          <w:tcPr>
            <w:tcW w:w="3058" w:type="dxa"/>
            <w:tcBorders>
              <w:top w:val="nil"/>
              <w:left w:val="single" w:sz="4" w:space="0" w:color="auto"/>
              <w:bottom w:val="nil"/>
              <w:right w:val="nil"/>
            </w:tcBorders>
            <w:shd w:val="clear" w:color="000000" w:fill="FFFFFF"/>
            <w:vAlign w:val="center"/>
            <w:hideMark/>
          </w:tcPr>
          <w:p w14:paraId="3EB69D70" w14:textId="77777777" w:rsidR="006E08C5" w:rsidRPr="006E08C5" w:rsidRDefault="006E08C5" w:rsidP="002F131C">
            <w:pPr>
              <w:ind w:firstLineChars="200" w:firstLine="240"/>
              <w:rPr>
                <w:rFonts w:ascii="Montserrat Medium" w:eastAsia="Times New Roman" w:hAnsi="Montserrat Medium" w:cs="Arial"/>
                <w:sz w:val="12"/>
                <w:szCs w:val="12"/>
                <w:lang w:eastAsia="es-MX"/>
              </w:rPr>
            </w:pPr>
            <w:r w:rsidRPr="006E08C5">
              <w:rPr>
                <w:rFonts w:ascii="Montserrat Medium" w:eastAsia="Times New Roman" w:hAnsi="Montserrat Medium" w:cs="Arial"/>
                <w:sz w:val="12"/>
                <w:szCs w:val="12"/>
                <w:lang w:eastAsia="es-MX"/>
              </w:rPr>
              <w:t> </w:t>
            </w:r>
          </w:p>
        </w:tc>
        <w:tc>
          <w:tcPr>
            <w:tcW w:w="1170" w:type="dxa"/>
            <w:tcBorders>
              <w:top w:val="nil"/>
              <w:left w:val="nil"/>
              <w:bottom w:val="nil"/>
              <w:right w:val="nil"/>
            </w:tcBorders>
            <w:shd w:val="clear" w:color="000000" w:fill="FFFFFF"/>
            <w:noWrap/>
            <w:vAlign w:val="center"/>
            <w:hideMark/>
          </w:tcPr>
          <w:p w14:paraId="7EC29F89" w14:textId="1128EECA"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 </w:t>
            </w:r>
          </w:p>
        </w:tc>
        <w:tc>
          <w:tcPr>
            <w:tcW w:w="1149" w:type="dxa"/>
            <w:tcBorders>
              <w:top w:val="nil"/>
              <w:left w:val="nil"/>
              <w:bottom w:val="nil"/>
              <w:right w:val="nil"/>
            </w:tcBorders>
            <w:shd w:val="clear" w:color="000000" w:fill="FFFFFF"/>
            <w:noWrap/>
            <w:vAlign w:val="center"/>
            <w:hideMark/>
          </w:tcPr>
          <w:p w14:paraId="0B6F4069" w14:textId="1FE56367"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 </w:t>
            </w:r>
          </w:p>
        </w:tc>
        <w:tc>
          <w:tcPr>
            <w:tcW w:w="1141" w:type="dxa"/>
            <w:tcBorders>
              <w:top w:val="nil"/>
              <w:left w:val="nil"/>
              <w:bottom w:val="nil"/>
              <w:right w:val="nil"/>
            </w:tcBorders>
            <w:shd w:val="clear" w:color="000000" w:fill="FFFFFF"/>
            <w:noWrap/>
            <w:vAlign w:val="center"/>
            <w:hideMark/>
          </w:tcPr>
          <w:p w14:paraId="4606B683" w14:textId="66EC9219"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 </w:t>
            </w:r>
          </w:p>
        </w:tc>
        <w:tc>
          <w:tcPr>
            <w:tcW w:w="1156" w:type="dxa"/>
            <w:tcBorders>
              <w:top w:val="nil"/>
              <w:left w:val="nil"/>
              <w:bottom w:val="nil"/>
              <w:right w:val="nil"/>
            </w:tcBorders>
            <w:shd w:val="clear" w:color="000000" w:fill="FFFFFF"/>
            <w:noWrap/>
            <w:vAlign w:val="center"/>
            <w:hideMark/>
          </w:tcPr>
          <w:p w14:paraId="0A94AC8A" w14:textId="4FE22048"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 </w:t>
            </w:r>
          </w:p>
        </w:tc>
        <w:tc>
          <w:tcPr>
            <w:tcW w:w="1187" w:type="dxa"/>
            <w:tcBorders>
              <w:top w:val="nil"/>
              <w:left w:val="nil"/>
              <w:bottom w:val="nil"/>
              <w:right w:val="nil"/>
            </w:tcBorders>
            <w:shd w:val="clear" w:color="000000" w:fill="FFFFFF"/>
            <w:noWrap/>
            <w:vAlign w:val="center"/>
            <w:hideMark/>
          </w:tcPr>
          <w:p w14:paraId="04ABE1A9" w14:textId="7E296AB0"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 </w:t>
            </w:r>
          </w:p>
        </w:tc>
        <w:tc>
          <w:tcPr>
            <w:tcW w:w="1224" w:type="dxa"/>
            <w:tcBorders>
              <w:top w:val="nil"/>
              <w:left w:val="nil"/>
              <w:bottom w:val="nil"/>
              <w:right w:val="single" w:sz="4" w:space="0" w:color="auto"/>
            </w:tcBorders>
            <w:shd w:val="clear" w:color="000000" w:fill="FFFFFF"/>
            <w:noWrap/>
            <w:vAlign w:val="center"/>
            <w:hideMark/>
          </w:tcPr>
          <w:p w14:paraId="50FCB45C" w14:textId="053035D1"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 </w:t>
            </w:r>
          </w:p>
        </w:tc>
      </w:tr>
      <w:tr w:rsidR="006E08C5" w:rsidRPr="009C26EF" w14:paraId="47F10A27" w14:textId="77777777" w:rsidTr="00D51385">
        <w:trPr>
          <w:trHeight w:val="199"/>
          <w:jc w:val="center"/>
        </w:trPr>
        <w:tc>
          <w:tcPr>
            <w:tcW w:w="3058" w:type="dxa"/>
            <w:tcBorders>
              <w:top w:val="nil"/>
              <w:left w:val="single" w:sz="4" w:space="0" w:color="auto"/>
              <w:bottom w:val="nil"/>
              <w:right w:val="nil"/>
            </w:tcBorders>
            <w:shd w:val="clear" w:color="000000" w:fill="FFFFFF"/>
            <w:vAlign w:val="center"/>
            <w:hideMark/>
          </w:tcPr>
          <w:p w14:paraId="5C575A98" w14:textId="77777777" w:rsidR="006E08C5" w:rsidRPr="006E08C5" w:rsidRDefault="006E08C5" w:rsidP="002F131C">
            <w:pPr>
              <w:rPr>
                <w:rFonts w:ascii="Montserrat Medium" w:eastAsia="Times New Roman" w:hAnsi="Montserrat Medium" w:cs="Arial"/>
                <w:b/>
                <w:bCs/>
                <w:sz w:val="12"/>
                <w:szCs w:val="12"/>
                <w:lang w:eastAsia="es-MX"/>
              </w:rPr>
            </w:pPr>
            <w:r w:rsidRPr="006E08C5">
              <w:rPr>
                <w:rFonts w:ascii="Montserrat Medium" w:eastAsia="Times New Roman" w:hAnsi="Montserrat Medium" w:cs="Arial"/>
                <w:b/>
                <w:bCs/>
                <w:sz w:val="12"/>
                <w:szCs w:val="12"/>
                <w:lang w:eastAsia="es-MX"/>
              </w:rPr>
              <w:t>Datos Informativos</w:t>
            </w:r>
          </w:p>
        </w:tc>
        <w:tc>
          <w:tcPr>
            <w:tcW w:w="1170" w:type="dxa"/>
            <w:tcBorders>
              <w:top w:val="nil"/>
              <w:left w:val="nil"/>
              <w:bottom w:val="nil"/>
              <w:right w:val="nil"/>
            </w:tcBorders>
            <w:shd w:val="clear" w:color="000000" w:fill="FFFFFF"/>
            <w:noWrap/>
            <w:vAlign w:val="center"/>
            <w:hideMark/>
          </w:tcPr>
          <w:p w14:paraId="1E3B6CFC" w14:textId="37349634"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 </w:t>
            </w:r>
          </w:p>
        </w:tc>
        <w:tc>
          <w:tcPr>
            <w:tcW w:w="1149" w:type="dxa"/>
            <w:tcBorders>
              <w:top w:val="nil"/>
              <w:left w:val="nil"/>
              <w:bottom w:val="nil"/>
              <w:right w:val="nil"/>
            </w:tcBorders>
            <w:shd w:val="clear" w:color="000000" w:fill="FFFFFF"/>
            <w:noWrap/>
            <w:vAlign w:val="center"/>
            <w:hideMark/>
          </w:tcPr>
          <w:p w14:paraId="68D0CB5F" w14:textId="166FD876"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 </w:t>
            </w:r>
          </w:p>
        </w:tc>
        <w:tc>
          <w:tcPr>
            <w:tcW w:w="1141" w:type="dxa"/>
            <w:tcBorders>
              <w:top w:val="nil"/>
              <w:left w:val="nil"/>
              <w:bottom w:val="nil"/>
              <w:right w:val="nil"/>
            </w:tcBorders>
            <w:shd w:val="clear" w:color="000000" w:fill="FFFFFF"/>
            <w:noWrap/>
            <w:vAlign w:val="center"/>
            <w:hideMark/>
          </w:tcPr>
          <w:p w14:paraId="2D16F4D2" w14:textId="53E64660"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 </w:t>
            </w:r>
          </w:p>
        </w:tc>
        <w:tc>
          <w:tcPr>
            <w:tcW w:w="1156" w:type="dxa"/>
            <w:tcBorders>
              <w:top w:val="nil"/>
              <w:left w:val="nil"/>
              <w:bottom w:val="nil"/>
              <w:right w:val="nil"/>
            </w:tcBorders>
            <w:shd w:val="clear" w:color="000000" w:fill="FFFFFF"/>
            <w:noWrap/>
            <w:vAlign w:val="center"/>
            <w:hideMark/>
          </w:tcPr>
          <w:p w14:paraId="64BAF90C" w14:textId="1CAEE64A"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 </w:t>
            </w:r>
          </w:p>
        </w:tc>
        <w:tc>
          <w:tcPr>
            <w:tcW w:w="1187" w:type="dxa"/>
            <w:tcBorders>
              <w:top w:val="nil"/>
              <w:left w:val="nil"/>
              <w:bottom w:val="nil"/>
              <w:right w:val="nil"/>
            </w:tcBorders>
            <w:shd w:val="clear" w:color="000000" w:fill="FFFFFF"/>
            <w:noWrap/>
            <w:vAlign w:val="center"/>
            <w:hideMark/>
          </w:tcPr>
          <w:p w14:paraId="73F13C9D" w14:textId="3CC131BA"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 </w:t>
            </w:r>
          </w:p>
        </w:tc>
        <w:tc>
          <w:tcPr>
            <w:tcW w:w="1224" w:type="dxa"/>
            <w:tcBorders>
              <w:top w:val="nil"/>
              <w:left w:val="nil"/>
              <w:bottom w:val="nil"/>
              <w:right w:val="single" w:sz="4" w:space="0" w:color="auto"/>
            </w:tcBorders>
            <w:shd w:val="clear" w:color="000000" w:fill="FFFFFF"/>
            <w:noWrap/>
            <w:vAlign w:val="center"/>
            <w:hideMark/>
          </w:tcPr>
          <w:p w14:paraId="08AF4B86" w14:textId="69CCA9B5"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 </w:t>
            </w:r>
          </w:p>
        </w:tc>
      </w:tr>
      <w:tr w:rsidR="006E08C5" w:rsidRPr="009C26EF" w14:paraId="2E15EC7F" w14:textId="77777777" w:rsidTr="00D51385">
        <w:trPr>
          <w:trHeight w:val="199"/>
          <w:jc w:val="center"/>
        </w:trPr>
        <w:tc>
          <w:tcPr>
            <w:tcW w:w="3058" w:type="dxa"/>
            <w:tcBorders>
              <w:top w:val="nil"/>
              <w:left w:val="single" w:sz="4" w:space="0" w:color="auto"/>
              <w:bottom w:val="nil"/>
              <w:right w:val="nil"/>
            </w:tcBorders>
            <w:shd w:val="clear" w:color="000000" w:fill="FFFFFF"/>
            <w:vAlign w:val="center"/>
            <w:hideMark/>
          </w:tcPr>
          <w:p w14:paraId="051F5609" w14:textId="77777777" w:rsidR="006E08C5" w:rsidRPr="006E08C5" w:rsidRDefault="006E08C5" w:rsidP="002F131C">
            <w:pPr>
              <w:rPr>
                <w:rFonts w:ascii="Montserrat Medium" w:eastAsia="Times New Roman" w:hAnsi="Montserrat Medium" w:cs="Arial"/>
                <w:sz w:val="12"/>
                <w:szCs w:val="12"/>
                <w:lang w:eastAsia="es-MX"/>
              </w:rPr>
            </w:pPr>
            <w:r w:rsidRPr="006E08C5">
              <w:rPr>
                <w:rFonts w:ascii="Montserrat Medium" w:eastAsia="Times New Roman" w:hAnsi="Montserrat Medium" w:cs="Arial"/>
                <w:sz w:val="12"/>
                <w:szCs w:val="12"/>
                <w:lang w:eastAsia="es-MX"/>
              </w:rPr>
              <w:t>1. Ingresos Derivados de Financiamientos con Fuente de Pago de Recursos de Libre Disposición</w:t>
            </w:r>
          </w:p>
        </w:tc>
        <w:tc>
          <w:tcPr>
            <w:tcW w:w="1170" w:type="dxa"/>
            <w:tcBorders>
              <w:top w:val="nil"/>
              <w:left w:val="nil"/>
              <w:bottom w:val="nil"/>
              <w:right w:val="nil"/>
            </w:tcBorders>
            <w:shd w:val="clear" w:color="000000" w:fill="FFFFFF"/>
            <w:noWrap/>
            <w:vAlign w:val="center"/>
            <w:hideMark/>
          </w:tcPr>
          <w:p w14:paraId="1E343EE9" w14:textId="2E89C00A"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49" w:type="dxa"/>
            <w:tcBorders>
              <w:top w:val="nil"/>
              <w:left w:val="nil"/>
              <w:bottom w:val="nil"/>
              <w:right w:val="nil"/>
            </w:tcBorders>
            <w:shd w:val="clear" w:color="000000" w:fill="FFFFFF"/>
            <w:noWrap/>
            <w:vAlign w:val="center"/>
            <w:hideMark/>
          </w:tcPr>
          <w:p w14:paraId="555E277E" w14:textId="0C31171E"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41" w:type="dxa"/>
            <w:tcBorders>
              <w:top w:val="nil"/>
              <w:left w:val="nil"/>
              <w:bottom w:val="nil"/>
              <w:right w:val="nil"/>
            </w:tcBorders>
            <w:shd w:val="clear" w:color="000000" w:fill="FFFFFF"/>
            <w:noWrap/>
            <w:vAlign w:val="center"/>
            <w:hideMark/>
          </w:tcPr>
          <w:p w14:paraId="181DE51E" w14:textId="776EEBFE"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56" w:type="dxa"/>
            <w:tcBorders>
              <w:top w:val="nil"/>
              <w:left w:val="nil"/>
              <w:bottom w:val="nil"/>
              <w:right w:val="nil"/>
            </w:tcBorders>
            <w:shd w:val="clear" w:color="000000" w:fill="FFFFFF"/>
            <w:noWrap/>
            <w:vAlign w:val="center"/>
            <w:hideMark/>
          </w:tcPr>
          <w:p w14:paraId="4DEB694B" w14:textId="0DE6C0FD"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87" w:type="dxa"/>
            <w:tcBorders>
              <w:top w:val="nil"/>
              <w:left w:val="nil"/>
              <w:bottom w:val="nil"/>
              <w:right w:val="nil"/>
            </w:tcBorders>
            <w:shd w:val="clear" w:color="000000" w:fill="FFFFFF"/>
            <w:noWrap/>
            <w:vAlign w:val="center"/>
            <w:hideMark/>
          </w:tcPr>
          <w:p w14:paraId="5B334154" w14:textId="0415C386"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224" w:type="dxa"/>
            <w:tcBorders>
              <w:top w:val="nil"/>
              <w:left w:val="nil"/>
              <w:bottom w:val="nil"/>
              <w:right w:val="single" w:sz="4" w:space="0" w:color="auto"/>
            </w:tcBorders>
            <w:shd w:val="clear" w:color="000000" w:fill="FFFFFF"/>
            <w:noWrap/>
            <w:vAlign w:val="center"/>
            <w:hideMark/>
          </w:tcPr>
          <w:p w14:paraId="585E209C" w14:textId="14D5A8EF"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r>
      <w:tr w:rsidR="006E08C5" w:rsidRPr="009C26EF" w14:paraId="05CA284B" w14:textId="77777777" w:rsidTr="00D51385">
        <w:trPr>
          <w:trHeight w:val="199"/>
          <w:jc w:val="center"/>
        </w:trPr>
        <w:tc>
          <w:tcPr>
            <w:tcW w:w="3058" w:type="dxa"/>
            <w:tcBorders>
              <w:top w:val="nil"/>
              <w:left w:val="single" w:sz="4" w:space="0" w:color="auto"/>
              <w:bottom w:val="nil"/>
              <w:right w:val="nil"/>
            </w:tcBorders>
            <w:shd w:val="clear" w:color="000000" w:fill="FFFFFF"/>
            <w:vAlign w:val="center"/>
            <w:hideMark/>
          </w:tcPr>
          <w:p w14:paraId="1A1E863A" w14:textId="77777777" w:rsidR="006E08C5" w:rsidRPr="006E08C5" w:rsidRDefault="006E08C5" w:rsidP="002F131C">
            <w:pPr>
              <w:rPr>
                <w:rFonts w:ascii="Montserrat Medium" w:eastAsia="Times New Roman" w:hAnsi="Montserrat Medium" w:cs="Arial"/>
                <w:sz w:val="12"/>
                <w:szCs w:val="12"/>
                <w:lang w:eastAsia="es-MX"/>
              </w:rPr>
            </w:pPr>
            <w:r w:rsidRPr="006E08C5">
              <w:rPr>
                <w:rFonts w:ascii="Montserrat Medium" w:eastAsia="Times New Roman" w:hAnsi="Montserrat Medium" w:cs="Arial"/>
                <w:sz w:val="12"/>
                <w:szCs w:val="12"/>
                <w:lang w:eastAsia="es-MX"/>
              </w:rPr>
              <w:t>2. Ingresos Derivados de Financiamientos con Fuente de Pago de Transferencias Federales Etiquetadas</w:t>
            </w:r>
          </w:p>
        </w:tc>
        <w:tc>
          <w:tcPr>
            <w:tcW w:w="1170" w:type="dxa"/>
            <w:tcBorders>
              <w:top w:val="nil"/>
              <w:left w:val="nil"/>
              <w:bottom w:val="nil"/>
              <w:right w:val="nil"/>
            </w:tcBorders>
            <w:shd w:val="clear" w:color="000000" w:fill="FFFFFF"/>
            <w:noWrap/>
            <w:vAlign w:val="center"/>
            <w:hideMark/>
          </w:tcPr>
          <w:p w14:paraId="20101A7E" w14:textId="204CF552"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49" w:type="dxa"/>
            <w:tcBorders>
              <w:top w:val="nil"/>
              <w:left w:val="nil"/>
              <w:bottom w:val="nil"/>
              <w:right w:val="nil"/>
            </w:tcBorders>
            <w:shd w:val="clear" w:color="000000" w:fill="FFFFFF"/>
            <w:noWrap/>
            <w:vAlign w:val="center"/>
            <w:hideMark/>
          </w:tcPr>
          <w:p w14:paraId="24D508D3" w14:textId="2156C4C2"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41" w:type="dxa"/>
            <w:tcBorders>
              <w:top w:val="nil"/>
              <w:left w:val="nil"/>
              <w:bottom w:val="nil"/>
              <w:right w:val="nil"/>
            </w:tcBorders>
            <w:shd w:val="clear" w:color="000000" w:fill="FFFFFF"/>
            <w:noWrap/>
            <w:vAlign w:val="center"/>
            <w:hideMark/>
          </w:tcPr>
          <w:p w14:paraId="1BC05135" w14:textId="2453189C"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56" w:type="dxa"/>
            <w:tcBorders>
              <w:top w:val="nil"/>
              <w:left w:val="nil"/>
              <w:bottom w:val="nil"/>
              <w:right w:val="nil"/>
            </w:tcBorders>
            <w:shd w:val="clear" w:color="000000" w:fill="FFFFFF"/>
            <w:noWrap/>
            <w:vAlign w:val="center"/>
            <w:hideMark/>
          </w:tcPr>
          <w:p w14:paraId="3BF82DD4" w14:textId="18779B57"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87" w:type="dxa"/>
            <w:tcBorders>
              <w:top w:val="nil"/>
              <w:left w:val="nil"/>
              <w:bottom w:val="nil"/>
              <w:right w:val="nil"/>
            </w:tcBorders>
            <w:shd w:val="clear" w:color="000000" w:fill="FFFFFF"/>
            <w:noWrap/>
            <w:vAlign w:val="center"/>
            <w:hideMark/>
          </w:tcPr>
          <w:p w14:paraId="3B02F41C" w14:textId="70F9EED4"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224" w:type="dxa"/>
            <w:tcBorders>
              <w:top w:val="nil"/>
              <w:left w:val="nil"/>
              <w:bottom w:val="nil"/>
              <w:right w:val="single" w:sz="4" w:space="0" w:color="auto"/>
            </w:tcBorders>
            <w:shd w:val="clear" w:color="000000" w:fill="FFFFFF"/>
            <w:noWrap/>
            <w:vAlign w:val="center"/>
            <w:hideMark/>
          </w:tcPr>
          <w:p w14:paraId="7B5BA4B2" w14:textId="68C83943"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r>
      <w:tr w:rsidR="006E08C5" w:rsidRPr="009C26EF" w14:paraId="3C35DF05" w14:textId="77777777" w:rsidTr="00D51385">
        <w:trPr>
          <w:trHeight w:val="199"/>
          <w:jc w:val="center"/>
        </w:trPr>
        <w:tc>
          <w:tcPr>
            <w:tcW w:w="3058" w:type="dxa"/>
            <w:tcBorders>
              <w:top w:val="nil"/>
              <w:left w:val="single" w:sz="4" w:space="0" w:color="auto"/>
              <w:bottom w:val="single" w:sz="4" w:space="0" w:color="auto"/>
              <w:right w:val="nil"/>
            </w:tcBorders>
            <w:shd w:val="clear" w:color="000000" w:fill="FFFFFF"/>
            <w:vAlign w:val="center"/>
            <w:hideMark/>
          </w:tcPr>
          <w:p w14:paraId="377880D1" w14:textId="77777777" w:rsidR="006E08C5" w:rsidRPr="006E08C5" w:rsidRDefault="006E08C5" w:rsidP="002F131C">
            <w:pPr>
              <w:rPr>
                <w:rFonts w:ascii="Montserrat Medium" w:eastAsia="Times New Roman" w:hAnsi="Montserrat Medium" w:cs="Arial"/>
                <w:sz w:val="12"/>
                <w:szCs w:val="12"/>
                <w:lang w:eastAsia="es-MX"/>
              </w:rPr>
            </w:pPr>
            <w:r w:rsidRPr="006E08C5">
              <w:rPr>
                <w:rFonts w:ascii="Montserrat Medium" w:eastAsia="Times New Roman" w:hAnsi="Montserrat Medium" w:cs="Arial"/>
                <w:sz w:val="12"/>
                <w:szCs w:val="12"/>
                <w:lang w:eastAsia="es-MX"/>
              </w:rPr>
              <w:t>3. Ingresos Derivados de Financiamiento (3 = 1 + 2)</w:t>
            </w:r>
          </w:p>
        </w:tc>
        <w:tc>
          <w:tcPr>
            <w:tcW w:w="1170" w:type="dxa"/>
            <w:tcBorders>
              <w:top w:val="nil"/>
              <w:left w:val="nil"/>
              <w:bottom w:val="single" w:sz="4" w:space="0" w:color="auto"/>
              <w:right w:val="nil"/>
            </w:tcBorders>
            <w:shd w:val="clear" w:color="000000" w:fill="FFFFFF"/>
            <w:noWrap/>
            <w:vAlign w:val="center"/>
            <w:hideMark/>
          </w:tcPr>
          <w:p w14:paraId="24F294EA" w14:textId="7BDBADF3"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49" w:type="dxa"/>
            <w:tcBorders>
              <w:top w:val="nil"/>
              <w:left w:val="nil"/>
              <w:bottom w:val="single" w:sz="4" w:space="0" w:color="auto"/>
              <w:right w:val="nil"/>
            </w:tcBorders>
            <w:shd w:val="clear" w:color="000000" w:fill="FFFFFF"/>
            <w:noWrap/>
            <w:vAlign w:val="center"/>
            <w:hideMark/>
          </w:tcPr>
          <w:p w14:paraId="09479753" w14:textId="52CBF9D0"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41" w:type="dxa"/>
            <w:tcBorders>
              <w:top w:val="nil"/>
              <w:left w:val="nil"/>
              <w:bottom w:val="single" w:sz="4" w:space="0" w:color="auto"/>
              <w:right w:val="nil"/>
            </w:tcBorders>
            <w:shd w:val="clear" w:color="000000" w:fill="FFFFFF"/>
            <w:noWrap/>
            <w:vAlign w:val="center"/>
            <w:hideMark/>
          </w:tcPr>
          <w:p w14:paraId="1A84F51D" w14:textId="62FEB126"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56" w:type="dxa"/>
            <w:tcBorders>
              <w:top w:val="nil"/>
              <w:left w:val="nil"/>
              <w:bottom w:val="single" w:sz="4" w:space="0" w:color="auto"/>
              <w:right w:val="nil"/>
            </w:tcBorders>
            <w:shd w:val="clear" w:color="000000" w:fill="FFFFFF"/>
            <w:noWrap/>
            <w:vAlign w:val="center"/>
            <w:hideMark/>
          </w:tcPr>
          <w:p w14:paraId="79BC2895" w14:textId="0557AA87"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187" w:type="dxa"/>
            <w:tcBorders>
              <w:top w:val="nil"/>
              <w:left w:val="nil"/>
              <w:bottom w:val="single" w:sz="4" w:space="0" w:color="auto"/>
              <w:right w:val="nil"/>
            </w:tcBorders>
            <w:shd w:val="clear" w:color="000000" w:fill="FFFFFF"/>
            <w:noWrap/>
            <w:vAlign w:val="center"/>
            <w:hideMark/>
          </w:tcPr>
          <w:p w14:paraId="426DCE2C" w14:textId="1A9C2629"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c>
          <w:tcPr>
            <w:tcW w:w="1224" w:type="dxa"/>
            <w:tcBorders>
              <w:top w:val="nil"/>
              <w:left w:val="nil"/>
              <w:bottom w:val="single" w:sz="4" w:space="0" w:color="auto"/>
              <w:right w:val="single" w:sz="4" w:space="0" w:color="auto"/>
            </w:tcBorders>
            <w:shd w:val="clear" w:color="000000" w:fill="FFFFFF"/>
            <w:noWrap/>
            <w:vAlign w:val="center"/>
            <w:hideMark/>
          </w:tcPr>
          <w:p w14:paraId="098B3326" w14:textId="4868659C" w:rsidR="006E08C5" w:rsidRPr="006E08C5" w:rsidRDefault="006E08C5" w:rsidP="002F131C">
            <w:pPr>
              <w:jc w:val="right"/>
              <w:rPr>
                <w:rFonts w:ascii="Montserrat Medium" w:eastAsia="Times New Roman" w:hAnsi="Montserrat Medium" w:cs="Arial"/>
                <w:sz w:val="14"/>
                <w:szCs w:val="14"/>
                <w:highlight w:val="yellow"/>
                <w:lang w:eastAsia="es-MX"/>
              </w:rPr>
            </w:pPr>
            <w:r w:rsidRPr="006E08C5">
              <w:rPr>
                <w:rFonts w:ascii="Montserrat Medium" w:eastAsia="Times New Roman" w:hAnsi="Montserrat Medium" w:cs="Arial"/>
                <w:sz w:val="14"/>
                <w:szCs w:val="14"/>
                <w:lang w:eastAsia="es-MX"/>
              </w:rPr>
              <w:t>0</w:t>
            </w:r>
          </w:p>
        </w:tc>
      </w:tr>
      <w:tr w:rsidR="00F43984" w:rsidRPr="00F43984" w14:paraId="5EA502C2" w14:textId="77777777" w:rsidTr="00D51385">
        <w:trPr>
          <w:trHeight w:val="420"/>
          <w:jc w:val="center"/>
        </w:trPr>
        <w:tc>
          <w:tcPr>
            <w:tcW w:w="10085" w:type="dxa"/>
            <w:gridSpan w:val="7"/>
            <w:tcBorders>
              <w:top w:val="single" w:sz="4" w:space="0" w:color="auto"/>
              <w:left w:val="nil"/>
              <w:bottom w:val="nil"/>
              <w:right w:val="nil"/>
            </w:tcBorders>
            <w:shd w:val="clear" w:color="auto" w:fill="auto"/>
            <w:vAlign w:val="bottom"/>
            <w:hideMark/>
          </w:tcPr>
          <w:p w14:paraId="79B98EB7" w14:textId="009038B6" w:rsidR="00F43984" w:rsidRPr="00F43984" w:rsidRDefault="006E08C5" w:rsidP="002F131C">
            <w:pPr>
              <w:rPr>
                <w:rFonts w:ascii="Montserrat Medium" w:eastAsia="Times New Roman" w:hAnsi="Montserrat Medium" w:cs="Calibri"/>
                <w:color w:val="000000"/>
                <w:sz w:val="12"/>
                <w:szCs w:val="12"/>
                <w:lang w:eastAsia="es-MX"/>
              </w:rPr>
            </w:pPr>
            <w:r w:rsidRPr="0014045E">
              <w:rPr>
                <w:rFonts w:ascii="Montserrat" w:eastAsia="Times New Roman" w:hAnsi="Montserrat" w:cs="Calibri"/>
                <w:color w:val="000000"/>
                <w:sz w:val="12"/>
                <w:szCs w:val="12"/>
                <w:lang w:eastAsia="es-MX"/>
              </w:rPr>
              <w:t>Nota: La estimación se elaboró en base a la Iniciativa de la Ley de Ingresos 2025, considerando los Criterios Generales de Política Económica para la Iniciativa de Ley de Ingresos y el Proyecto de Presupuesto de Egresos de la Federación correspond</w:t>
            </w:r>
            <w:r>
              <w:rPr>
                <w:rFonts w:ascii="Montserrat" w:eastAsia="Times New Roman" w:hAnsi="Montserrat" w:cs="Calibri"/>
                <w:color w:val="000000"/>
                <w:sz w:val="12"/>
                <w:szCs w:val="12"/>
                <w:lang w:eastAsia="es-MX"/>
              </w:rPr>
              <w:t>ientes al ejercicio fiscal 2025.</w:t>
            </w:r>
          </w:p>
        </w:tc>
      </w:tr>
    </w:tbl>
    <w:p w14:paraId="75CD4B12" w14:textId="77777777" w:rsidR="004C1FF8" w:rsidRPr="00D56579" w:rsidRDefault="004C1FF8" w:rsidP="002F131C">
      <w:pPr>
        <w:jc w:val="both"/>
        <w:rPr>
          <w:rFonts w:ascii="Montserrat Medium" w:hAnsi="Montserrat Medium"/>
          <w:b/>
          <w:sz w:val="20"/>
          <w:szCs w:val="20"/>
          <w:u w:val="single"/>
        </w:rPr>
      </w:pPr>
    </w:p>
    <w:p w14:paraId="716B758C" w14:textId="2541B899" w:rsidR="008257FE" w:rsidRPr="00491DCB" w:rsidRDefault="005B3BCD" w:rsidP="002F131C">
      <w:pPr>
        <w:keepNext/>
        <w:keepLines/>
        <w:tabs>
          <w:tab w:val="left" w:pos="1791"/>
        </w:tabs>
        <w:jc w:val="both"/>
        <w:outlineLvl w:val="6"/>
        <w:rPr>
          <w:rFonts w:ascii="Montserrat Medium" w:eastAsia="Times New Roman" w:hAnsi="Montserrat Medium" w:cs="Arial"/>
          <w:b/>
          <w:i/>
          <w:iCs/>
          <w:color w:val="595959"/>
          <w:sz w:val="22"/>
        </w:rPr>
      </w:pPr>
      <w:r w:rsidRPr="00491DCB">
        <w:rPr>
          <w:rFonts w:ascii="Montserrat Medium" w:eastAsia="Times New Roman" w:hAnsi="Montserrat Medium" w:cs="Arial"/>
          <w:b/>
          <w:i/>
          <w:iCs/>
          <w:color w:val="595959"/>
          <w:sz w:val="22"/>
        </w:rPr>
        <w:t>1</w:t>
      </w:r>
      <w:r w:rsidR="00526391" w:rsidRPr="00491DCB">
        <w:rPr>
          <w:rFonts w:ascii="Montserrat Medium" w:eastAsia="Times New Roman" w:hAnsi="Montserrat Medium" w:cs="Arial"/>
          <w:b/>
          <w:i/>
          <w:iCs/>
          <w:color w:val="595959"/>
          <w:sz w:val="22"/>
        </w:rPr>
        <w:t>0.</w:t>
      </w:r>
      <w:r w:rsidR="008257FE" w:rsidRPr="00491DCB">
        <w:rPr>
          <w:rFonts w:ascii="Montserrat Medium" w:eastAsia="Times New Roman" w:hAnsi="Montserrat Medium" w:cs="Arial"/>
          <w:b/>
          <w:i/>
          <w:iCs/>
          <w:color w:val="595959"/>
          <w:sz w:val="22"/>
        </w:rPr>
        <w:t xml:space="preserve"> Información sobre la Deuda y el Reporte Analítico de la Deuda </w:t>
      </w:r>
    </w:p>
    <w:p w14:paraId="42897851" w14:textId="77777777" w:rsidR="008257FE" w:rsidRPr="00491DCB" w:rsidRDefault="008257FE" w:rsidP="002F131C">
      <w:pPr>
        <w:keepNext/>
        <w:keepLines/>
        <w:jc w:val="both"/>
        <w:outlineLvl w:val="6"/>
        <w:rPr>
          <w:rFonts w:ascii="Montserrat Medium" w:eastAsia="Times New Roman" w:hAnsi="Montserrat Medium" w:cs="Arial"/>
          <w:color w:val="595959"/>
          <w:sz w:val="22"/>
          <w:lang w:eastAsia="en-US"/>
        </w:rPr>
      </w:pPr>
    </w:p>
    <w:p w14:paraId="2ED98A07" w14:textId="674C5968" w:rsidR="008257FE" w:rsidRPr="00491DCB" w:rsidRDefault="008257FE" w:rsidP="002F131C">
      <w:pPr>
        <w:numPr>
          <w:ilvl w:val="0"/>
          <w:numId w:val="28"/>
        </w:numPr>
        <w:jc w:val="both"/>
        <w:rPr>
          <w:rFonts w:ascii="Montserrat Medium" w:eastAsia="Times New Roman" w:hAnsi="Montserrat Medium" w:cs="Arial"/>
          <w:color w:val="595959"/>
          <w:sz w:val="22"/>
          <w:lang w:eastAsia="en-US"/>
        </w:rPr>
      </w:pPr>
      <w:r w:rsidRPr="00491DCB">
        <w:rPr>
          <w:rFonts w:ascii="Montserrat Medium" w:eastAsia="Times New Roman" w:hAnsi="Montserrat Medium" w:cs="Arial"/>
          <w:color w:val="595959"/>
          <w:sz w:val="22"/>
          <w:lang w:eastAsia="en-US"/>
        </w:rPr>
        <w:t xml:space="preserve">Comparativo de la relación deuda pública bruta total a producto interno bruto del </w:t>
      </w:r>
      <w:r w:rsidR="00F43984" w:rsidRPr="00491DCB">
        <w:rPr>
          <w:rFonts w:ascii="Montserrat Medium" w:eastAsia="Times New Roman" w:hAnsi="Montserrat Medium" w:cs="Arial"/>
          <w:color w:val="595959"/>
          <w:sz w:val="22"/>
          <w:lang w:eastAsia="en-US"/>
        </w:rPr>
        <w:t>Estado al 3</w:t>
      </w:r>
      <w:r w:rsidR="00491DCB">
        <w:rPr>
          <w:rFonts w:ascii="Montserrat Medium" w:eastAsia="Times New Roman" w:hAnsi="Montserrat Medium" w:cs="Arial"/>
          <w:color w:val="595959"/>
          <w:sz w:val="22"/>
          <w:lang w:eastAsia="en-US"/>
        </w:rPr>
        <w:t>0</w:t>
      </w:r>
      <w:r w:rsidR="00F43984" w:rsidRPr="00491DCB">
        <w:rPr>
          <w:rFonts w:ascii="Montserrat Medium" w:eastAsia="Times New Roman" w:hAnsi="Montserrat Medium" w:cs="Arial"/>
          <w:color w:val="595959"/>
          <w:sz w:val="22"/>
          <w:lang w:eastAsia="en-US"/>
        </w:rPr>
        <w:t xml:space="preserve"> de </w:t>
      </w:r>
      <w:r w:rsidR="00491DCB">
        <w:rPr>
          <w:rFonts w:ascii="Montserrat Medium" w:eastAsia="Times New Roman" w:hAnsi="Montserrat Medium" w:cs="Arial"/>
          <w:color w:val="595959"/>
          <w:sz w:val="22"/>
          <w:lang w:eastAsia="en-US"/>
        </w:rPr>
        <w:t>junio</w:t>
      </w:r>
      <w:r w:rsidR="00F43984" w:rsidRPr="00491DCB">
        <w:rPr>
          <w:rFonts w:ascii="Montserrat Medium" w:eastAsia="Times New Roman" w:hAnsi="Montserrat Medium" w:cs="Arial"/>
          <w:color w:val="595959"/>
          <w:sz w:val="22"/>
          <w:lang w:eastAsia="en-US"/>
        </w:rPr>
        <w:t xml:space="preserve"> de 2025 y ejercicio fiscal 2024.</w:t>
      </w:r>
    </w:p>
    <w:p w14:paraId="203FA88D" w14:textId="77777777" w:rsidR="00364DEF" w:rsidRPr="009C26EF" w:rsidRDefault="00364DEF" w:rsidP="002F131C">
      <w:pPr>
        <w:ind w:left="720"/>
        <w:jc w:val="both"/>
        <w:rPr>
          <w:rFonts w:ascii="Montserrat Medium" w:eastAsia="Times New Roman" w:hAnsi="Montserrat Medium" w:cs="Arial"/>
          <w:color w:val="595959"/>
          <w:sz w:val="22"/>
          <w:highlight w:val="yellow"/>
          <w:lang w:eastAsia="en-US"/>
        </w:rPr>
      </w:pPr>
    </w:p>
    <w:tbl>
      <w:tblPr>
        <w:tblW w:w="7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left w:w="70" w:type="dxa"/>
          <w:right w:w="70" w:type="dxa"/>
        </w:tblCellMar>
        <w:tblLook w:val="04A0" w:firstRow="1" w:lastRow="0" w:firstColumn="1" w:lastColumn="0" w:noHBand="0" w:noVBand="1"/>
      </w:tblPr>
      <w:tblGrid>
        <w:gridCol w:w="3278"/>
        <w:gridCol w:w="2017"/>
        <w:gridCol w:w="1847"/>
      </w:tblGrid>
      <w:tr w:rsidR="008257FE" w:rsidRPr="00491DCB" w14:paraId="5657E7AA" w14:textId="77777777" w:rsidTr="00D51385">
        <w:trPr>
          <w:trHeight w:val="261"/>
          <w:jc w:val="center"/>
        </w:trPr>
        <w:tc>
          <w:tcPr>
            <w:tcW w:w="7142" w:type="dxa"/>
            <w:gridSpan w:val="3"/>
            <w:shd w:val="clear" w:color="auto" w:fill="BFBFBF" w:themeFill="background1" w:themeFillShade="BF"/>
            <w:noWrap/>
            <w:vAlign w:val="bottom"/>
            <w:hideMark/>
          </w:tcPr>
          <w:p w14:paraId="6A90F6C6" w14:textId="77777777" w:rsidR="008257FE" w:rsidRPr="00491DCB" w:rsidRDefault="008257FE" w:rsidP="002F131C">
            <w:pPr>
              <w:jc w:val="center"/>
              <w:rPr>
                <w:rFonts w:ascii="Montserrat Medium" w:eastAsia="Times New Roman" w:hAnsi="Montserrat Medium" w:cs="Futura Medium"/>
                <w:b/>
                <w:bCs/>
                <w:color w:val="000000"/>
                <w:sz w:val="18"/>
                <w:szCs w:val="18"/>
                <w:lang w:val="es-MX" w:eastAsia="es-MX"/>
              </w:rPr>
            </w:pPr>
            <w:r w:rsidRPr="00491DCB">
              <w:rPr>
                <w:rFonts w:ascii="Montserrat Medium" w:eastAsia="Times New Roman" w:hAnsi="Montserrat Medium" w:cs="Futura Medium"/>
                <w:b/>
                <w:bCs/>
                <w:color w:val="000000"/>
                <w:sz w:val="18"/>
                <w:szCs w:val="18"/>
                <w:lang w:val="es-MX" w:eastAsia="es-MX"/>
              </w:rPr>
              <w:t>GOBIERNO DEL ESTADO LIBRE Y SOBERANO DE QUINTANA ROO</w:t>
            </w:r>
          </w:p>
        </w:tc>
      </w:tr>
      <w:tr w:rsidR="008257FE" w:rsidRPr="00491DCB" w14:paraId="52B5E0FE" w14:textId="77777777" w:rsidTr="00D51385">
        <w:trPr>
          <w:trHeight w:val="261"/>
          <w:jc w:val="center"/>
        </w:trPr>
        <w:tc>
          <w:tcPr>
            <w:tcW w:w="7142" w:type="dxa"/>
            <w:gridSpan w:val="3"/>
            <w:shd w:val="clear" w:color="auto" w:fill="BFBFBF" w:themeFill="background1" w:themeFillShade="BF"/>
            <w:vAlign w:val="center"/>
            <w:hideMark/>
          </w:tcPr>
          <w:p w14:paraId="055F4784" w14:textId="77777777" w:rsidR="008257FE" w:rsidRPr="00491DCB" w:rsidRDefault="008257FE" w:rsidP="002F131C">
            <w:pPr>
              <w:jc w:val="center"/>
              <w:rPr>
                <w:rFonts w:ascii="Montserrat Medium" w:eastAsia="Times New Roman" w:hAnsi="Montserrat Medium" w:cs="Futura Medium"/>
                <w:b/>
                <w:bCs/>
                <w:color w:val="000000"/>
                <w:sz w:val="18"/>
                <w:szCs w:val="18"/>
                <w:lang w:val="es-MX" w:eastAsia="es-MX"/>
              </w:rPr>
            </w:pPr>
            <w:r w:rsidRPr="00491DCB">
              <w:rPr>
                <w:rFonts w:ascii="Montserrat Medium" w:eastAsia="Times New Roman" w:hAnsi="Montserrat Medium" w:cs="Futura Medium"/>
                <w:b/>
                <w:bCs/>
                <w:color w:val="000000"/>
                <w:sz w:val="18"/>
                <w:szCs w:val="18"/>
                <w:lang w:val="es-MX" w:eastAsia="es-MX"/>
              </w:rPr>
              <w:t>Indicador de la deuda respecto al Producto Interno Bruto</w:t>
            </w:r>
          </w:p>
          <w:p w14:paraId="334755DD" w14:textId="0F100B67" w:rsidR="008257FE" w:rsidRPr="00491DCB" w:rsidRDefault="00F43984" w:rsidP="002F131C">
            <w:pPr>
              <w:jc w:val="center"/>
              <w:rPr>
                <w:rFonts w:ascii="Montserrat Medium" w:eastAsia="Times New Roman" w:hAnsi="Montserrat Medium" w:cs="Futura Medium"/>
                <w:b/>
                <w:bCs/>
                <w:color w:val="000000"/>
                <w:sz w:val="18"/>
                <w:szCs w:val="18"/>
                <w:lang w:val="es-MX" w:eastAsia="es-MX"/>
              </w:rPr>
            </w:pPr>
            <w:r w:rsidRPr="00491DCB">
              <w:rPr>
                <w:rFonts w:ascii="Montserrat Medium" w:eastAsia="Times New Roman" w:hAnsi="Montserrat Medium" w:cs="Futura Medium"/>
                <w:b/>
                <w:bCs/>
                <w:color w:val="000000"/>
                <w:sz w:val="18"/>
                <w:szCs w:val="18"/>
                <w:lang w:val="es-MX" w:eastAsia="es-MX"/>
              </w:rPr>
              <w:t>(Cifras en</w:t>
            </w:r>
            <w:r w:rsidR="008257FE" w:rsidRPr="00491DCB">
              <w:rPr>
                <w:rFonts w:ascii="Montserrat Medium" w:eastAsia="Times New Roman" w:hAnsi="Montserrat Medium" w:cs="Futura Medium"/>
                <w:b/>
                <w:bCs/>
                <w:color w:val="000000"/>
                <w:sz w:val="18"/>
                <w:szCs w:val="18"/>
                <w:lang w:val="es-MX" w:eastAsia="es-MX"/>
              </w:rPr>
              <w:t xml:space="preserve"> Pesos)</w:t>
            </w:r>
          </w:p>
        </w:tc>
      </w:tr>
      <w:tr w:rsidR="008257FE" w:rsidRPr="00491DCB" w14:paraId="3D1EC791" w14:textId="77777777" w:rsidTr="002E68B5">
        <w:trPr>
          <w:trHeight w:val="430"/>
          <w:jc w:val="center"/>
        </w:trPr>
        <w:tc>
          <w:tcPr>
            <w:tcW w:w="3278" w:type="dxa"/>
            <w:tcBorders>
              <w:bottom w:val="single" w:sz="4" w:space="0" w:color="auto"/>
            </w:tcBorders>
            <w:shd w:val="clear" w:color="auto" w:fill="BFBFBF" w:themeFill="background1" w:themeFillShade="BF"/>
            <w:vAlign w:val="center"/>
            <w:hideMark/>
          </w:tcPr>
          <w:p w14:paraId="268544B8" w14:textId="77777777" w:rsidR="008257FE" w:rsidRPr="00491DCB" w:rsidRDefault="008257FE" w:rsidP="002F131C">
            <w:pPr>
              <w:jc w:val="center"/>
              <w:rPr>
                <w:rFonts w:ascii="Montserrat Medium" w:eastAsia="Times New Roman" w:hAnsi="Montserrat Medium" w:cs="Futura Medium"/>
                <w:sz w:val="18"/>
                <w:szCs w:val="18"/>
                <w:lang w:val="es-MX" w:eastAsia="es-MX"/>
              </w:rPr>
            </w:pPr>
            <w:r w:rsidRPr="00491DCB">
              <w:rPr>
                <w:rFonts w:ascii="Montserrat Medium" w:eastAsia="Times New Roman" w:hAnsi="Montserrat Medium" w:cs="Futura Medium"/>
                <w:sz w:val="18"/>
                <w:szCs w:val="18"/>
                <w:lang w:val="es-MX" w:eastAsia="es-MX"/>
              </w:rPr>
              <w:t>Concepto</w:t>
            </w:r>
          </w:p>
        </w:tc>
        <w:tc>
          <w:tcPr>
            <w:tcW w:w="2017" w:type="dxa"/>
            <w:tcBorders>
              <w:bottom w:val="single" w:sz="4" w:space="0" w:color="auto"/>
            </w:tcBorders>
            <w:shd w:val="clear" w:color="auto" w:fill="BFBFBF" w:themeFill="background1" w:themeFillShade="BF"/>
            <w:vAlign w:val="center"/>
            <w:hideMark/>
          </w:tcPr>
          <w:p w14:paraId="61AA1584" w14:textId="1E614436" w:rsidR="008257FE" w:rsidRPr="00491DCB" w:rsidRDefault="00F43984" w:rsidP="00491DCB">
            <w:pPr>
              <w:jc w:val="center"/>
              <w:rPr>
                <w:rFonts w:ascii="Montserrat Medium" w:eastAsia="Times New Roman" w:hAnsi="Montserrat Medium" w:cs="Futura Medium"/>
                <w:sz w:val="18"/>
                <w:szCs w:val="18"/>
                <w:lang w:val="es-MX" w:eastAsia="es-MX"/>
              </w:rPr>
            </w:pPr>
            <w:r w:rsidRPr="00491DCB">
              <w:rPr>
                <w:rFonts w:ascii="Montserrat Medium" w:eastAsia="Times New Roman" w:hAnsi="Montserrat Medium" w:cs="Futura Medium"/>
                <w:sz w:val="18"/>
                <w:szCs w:val="18"/>
                <w:lang w:val="es-MX" w:eastAsia="es-MX"/>
              </w:rPr>
              <w:t>Al 3</w:t>
            </w:r>
            <w:r w:rsidR="00491DCB" w:rsidRPr="00491DCB">
              <w:rPr>
                <w:rFonts w:ascii="Montserrat Medium" w:eastAsia="Times New Roman" w:hAnsi="Montserrat Medium" w:cs="Futura Medium"/>
                <w:sz w:val="18"/>
                <w:szCs w:val="18"/>
                <w:lang w:val="es-MX" w:eastAsia="es-MX"/>
              </w:rPr>
              <w:t>0</w:t>
            </w:r>
            <w:r w:rsidRPr="00491DCB">
              <w:rPr>
                <w:rFonts w:ascii="Montserrat Medium" w:eastAsia="Times New Roman" w:hAnsi="Montserrat Medium" w:cs="Futura Medium"/>
                <w:sz w:val="18"/>
                <w:szCs w:val="18"/>
                <w:lang w:val="es-MX" w:eastAsia="es-MX"/>
              </w:rPr>
              <w:t xml:space="preserve"> de </w:t>
            </w:r>
            <w:r w:rsidR="00491DCB" w:rsidRPr="00491DCB">
              <w:rPr>
                <w:rFonts w:ascii="Montserrat Medium" w:eastAsia="Times New Roman" w:hAnsi="Montserrat Medium" w:cs="Futura Medium"/>
                <w:sz w:val="18"/>
                <w:szCs w:val="18"/>
                <w:lang w:val="es-MX" w:eastAsia="es-MX"/>
              </w:rPr>
              <w:t>junio</w:t>
            </w:r>
            <w:r w:rsidRPr="00491DCB">
              <w:rPr>
                <w:rFonts w:ascii="Montserrat Medium" w:eastAsia="Times New Roman" w:hAnsi="Montserrat Medium" w:cs="Futura Medium"/>
                <w:sz w:val="18"/>
                <w:szCs w:val="18"/>
                <w:lang w:val="es-MX" w:eastAsia="es-MX"/>
              </w:rPr>
              <w:t xml:space="preserve"> de 2025</w:t>
            </w:r>
          </w:p>
        </w:tc>
        <w:tc>
          <w:tcPr>
            <w:tcW w:w="1847" w:type="dxa"/>
            <w:tcBorders>
              <w:bottom w:val="single" w:sz="4" w:space="0" w:color="auto"/>
            </w:tcBorders>
            <w:shd w:val="clear" w:color="auto" w:fill="BFBFBF" w:themeFill="background1" w:themeFillShade="BF"/>
            <w:vAlign w:val="center"/>
            <w:hideMark/>
          </w:tcPr>
          <w:p w14:paraId="55085E84" w14:textId="6783ADD2" w:rsidR="008257FE" w:rsidRPr="00491DCB" w:rsidRDefault="00F43984" w:rsidP="002F131C">
            <w:pPr>
              <w:jc w:val="center"/>
              <w:rPr>
                <w:rFonts w:ascii="Montserrat Medium" w:eastAsia="Times New Roman" w:hAnsi="Montserrat Medium" w:cs="Futura Medium"/>
                <w:sz w:val="18"/>
                <w:szCs w:val="18"/>
                <w:lang w:val="es-MX" w:eastAsia="es-MX"/>
              </w:rPr>
            </w:pPr>
            <w:r w:rsidRPr="00491DCB">
              <w:rPr>
                <w:rFonts w:ascii="Montserrat Medium" w:eastAsia="Times New Roman" w:hAnsi="Montserrat Medium" w:cs="Futura Medium"/>
                <w:sz w:val="18"/>
                <w:szCs w:val="18"/>
                <w:lang w:val="es-MX" w:eastAsia="es-MX"/>
              </w:rPr>
              <w:t>2024</w:t>
            </w:r>
          </w:p>
        </w:tc>
      </w:tr>
      <w:tr w:rsidR="00491DCB" w:rsidRPr="00491DCB" w14:paraId="3BD59252" w14:textId="77777777" w:rsidTr="002E68B5">
        <w:trPr>
          <w:trHeight w:val="135"/>
          <w:jc w:val="center"/>
        </w:trPr>
        <w:tc>
          <w:tcPr>
            <w:tcW w:w="3278" w:type="dxa"/>
            <w:tcBorders>
              <w:top w:val="single" w:sz="4" w:space="0" w:color="auto"/>
              <w:left w:val="single" w:sz="4" w:space="0" w:color="auto"/>
              <w:bottom w:val="nil"/>
              <w:right w:val="single" w:sz="4" w:space="0" w:color="auto"/>
            </w:tcBorders>
            <w:shd w:val="clear" w:color="auto" w:fill="auto"/>
            <w:noWrap/>
            <w:vAlign w:val="bottom"/>
            <w:hideMark/>
          </w:tcPr>
          <w:p w14:paraId="60DAE8CE" w14:textId="77777777" w:rsidR="00491DCB" w:rsidRPr="00491DCB" w:rsidRDefault="00491DCB" w:rsidP="002F131C">
            <w:pPr>
              <w:rPr>
                <w:rFonts w:ascii="Montserrat Medium" w:eastAsia="Times New Roman" w:hAnsi="Montserrat Medium" w:cs="Futura Medium"/>
                <w:color w:val="000000"/>
                <w:sz w:val="18"/>
                <w:szCs w:val="18"/>
                <w:lang w:val="es-MX" w:eastAsia="es-MX"/>
              </w:rPr>
            </w:pPr>
            <w:r w:rsidRPr="00491DCB">
              <w:rPr>
                <w:rFonts w:ascii="Montserrat Medium" w:eastAsia="Times New Roman" w:hAnsi="Montserrat Medium" w:cs="Futura Medium"/>
                <w:color w:val="000000"/>
                <w:sz w:val="18"/>
                <w:szCs w:val="18"/>
                <w:lang w:val="es-MX" w:eastAsia="es-MX"/>
              </w:rPr>
              <w:t>Producto interior bruto estatal*</w:t>
            </w:r>
          </w:p>
        </w:tc>
        <w:tc>
          <w:tcPr>
            <w:tcW w:w="2017" w:type="dxa"/>
            <w:tcBorders>
              <w:top w:val="single" w:sz="4" w:space="0" w:color="auto"/>
              <w:left w:val="single" w:sz="4" w:space="0" w:color="auto"/>
              <w:bottom w:val="nil"/>
              <w:right w:val="single" w:sz="4" w:space="0" w:color="auto"/>
            </w:tcBorders>
            <w:shd w:val="clear" w:color="auto" w:fill="auto"/>
            <w:noWrap/>
            <w:hideMark/>
          </w:tcPr>
          <w:p w14:paraId="49220C97" w14:textId="119849F1" w:rsidR="00491DCB" w:rsidRPr="00491DCB" w:rsidRDefault="00491DCB" w:rsidP="002F131C">
            <w:pPr>
              <w:jc w:val="right"/>
              <w:rPr>
                <w:rFonts w:ascii="Montserrat Medium" w:eastAsia="Times New Roman" w:hAnsi="Montserrat Medium" w:cs="Futura Medium"/>
                <w:color w:val="000000"/>
                <w:sz w:val="18"/>
                <w:szCs w:val="18"/>
                <w:lang w:val="es-MX" w:eastAsia="es-MX"/>
              </w:rPr>
            </w:pPr>
            <w:r w:rsidRPr="00491DCB">
              <w:rPr>
                <w:rFonts w:ascii="Montserrat" w:eastAsia="Times New Roman" w:hAnsi="Montserrat" w:cs="Futura Medium"/>
                <w:sz w:val="17"/>
                <w:szCs w:val="17"/>
                <w:lang w:val="es-MX" w:eastAsia="es-MX"/>
              </w:rPr>
              <w:t xml:space="preserve">493,446,828,432.19 </w:t>
            </w:r>
          </w:p>
        </w:tc>
        <w:tc>
          <w:tcPr>
            <w:tcW w:w="1847" w:type="dxa"/>
            <w:tcBorders>
              <w:top w:val="single" w:sz="4" w:space="0" w:color="auto"/>
              <w:left w:val="single" w:sz="4" w:space="0" w:color="auto"/>
              <w:bottom w:val="nil"/>
              <w:right w:val="single" w:sz="4" w:space="0" w:color="auto"/>
            </w:tcBorders>
            <w:shd w:val="clear" w:color="auto" w:fill="auto"/>
            <w:noWrap/>
            <w:hideMark/>
          </w:tcPr>
          <w:p w14:paraId="3A49C9F5" w14:textId="20CEEE5E" w:rsidR="00491DCB" w:rsidRPr="00491DCB" w:rsidRDefault="00491DCB" w:rsidP="002F131C">
            <w:pPr>
              <w:jc w:val="right"/>
              <w:rPr>
                <w:rFonts w:ascii="Montserrat Medium" w:eastAsia="Times New Roman" w:hAnsi="Montserrat Medium" w:cs="Futura Medium"/>
                <w:color w:val="000000"/>
                <w:sz w:val="18"/>
                <w:szCs w:val="18"/>
                <w:lang w:val="es-MX" w:eastAsia="es-MX"/>
              </w:rPr>
            </w:pPr>
            <w:r w:rsidRPr="00491DCB">
              <w:rPr>
                <w:rFonts w:ascii="Montserrat" w:eastAsia="Times New Roman" w:hAnsi="Montserrat" w:cs="Futura Medium"/>
                <w:sz w:val="18"/>
                <w:szCs w:val="18"/>
                <w:lang w:val="es-MX" w:eastAsia="es-MX"/>
              </w:rPr>
              <w:t>508,409,772,479.20</w:t>
            </w:r>
          </w:p>
        </w:tc>
      </w:tr>
      <w:tr w:rsidR="00491DCB" w:rsidRPr="00491DCB" w14:paraId="187601B4" w14:textId="77777777" w:rsidTr="002E68B5">
        <w:trPr>
          <w:trHeight w:val="104"/>
          <w:jc w:val="center"/>
        </w:trPr>
        <w:tc>
          <w:tcPr>
            <w:tcW w:w="3278" w:type="dxa"/>
            <w:tcBorders>
              <w:top w:val="nil"/>
              <w:left w:val="single" w:sz="4" w:space="0" w:color="auto"/>
              <w:bottom w:val="nil"/>
              <w:right w:val="single" w:sz="4" w:space="0" w:color="auto"/>
            </w:tcBorders>
            <w:shd w:val="clear" w:color="auto" w:fill="auto"/>
            <w:noWrap/>
            <w:vAlign w:val="bottom"/>
            <w:hideMark/>
          </w:tcPr>
          <w:p w14:paraId="0B5B3739" w14:textId="77777777" w:rsidR="00491DCB" w:rsidRPr="00491DCB" w:rsidRDefault="00491DCB" w:rsidP="002F131C">
            <w:pPr>
              <w:rPr>
                <w:rFonts w:ascii="Montserrat Medium" w:eastAsia="Times New Roman" w:hAnsi="Montserrat Medium" w:cs="Futura Medium"/>
                <w:color w:val="000000"/>
                <w:sz w:val="18"/>
                <w:szCs w:val="18"/>
                <w:lang w:val="es-MX" w:eastAsia="es-MX"/>
              </w:rPr>
            </w:pPr>
            <w:r w:rsidRPr="00491DCB">
              <w:rPr>
                <w:rFonts w:ascii="Montserrat Medium" w:eastAsia="Times New Roman" w:hAnsi="Montserrat Medium" w:cs="Futura Medium"/>
                <w:color w:val="000000"/>
                <w:sz w:val="18"/>
                <w:szCs w:val="18"/>
                <w:lang w:val="es-MX" w:eastAsia="es-MX"/>
              </w:rPr>
              <w:t>Saldo de la Deuda Pública</w:t>
            </w:r>
          </w:p>
        </w:tc>
        <w:tc>
          <w:tcPr>
            <w:tcW w:w="2017" w:type="dxa"/>
            <w:tcBorders>
              <w:top w:val="nil"/>
              <w:left w:val="single" w:sz="4" w:space="0" w:color="auto"/>
              <w:bottom w:val="nil"/>
              <w:right w:val="single" w:sz="4" w:space="0" w:color="auto"/>
            </w:tcBorders>
            <w:shd w:val="clear" w:color="auto" w:fill="auto"/>
            <w:noWrap/>
            <w:hideMark/>
          </w:tcPr>
          <w:p w14:paraId="45623A9B" w14:textId="70E714F8" w:rsidR="00491DCB" w:rsidRPr="00491DCB" w:rsidRDefault="00491DCB" w:rsidP="002F131C">
            <w:pPr>
              <w:jc w:val="right"/>
              <w:rPr>
                <w:rFonts w:ascii="Montserrat Medium" w:eastAsia="Times New Roman" w:hAnsi="Montserrat Medium" w:cs="Futura Medium"/>
                <w:color w:val="000000"/>
                <w:sz w:val="18"/>
                <w:szCs w:val="18"/>
                <w:lang w:val="es-MX" w:eastAsia="es-MX"/>
              </w:rPr>
            </w:pPr>
            <w:r w:rsidRPr="00491DCB">
              <w:rPr>
                <w:rFonts w:ascii="Montserrat" w:eastAsia="Times New Roman" w:hAnsi="Montserrat" w:cs="Futura Medium"/>
                <w:sz w:val="17"/>
                <w:szCs w:val="17"/>
                <w:lang w:val="es-MX" w:eastAsia="es-MX"/>
              </w:rPr>
              <w:t>19,231,416,733.59</w:t>
            </w:r>
          </w:p>
        </w:tc>
        <w:tc>
          <w:tcPr>
            <w:tcW w:w="1847" w:type="dxa"/>
            <w:tcBorders>
              <w:top w:val="nil"/>
              <w:left w:val="single" w:sz="4" w:space="0" w:color="auto"/>
              <w:bottom w:val="nil"/>
              <w:right w:val="single" w:sz="4" w:space="0" w:color="auto"/>
            </w:tcBorders>
            <w:shd w:val="clear" w:color="auto" w:fill="auto"/>
            <w:noWrap/>
            <w:hideMark/>
          </w:tcPr>
          <w:p w14:paraId="646F2F49" w14:textId="1A3FA298" w:rsidR="00491DCB" w:rsidRPr="00491DCB" w:rsidRDefault="00491DCB" w:rsidP="002F131C">
            <w:pPr>
              <w:jc w:val="right"/>
              <w:rPr>
                <w:rFonts w:ascii="Montserrat Medium" w:eastAsia="Times New Roman" w:hAnsi="Montserrat Medium" w:cs="Futura Medium"/>
                <w:color w:val="000000"/>
                <w:sz w:val="18"/>
                <w:szCs w:val="18"/>
                <w:lang w:val="es-MX" w:eastAsia="es-MX"/>
              </w:rPr>
            </w:pPr>
            <w:r w:rsidRPr="00491DCB">
              <w:rPr>
                <w:rFonts w:ascii="Montserrat" w:eastAsia="Times New Roman" w:hAnsi="Montserrat" w:cs="Futura Medium"/>
                <w:sz w:val="18"/>
                <w:szCs w:val="18"/>
                <w:lang w:val="es-MX" w:eastAsia="es-MX"/>
              </w:rPr>
              <w:t>19,264,338,774.33</w:t>
            </w:r>
          </w:p>
        </w:tc>
      </w:tr>
      <w:tr w:rsidR="00491DCB" w:rsidRPr="00491DCB" w14:paraId="0CD627C7" w14:textId="77777777" w:rsidTr="002E68B5">
        <w:trPr>
          <w:trHeight w:val="207"/>
          <w:jc w:val="center"/>
        </w:trPr>
        <w:tc>
          <w:tcPr>
            <w:tcW w:w="3278" w:type="dxa"/>
            <w:tcBorders>
              <w:top w:val="nil"/>
              <w:left w:val="single" w:sz="4" w:space="0" w:color="auto"/>
              <w:bottom w:val="single" w:sz="4" w:space="0" w:color="auto"/>
              <w:right w:val="single" w:sz="4" w:space="0" w:color="auto"/>
            </w:tcBorders>
            <w:shd w:val="clear" w:color="auto" w:fill="auto"/>
            <w:noWrap/>
            <w:vAlign w:val="bottom"/>
            <w:hideMark/>
          </w:tcPr>
          <w:p w14:paraId="022C0560" w14:textId="77777777" w:rsidR="00491DCB" w:rsidRPr="00491DCB" w:rsidRDefault="00491DCB" w:rsidP="002F131C">
            <w:pPr>
              <w:rPr>
                <w:rFonts w:ascii="Montserrat Medium" w:eastAsia="Times New Roman" w:hAnsi="Montserrat Medium" w:cs="Futura Medium"/>
                <w:color w:val="000000"/>
                <w:sz w:val="18"/>
                <w:szCs w:val="18"/>
                <w:lang w:val="es-MX" w:eastAsia="es-MX"/>
              </w:rPr>
            </w:pPr>
            <w:r w:rsidRPr="00491DCB">
              <w:rPr>
                <w:rFonts w:ascii="Montserrat Medium" w:eastAsia="Times New Roman" w:hAnsi="Montserrat Medium" w:cs="Futura Medium"/>
                <w:color w:val="000000"/>
                <w:sz w:val="18"/>
                <w:szCs w:val="18"/>
                <w:lang w:val="es-MX" w:eastAsia="es-MX"/>
              </w:rPr>
              <w:t>Porcentaje</w:t>
            </w:r>
          </w:p>
        </w:tc>
        <w:tc>
          <w:tcPr>
            <w:tcW w:w="2017" w:type="dxa"/>
            <w:tcBorders>
              <w:top w:val="nil"/>
              <w:left w:val="single" w:sz="4" w:space="0" w:color="auto"/>
              <w:bottom w:val="single" w:sz="4" w:space="0" w:color="auto"/>
              <w:right w:val="single" w:sz="4" w:space="0" w:color="auto"/>
            </w:tcBorders>
            <w:shd w:val="clear" w:color="auto" w:fill="auto"/>
            <w:noWrap/>
            <w:hideMark/>
          </w:tcPr>
          <w:p w14:paraId="6DD6E314" w14:textId="1997ED2B" w:rsidR="00491DCB" w:rsidRPr="00491DCB" w:rsidRDefault="00491DCB" w:rsidP="002F131C">
            <w:pPr>
              <w:jc w:val="right"/>
              <w:rPr>
                <w:rFonts w:ascii="Montserrat Medium" w:eastAsia="Times New Roman" w:hAnsi="Montserrat Medium" w:cs="Futura Medium"/>
                <w:color w:val="000000"/>
                <w:sz w:val="18"/>
                <w:szCs w:val="18"/>
                <w:lang w:val="es-MX" w:eastAsia="es-MX"/>
              </w:rPr>
            </w:pPr>
            <w:r w:rsidRPr="00491DCB">
              <w:rPr>
                <w:rFonts w:ascii="Montserrat" w:eastAsia="Times New Roman" w:hAnsi="Montserrat" w:cs="Futura Medium"/>
                <w:sz w:val="17"/>
                <w:szCs w:val="17"/>
                <w:lang w:val="es-MX" w:eastAsia="es-MX"/>
              </w:rPr>
              <w:t>3.90%</w:t>
            </w:r>
          </w:p>
        </w:tc>
        <w:tc>
          <w:tcPr>
            <w:tcW w:w="1847" w:type="dxa"/>
            <w:tcBorders>
              <w:top w:val="nil"/>
              <w:left w:val="single" w:sz="4" w:space="0" w:color="auto"/>
              <w:bottom w:val="single" w:sz="4" w:space="0" w:color="auto"/>
              <w:right w:val="single" w:sz="4" w:space="0" w:color="auto"/>
            </w:tcBorders>
            <w:shd w:val="clear" w:color="auto" w:fill="auto"/>
            <w:noWrap/>
            <w:hideMark/>
          </w:tcPr>
          <w:p w14:paraId="67D260BD" w14:textId="5A524286" w:rsidR="00491DCB" w:rsidRPr="00491DCB" w:rsidRDefault="00491DCB" w:rsidP="002F131C">
            <w:pPr>
              <w:jc w:val="right"/>
              <w:rPr>
                <w:rFonts w:ascii="Montserrat Medium" w:eastAsia="Times New Roman" w:hAnsi="Montserrat Medium" w:cs="Futura Medium"/>
                <w:color w:val="000000"/>
                <w:sz w:val="18"/>
                <w:szCs w:val="18"/>
                <w:lang w:val="es-MX" w:eastAsia="es-MX"/>
              </w:rPr>
            </w:pPr>
            <w:r w:rsidRPr="00491DCB">
              <w:rPr>
                <w:rFonts w:ascii="Montserrat" w:eastAsia="Times New Roman" w:hAnsi="Montserrat" w:cs="Futura Medium"/>
                <w:sz w:val="18"/>
                <w:szCs w:val="18"/>
                <w:lang w:val="es-MX" w:eastAsia="es-MX"/>
              </w:rPr>
              <w:t>3.79%</w:t>
            </w:r>
          </w:p>
        </w:tc>
      </w:tr>
    </w:tbl>
    <w:p w14:paraId="3501F1B8" w14:textId="77777777" w:rsidR="00D51385" w:rsidRDefault="00D51385" w:rsidP="00D51385">
      <w:pPr>
        <w:ind w:left="993" w:right="900"/>
        <w:jc w:val="both"/>
        <w:rPr>
          <w:rFonts w:ascii="Montserrat" w:eastAsia="Times New Roman" w:hAnsi="Montserrat" w:cs="Futura Medium"/>
          <w:sz w:val="12"/>
          <w:szCs w:val="12"/>
          <w:lang w:val="es-MX" w:eastAsia="es-MX"/>
        </w:rPr>
      </w:pPr>
    </w:p>
    <w:p w14:paraId="12507C75" w14:textId="77777777" w:rsidR="00D51385" w:rsidRPr="00D43213" w:rsidRDefault="00D51385" w:rsidP="00D51385">
      <w:pPr>
        <w:ind w:left="993" w:right="900"/>
        <w:jc w:val="both"/>
        <w:rPr>
          <w:rFonts w:ascii="Montserrat" w:eastAsia="Times New Roman" w:hAnsi="Montserrat" w:cs="Futura Medium"/>
          <w:sz w:val="12"/>
          <w:szCs w:val="12"/>
          <w:lang w:val="es-MX" w:eastAsia="es-MX"/>
        </w:rPr>
      </w:pPr>
      <w:r w:rsidRPr="00D43213">
        <w:rPr>
          <w:rFonts w:ascii="Montserrat" w:eastAsia="Times New Roman" w:hAnsi="Montserrat" w:cs="Futura Medium"/>
          <w:sz w:val="12"/>
          <w:szCs w:val="12"/>
          <w:lang w:val="es-MX" w:eastAsia="es-MX"/>
        </w:rPr>
        <w:t>Fuente:</w:t>
      </w:r>
      <w:r w:rsidRPr="00D43213">
        <w:t xml:space="preserve"> </w:t>
      </w:r>
      <w:r w:rsidRPr="00D43213">
        <w:rPr>
          <w:rFonts w:ascii="Montserrat" w:eastAsia="Times New Roman" w:hAnsi="Montserrat" w:cs="Futura Medium"/>
          <w:sz w:val="12"/>
          <w:szCs w:val="12"/>
          <w:lang w:val="es-MX" w:eastAsia="es-MX"/>
        </w:rPr>
        <w:t>$493</w:t>
      </w:r>
      <w:proofErr w:type="gramStart"/>
      <w:r w:rsidRPr="00D43213">
        <w:rPr>
          <w:rFonts w:ascii="Montserrat" w:eastAsia="Times New Roman" w:hAnsi="Montserrat" w:cs="Futura Medium"/>
          <w:sz w:val="12"/>
          <w:szCs w:val="12"/>
          <w:lang w:val="es-MX" w:eastAsia="es-MX"/>
        </w:rPr>
        <w:t>,446,828,432.19</w:t>
      </w:r>
      <w:proofErr w:type="gramEnd"/>
      <w:r w:rsidRPr="00D43213">
        <w:rPr>
          <w:rFonts w:ascii="Montserrat" w:eastAsia="Times New Roman" w:hAnsi="Montserrat" w:cs="Futura Medium"/>
          <w:sz w:val="12"/>
          <w:szCs w:val="12"/>
          <w:lang w:val="es-MX" w:eastAsia="es-MX"/>
        </w:rPr>
        <w:t xml:space="preserve"> proyectado con base al último dato del ITAEE a precios corrientes. Estimación proporcionada por la Subsecretaría de Análisis Económico y Finanzas Públicas de la SEFIPLAN. </w:t>
      </w:r>
    </w:p>
    <w:p w14:paraId="277A1A52" w14:textId="34C33E9D" w:rsidR="00D51385" w:rsidRDefault="00D51385" w:rsidP="00D51385">
      <w:pPr>
        <w:ind w:left="993" w:right="900"/>
        <w:jc w:val="both"/>
        <w:rPr>
          <w:rFonts w:ascii="Montserrat" w:eastAsia="Times New Roman" w:hAnsi="Montserrat" w:cs="Futura Medium"/>
          <w:sz w:val="12"/>
          <w:szCs w:val="12"/>
          <w:lang w:val="es-MX" w:eastAsia="es-MX"/>
        </w:rPr>
      </w:pPr>
      <w:r w:rsidRPr="00D43213">
        <w:rPr>
          <w:rFonts w:ascii="Montserrat" w:eastAsia="Times New Roman" w:hAnsi="Montserrat" w:cs="Futura Medium"/>
          <w:sz w:val="12"/>
          <w:szCs w:val="12"/>
          <w:lang w:val="es-MX" w:eastAsia="es-MX"/>
        </w:rPr>
        <w:t>Fecha de notificación: 02 de julio de 2025.</w:t>
      </w:r>
    </w:p>
    <w:p w14:paraId="4145EA05" w14:textId="77777777" w:rsidR="00D51385" w:rsidRDefault="00D51385" w:rsidP="00D51385">
      <w:pPr>
        <w:ind w:left="993" w:right="900"/>
        <w:jc w:val="both"/>
        <w:rPr>
          <w:rFonts w:ascii="Montserrat Medium" w:eastAsia="Times New Roman" w:hAnsi="Montserrat Medium" w:cs="Arial"/>
          <w:color w:val="595959"/>
          <w:sz w:val="22"/>
          <w:lang w:eastAsia="en-US"/>
        </w:rPr>
      </w:pPr>
    </w:p>
    <w:p w14:paraId="322FAB9E" w14:textId="77777777" w:rsidR="00D51385" w:rsidRDefault="00D51385" w:rsidP="00D51385">
      <w:pPr>
        <w:ind w:left="993" w:right="900"/>
        <w:jc w:val="both"/>
        <w:rPr>
          <w:rFonts w:ascii="Montserrat Medium" w:eastAsia="Times New Roman" w:hAnsi="Montserrat Medium" w:cs="Arial"/>
          <w:color w:val="595959"/>
          <w:sz w:val="22"/>
          <w:lang w:eastAsia="en-US"/>
        </w:rPr>
      </w:pPr>
    </w:p>
    <w:p w14:paraId="69D79228" w14:textId="77777777" w:rsidR="00D51385" w:rsidRDefault="00D51385" w:rsidP="00D51385">
      <w:pPr>
        <w:ind w:left="993" w:right="900"/>
        <w:jc w:val="both"/>
        <w:rPr>
          <w:rFonts w:ascii="Montserrat Medium" w:eastAsia="Times New Roman" w:hAnsi="Montserrat Medium" w:cs="Arial"/>
          <w:color w:val="595959"/>
          <w:sz w:val="22"/>
          <w:lang w:eastAsia="en-US"/>
        </w:rPr>
      </w:pPr>
    </w:p>
    <w:p w14:paraId="0E0EE67F" w14:textId="77777777" w:rsidR="00D51385" w:rsidRDefault="00D51385" w:rsidP="00D51385">
      <w:pPr>
        <w:ind w:left="993" w:right="900"/>
        <w:jc w:val="both"/>
        <w:rPr>
          <w:rFonts w:ascii="Montserrat Medium" w:eastAsia="Times New Roman" w:hAnsi="Montserrat Medium" w:cs="Arial"/>
          <w:color w:val="595959"/>
          <w:sz w:val="22"/>
          <w:lang w:eastAsia="en-US"/>
        </w:rPr>
      </w:pPr>
    </w:p>
    <w:p w14:paraId="6CAD4111" w14:textId="77777777" w:rsidR="00D51385" w:rsidRDefault="00D51385" w:rsidP="00D51385">
      <w:pPr>
        <w:ind w:left="993" w:right="900"/>
        <w:jc w:val="both"/>
        <w:rPr>
          <w:rFonts w:ascii="Montserrat Medium" w:eastAsia="Times New Roman" w:hAnsi="Montserrat Medium" w:cs="Arial"/>
          <w:color w:val="595959"/>
          <w:sz w:val="22"/>
          <w:lang w:eastAsia="en-US"/>
        </w:rPr>
      </w:pPr>
    </w:p>
    <w:p w14:paraId="4DA62C73" w14:textId="77777777" w:rsidR="00D51385" w:rsidRDefault="00D51385" w:rsidP="00D51385">
      <w:pPr>
        <w:ind w:left="993" w:right="900"/>
        <w:jc w:val="both"/>
        <w:rPr>
          <w:rFonts w:ascii="Montserrat Medium" w:eastAsia="Times New Roman" w:hAnsi="Montserrat Medium" w:cs="Arial"/>
          <w:color w:val="595959"/>
          <w:sz w:val="22"/>
          <w:lang w:eastAsia="en-US"/>
        </w:rPr>
      </w:pPr>
    </w:p>
    <w:p w14:paraId="611AA973" w14:textId="52694339" w:rsidR="008257FE" w:rsidRPr="00491DCB" w:rsidRDefault="008257FE" w:rsidP="002F131C">
      <w:pPr>
        <w:jc w:val="both"/>
        <w:rPr>
          <w:rFonts w:ascii="Montserrat Medium" w:eastAsia="Times New Roman" w:hAnsi="Montserrat Medium" w:cs="Arial"/>
          <w:color w:val="595959"/>
          <w:sz w:val="22"/>
          <w:lang w:eastAsia="en-US"/>
        </w:rPr>
      </w:pPr>
      <w:r w:rsidRPr="00491DCB">
        <w:rPr>
          <w:rFonts w:ascii="Montserrat Medium" w:eastAsia="Times New Roman" w:hAnsi="Montserrat Medium" w:cs="Arial"/>
          <w:color w:val="595959"/>
          <w:sz w:val="22"/>
          <w:lang w:eastAsia="en-US"/>
        </w:rPr>
        <w:lastRenderedPageBreak/>
        <w:t xml:space="preserve">Comparativo de la relación deuda pública bruta total a ingresos propios del Estado </w:t>
      </w:r>
      <w:r w:rsidR="00491DCB" w:rsidRPr="00491DCB">
        <w:rPr>
          <w:rFonts w:ascii="Montserrat Medium" w:eastAsia="Times New Roman" w:hAnsi="Montserrat Medium" w:cs="Arial"/>
          <w:color w:val="595959"/>
          <w:sz w:val="22"/>
          <w:lang w:eastAsia="en-US"/>
        </w:rPr>
        <w:t>al 30</w:t>
      </w:r>
      <w:r w:rsidR="00F43984" w:rsidRPr="00491DCB">
        <w:rPr>
          <w:rFonts w:ascii="Montserrat Medium" w:eastAsia="Times New Roman" w:hAnsi="Montserrat Medium" w:cs="Arial"/>
          <w:color w:val="595959"/>
          <w:sz w:val="22"/>
          <w:lang w:eastAsia="en-US"/>
        </w:rPr>
        <w:t xml:space="preserve"> de </w:t>
      </w:r>
      <w:r w:rsidR="00491DCB" w:rsidRPr="00491DCB">
        <w:rPr>
          <w:rFonts w:ascii="Montserrat Medium" w:eastAsia="Times New Roman" w:hAnsi="Montserrat Medium" w:cs="Arial"/>
          <w:color w:val="595959"/>
          <w:sz w:val="22"/>
          <w:lang w:eastAsia="en-US"/>
        </w:rPr>
        <w:t>junio</w:t>
      </w:r>
      <w:r w:rsidR="00F43984" w:rsidRPr="00491DCB">
        <w:rPr>
          <w:rFonts w:ascii="Montserrat Medium" w:eastAsia="Times New Roman" w:hAnsi="Montserrat Medium" w:cs="Arial"/>
          <w:color w:val="595959"/>
          <w:sz w:val="22"/>
          <w:lang w:eastAsia="en-US"/>
        </w:rPr>
        <w:t xml:space="preserve"> de 2025</w:t>
      </w:r>
      <w:r w:rsidRPr="00491DCB">
        <w:rPr>
          <w:rFonts w:ascii="Montserrat Medium" w:eastAsia="Times New Roman" w:hAnsi="Montserrat Medium" w:cs="Arial"/>
          <w:color w:val="595959"/>
          <w:sz w:val="22"/>
          <w:lang w:eastAsia="en-US"/>
        </w:rPr>
        <w:t xml:space="preserve"> y ejercicio </w:t>
      </w:r>
      <w:r w:rsidR="00566C52" w:rsidRPr="00491DCB">
        <w:rPr>
          <w:rFonts w:ascii="Montserrat Medium" w:eastAsia="Times New Roman" w:hAnsi="Montserrat Medium" w:cs="Arial"/>
          <w:color w:val="595959"/>
          <w:sz w:val="22"/>
          <w:lang w:eastAsia="en-US"/>
        </w:rPr>
        <w:t xml:space="preserve">fiscal </w:t>
      </w:r>
      <w:r w:rsidRPr="00491DCB">
        <w:rPr>
          <w:rFonts w:ascii="Montserrat Medium" w:eastAsia="Times New Roman" w:hAnsi="Montserrat Medium" w:cs="Arial"/>
          <w:color w:val="595959"/>
          <w:sz w:val="22"/>
          <w:lang w:eastAsia="en-US"/>
        </w:rPr>
        <w:t>202</w:t>
      </w:r>
      <w:r w:rsidR="00F43984" w:rsidRPr="00491DCB">
        <w:rPr>
          <w:rFonts w:ascii="Montserrat Medium" w:eastAsia="Times New Roman" w:hAnsi="Montserrat Medium" w:cs="Arial"/>
          <w:color w:val="595959"/>
          <w:sz w:val="22"/>
          <w:lang w:eastAsia="en-US"/>
        </w:rPr>
        <w:t>4</w:t>
      </w:r>
      <w:r w:rsidRPr="00491DCB">
        <w:rPr>
          <w:rFonts w:ascii="Montserrat Medium" w:eastAsia="Times New Roman" w:hAnsi="Montserrat Medium" w:cs="Arial"/>
          <w:color w:val="595959"/>
          <w:sz w:val="22"/>
          <w:lang w:eastAsia="en-US"/>
        </w:rPr>
        <w:t>.</w:t>
      </w:r>
    </w:p>
    <w:p w14:paraId="1E93422F" w14:textId="614176EE" w:rsidR="0016005E" w:rsidRPr="009C26EF" w:rsidRDefault="0016005E" w:rsidP="002F131C">
      <w:pPr>
        <w:rPr>
          <w:rFonts w:ascii="Montserrat Medium" w:eastAsia="Times New Roman" w:hAnsi="Montserrat Medium" w:cs="Arial"/>
          <w:color w:val="595959"/>
          <w:sz w:val="20"/>
          <w:szCs w:val="20"/>
          <w:highlight w:val="yellow"/>
          <w:lang w:eastAsia="en-US"/>
        </w:rPr>
      </w:pPr>
    </w:p>
    <w:tbl>
      <w:tblPr>
        <w:tblW w:w="7126" w:type="dxa"/>
        <w:jc w:val="center"/>
        <w:tblCellMar>
          <w:left w:w="70" w:type="dxa"/>
          <w:right w:w="70" w:type="dxa"/>
        </w:tblCellMar>
        <w:tblLook w:val="04A0" w:firstRow="1" w:lastRow="0" w:firstColumn="1" w:lastColumn="0" w:noHBand="0" w:noVBand="1"/>
      </w:tblPr>
      <w:tblGrid>
        <w:gridCol w:w="3161"/>
        <w:gridCol w:w="2015"/>
        <w:gridCol w:w="1950"/>
      </w:tblGrid>
      <w:tr w:rsidR="00BB0BBE" w:rsidRPr="00491DCB" w14:paraId="5D64B670" w14:textId="77777777" w:rsidTr="00033AE6">
        <w:trPr>
          <w:trHeight w:val="277"/>
          <w:tblHeader/>
          <w:jc w:val="center"/>
        </w:trPr>
        <w:tc>
          <w:tcPr>
            <w:tcW w:w="7126" w:type="dxa"/>
            <w:gridSpan w:val="3"/>
            <w:tcBorders>
              <w:top w:val="single" w:sz="4" w:space="0" w:color="auto"/>
              <w:left w:val="single" w:sz="4" w:space="0" w:color="auto"/>
              <w:right w:val="single" w:sz="4" w:space="0" w:color="000000"/>
            </w:tcBorders>
            <w:shd w:val="clear" w:color="auto" w:fill="A6A6A6"/>
            <w:noWrap/>
            <w:vAlign w:val="bottom"/>
            <w:hideMark/>
          </w:tcPr>
          <w:p w14:paraId="1A26CBCA" w14:textId="77777777" w:rsidR="00BB0BBE" w:rsidRPr="00491DCB" w:rsidRDefault="00BB0BBE" w:rsidP="002F131C">
            <w:pPr>
              <w:jc w:val="center"/>
              <w:rPr>
                <w:rFonts w:ascii="Montserrat Medium" w:eastAsia="Times New Roman" w:hAnsi="Montserrat Medium"/>
                <w:b/>
                <w:bCs/>
                <w:color w:val="000000"/>
                <w:sz w:val="18"/>
                <w:szCs w:val="18"/>
                <w:lang w:val="es-MX" w:eastAsia="es-MX"/>
              </w:rPr>
            </w:pPr>
            <w:r w:rsidRPr="00491DCB">
              <w:rPr>
                <w:rFonts w:ascii="Montserrat Medium" w:eastAsia="Times New Roman" w:hAnsi="Montserrat Medium"/>
                <w:b/>
                <w:bCs/>
                <w:color w:val="000000"/>
                <w:sz w:val="18"/>
                <w:szCs w:val="18"/>
                <w:lang w:val="es-MX" w:eastAsia="es-MX"/>
              </w:rPr>
              <w:t>GOBIERNO DEL ESTADO LIBRE Y SOBERANO DE QUINTANA ROO</w:t>
            </w:r>
          </w:p>
        </w:tc>
      </w:tr>
      <w:tr w:rsidR="00BB0BBE" w:rsidRPr="00491DCB" w14:paraId="32E3BB8E" w14:textId="77777777" w:rsidTr="00033AE6">
        <w:trPr>
          <w:trHeight w:val="277"/>
          <w:tblHeader/>
          <w:jc w:val="center"/>
        </w:trPr>
        <w:tc>
          <w:tcPr>
            <w:tcW w:w="7126" w:type="dxa"/>
            <w:gridSpan w:val="3"/>
            <w:tcBorders>
              <w:left w:val="single" w:sz="4" w:space="0" w:color="auto"/>
              <w:bottom w:val="nil"/>
              <w:right w:val="single" w:sz="4" w:space="0" w:color="000000"/>
            </w:tcBorders>
            <w:shd w:val="clear" w:color="auto" w:fill="A6A6A6"/>
            <w:noWrap/>
            <w:vAlign w:val="bottom"/>
            <w:hideMark/>
          </w:tcPr>
          <w:p w14:paraId="7BB7BE0D" w14:textId="77777777" w:rsidR="00BB0BBE" w:rsidRPr="00491DCB" w:rsidRDefault="00BB0BBE" w:rsidP="002F131C">
            <w:pPr>
              <w:jc w:val="center"/>
              <w:rPr>
                <w:rFonts w:ascii="Montserrat Medium" w:eastAsia="Times New Roman" w:hAnsi="Montserrat Medium"/>
                <w:b/>
                <w:bCs/>
                <w:color w:val="000000"/>
                <w:sz w:val="18"/>
                <w:szCs w:val="18"/>
                <w:lang w:val="es-MX" w:eastAsia="es-MX"/>
              </w:rPr>
            </w:pPr>
            <w:r w:rsidRPr="00491DCB">
              <w:rPr>
                <w:rFonts w:ascii="Montserrat Medium" w:eastAsia="Times New Roman" w:hAnsi="Montserrat Medium"/>
                <w:b/>
                <w:bCs/>
                <w:color w:val="000000"/>
                <w:sz w:val="18"/>
                <w:szCs w:val="18"/>
                <w:lang w:val="es-MX" w:eastAsia="es-MX"/>
              </w:rPr>
              <w:t>Indicador de la deuda respecto a la recaudación</w:t>
            </w:r>
          </w:p>
          <w:p w14:paraId="5302F0FB" w14:textId="2D4F9ECA" w:rsidR="00BB0BBE" w:rsidRPr="00491DCB" w:rsidRDefault="00BB0BBE" w:rsidP="002F131C">
            <w:pPr>
              <w:jc w:val="center"/>
              <w:rPr>
                <w:rFonts w:ascii="Montserrat Medium" w:eastAsia="Times New Roman" w:hAnsi="Montserrat Medium"/>
                <w:b/>
                <w:bCs/>
                <w:color w:val="000000"/>
                <w:sz w:val="18"/>
                <w:szCs w:val="18"/>
                <w:lang w:val="es-MX" w:eastAsia="es-MX"/>
              </w:rPr>
            </w:pPr>
            <w:r w:rsidRPr="00491DCB">
              <w:rPr>
                <w:rFonts w:ascii="Montserrat Medium" w:eastAsia="Times New Roman" w:hAnsi="Montserrat Medium"/>
                <w:b/>
                <w:bCs/>
                <w:color w:val="000000"/>
                <w:sz w:val="18"/>
                <w:szCs w:val="18"/>
                <w:lang w:val="es-MX" w:eastAsia="es-MX"/>
              </w:rPr>
              <w:t>(Cifras en Pesos)</w:t>
            </w:r>
          </w:p>
        </w:tc>
      </w:tr>
      <w:tr w:rsidR="00BB0BBE" w:rsidRPr="00491DCB" w14:paraId="504997B3" w14:textId="77777777" w:rsidTr="00AA4D03">
        <w:trPr>
          <w:trHeight w:val="444"/>
          <w:tblHeader/>
          <w:jc w:val="center"/>
        </w:trPr>
        <w:tc>
          <w:tcPr>
            <w:tcW w:w="31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9EFF6A" w14:textId="77777777" w:rsidR="00BB0BBE" w:rsidRPr="00491DCB" w:rsidRDefault="00BB0BBE" w:rsidP="002F131C">
            <w:pPr>
              <w:jc w:val="center"/>
              <w:rPr>
                <w:rFonts w:ascii="Montserrat Medium" w:eastAsia="Times New Roman" w:hAnsi="Montserrat Medium" w:cs="Futura Medium"/>
                <w:sz w:val="18"/>
                <w:szCs w:val="18"/>
                <w:lang w:val="es-MX" w:eastAsia="es-MX"/>
              </w:rPr>
            </w:pPr>
            <w:r w:rsidRPr="00491DCB">
              <w:rPr>
                <w:rFonts w:ascii="Montserrat Medium" w:eastAsia="Times New Roman" w:hAnsi="Montserrat Medium" w:cs="Futura Medium"/>
                <w:sz w:val="18"/>
                <w:szCs w:val="18"/>
                <w:lang w:val="es-MX" w:eastAsia="es-MX"/>
              </w:rPr>
              <w:t>Concepto</w:t>
            </w:r>
          </w:p>
        </w:tc>
        <w:tc>
          <w:tcPr>
            <w:tcW w:w="2015" w:type="dxa"/>
            <w:tcBorders>
              <w:top w:val="single" w:sz="4" w:space="0" w:color="auto"/>
              <w:left w:val="nil"/>
              <w:bottom w:val="single" w:sz="4" w:space="0" w:color="auto"/>
              <w:right w:val="single" w:sz="4" w:space="0" w:color="auto"/>
            </w:tcBorders>
            <w:shd w:val="clear" w:color="auto" w:fill="D9D9D9"/>
            <w:vAlign w:val="center"/>
            <w:hideMark/>
          </w:tcPr>
          <w:p w14:paraId="1FB974A1" w14:textId="589DFE5B" w:rsidR="00BB0BBE" w:rsidRPr="00491DCB" w:rsidRDefault="00F43984" w:rsidP="00491DCB">
            <w:pPr>
              <w:jc w:val="center"/>
              <w:rPr>
                <w:rFonts w:ascii="Montserrat Medium" w:eastAsia="Times New Roman" w:hAnsi="Montserrat Medium" w:cs="Futura Medium"/>
                <w:sz w:val="18"/>
                <w:szCs w:val="18"/>
                <w:lang w:val="es-MX" w:eastAsia="es-MX"/>
              </w:rPr>
            </w:pPr>
            <w:r w:rsidRPr="00491DCB">
              <w:rPr>
                <w:rFonts w:ascii="Montserrat Medium" w:eastAsia="Times New Roman" w:hAnsi="Montserrat Medium" w:cs="Futura Medium"/>
                <w:sz w:val="18"/>
                <w:szCs w:val="18"/>
                <w:lang w:val="es-MX" w:eastAsia="es-MX"/>
              </w:rPr>
              <w:t>Al 3</w:t>
            </w:r>
            <w:r w:rsidR="00491DCB">
              <w:rPr>
                <w:rFonts w:ascii="Montserrat Medium" w:eastAsia="Times New Roman" w:hAnsi="Montserrat Medium" w:cs="Futura Medium"/>
                <w:sz w:val="18"/>
                <w:szCs w:val="18"/>
                <w:lang w:val="es-MX" w:eastAsia="es-MX"/>
              </w:rPr>
              <w:t>0</w:t>
            </w:r>
            <w:r w:rsidRPr="00491DCB">
              <w:rPr>
                <w:rFonts w:ascii="Montserrat Medium" w:eastAsia="Times New Roman" w:hAnsi="Montserrat Medium" w:cs="Futura Medium"/>
                <w:sz w:val="18"/>
                <w:szCs w:val="18"/>
                <w:lang w:val="es-MX" w:eastAsia="es-MX"/>
              </w:rPr>
              <w:t xml:space="preserve"> de </w:t>
            </w:r>
            <w:r w:rsidR="00491DCB">
              <w:rPr>
                <w:rFonts w:ascii="Montserrat Medium" w:eastAsia="Times New Roman" w:hAnsi="Montserrat Medium" w:cs="Futura Medium"/>
                <w:sz w:val="18"/>
                <w:szCs w:val="18"/>
                <w:lang w:val="es-MX" w:eastAsia="es-MX"/>
              </w:rPr>
              <w:t>junio</w:t>
            </w:r>
            <w:r w:rsidRPr="00491DCB">
              <w:rPr>
                <w:rFonts w:ascii="Montserrat Medium" w:eastAsia="Times New Roman" w:hAnsi="Montserrat Medium" w:cs="Futura Medium"/>
                <w:sz w:val="18"/>
                <w:szCs w:val="18"/>
                <w:lang w:val="es-MX" w:eastAsia="es-MX"/>
              </w:rPr>
              <w:t xml:space="preserve"> de </w:t>
            </w:r>
            <w:r w:rsidR="00A4586C" w:rsidRPr="00491DCB">
              <w:rPr>
                <w:rFonts w:ascii="Montserrat Medium" w:eastAsia="Times New Roman" w:hAnsi="Montserrat Medium" w:cs="Futura Medium"/>
                <w:sz w:val="18"/>
                <w:szCs w:val="18"/>
                <w:lang w:val="es-MX" w:eastAsia="es-MX"/>
              </w:rPr>
              <w:t>202</w:t>
            </w:r>
            <w:r w:rsidRPr="00491DCB">
              <w:rPr>
                <w:rFonts w:ascii="Montserrat Medium" w:eastAsia="Times New Roman" w:hAnsi="Montserrat Medium" w:cs="Futura Medium"/>
                <w:sz w:val="18"/>
                <w:szCs w:val="18"/>
                <w:lang w:val="es-MX" w:eastAsia="es-MX"/>
              </w:rPr>
              <w:t>5</w:t>
            </w:r>
          </w:p>
        </w:tc>
        <w:tc>
          <w:tcPr>
            <w:tcW w:w="1950" w:type="dxa"/>
            <w:tcBorders>
              <w:top w:val="single" w:sz="4" w:space="0" w:color="auto"/>
              <w:left w:val="nil"/>
              <w:bottom w:val="single" w:sz="4" w:space="0" w:color="auto"/>
              <w:right w:val="single" w:sz="4" w:space="0" w:color="auto"/>
            </w:tcBorders>
            <w:shd w:val="clear" w:color="auto" w:fill="D9D9D9"/>
            <w:vAlign w:val="center"/>
            <w:hideMark/>
          </w:tcPr>
          <w:p w14:paraId="28BC0647" w14:textId="471D61F2" w:rsidR="00BB0BBE" w:rsidRPr="00491DCB" w:rsidRDefault="00F43984" w:rsidP="002F131C">
            <w:pPr>
              <w:jc w:val="center"/>
              <w:rPr>
                <w:rFonts w:ascii="Montserrat Medium" w:eastAsia="Times New Roman" w:hAnsi="Montserrat Medium" w:cs="Futura Medium"/>
                <w:sz w:val="18"/>
                <w:szCs w:val="18"/>
                <w:lang w:val="es-MX" w:eastAsia="es-MX"/>
              </w:rPr>
            </w:pPr>
            <w:r w:rsidRPr="00491DCB">
              <w:rPr>
                <w:rFonts w:ascii="Montserrat Medium" w:eastAsia="Times New Roman" w:hAnsi="Montserrat Medium" w:cs="Futura Medium"/>
                <w:sz w:val="18"/>
                <w:szCs w:val="18"/>
                <w:lang w:val="es-MX" w:eastAsia="es-MX"/>
              </w:rPr>
              <w:t>2024</w:t>
            </w:r>
          </w:p>
        </w:tc>
      </w:tr>
      <w:tr w:rsidR="00491DCB" w:rsidRPr="00491DCB" w14:paraId="62A7D3CD" w14:textId="77777777" w:rsidTr="00AA4D03">
        <w:trPr>
          <w:trHeight w:val="156"/>
          <w:jc w:val="center"/>
        </w:trPr>
        <w:tc>
          <w:tcPr>
            <w:tcW w:w="3161" w:type="dxa"/>
            <w:tcBorders>
              <w:top w:val="single" w:sz="4" w:space="0" w:color="auto"/>
              <w:left w:val="single" w:sz="4" w:space="0" w:color="auto"/>
              <w:right w:val="single" w:sz="4" w:space="0" w:color="auto"/>
            </w:tcBorders>
            <w:shd w:val="clear" w:color="auto" w:fill="auto"/>
            <w:noWrap/>
            <w:vAlign w:val="bottom"/>
            <w:hideMark/>
          </w:tcPr>
          <w:p w14:paraId="324D99ED" w14:textId="77777777" w:rsidR="00491DCB" w:rsidRPr="00491DCB" w:rsidRDefault="00491DCB" w:rsidP="002F131C">
            <w:pPr>
              <w:rPr>
                <w:rFonts w:ascii="Montserrat Medium" w:eastAsia="Times New Roman" w:hAnsi="Montserrat Medium" w:cs="Futura Medium"/>
                <w:color w:val="000000"/>
                <w:sz w:val="18"/>
                <w:szCs w:val="18"/>
                <w:lang w:val="es-MX" w:eastAsia="es-MX"/>
              </w:rPr>
            </w:pPr>
            <w:r w:rsidRPr="00491DCB">
              <w:rPr>
                <w:rFonts w:ascii="Montserrat Medium" w:eastAsia="Times New Roman" w:hAnsi="Montserrat Medium" w:cs="Futura Medium"/>
                <w:color w:val="000000"/>
                <w:sz w:val="18"/>
                <w:szCs w:val="18"/>
                <w:lang w:val="es-MX" w:eastAsia="es-MX"/>
              </w:rPr>
              <w:t>Ingresos Propios*</w:t>
            </w:r>
          </w:p>
        </w:tc>
        <w:tc>
          <w:tcPr>
            <w:tcW w:w="2015" w:type="dxa"/>
            <w:tcBorders>
              <w:top w:val="single" w:sz="4" w:space="0" w:color="auto"/>
              <w:left w:val="nil"/>
              <w:right w:val="single" w:sz="4" w:space="0" w:color="auto"/>
            </w:tcBorders>
            <w:shd w:val="clear" w:color="auto" w:fill="auto"/>
            <w:noWrap/>
            <w:hideMark/>
          </w:tcPr>
          <w:p w14:paraId="6616E227" w14:textId="27C46625" w:rsidR="00491DCB" w:rsidRPr="00491DCB" w:rsidRDefault="00491DCB" w:rsidP="002F131C">
            <w:pPr>
              <w:jc w:val="right"/>
              <w:rPr>
                <w:rFonts w:ascii="Montserrat Medium" w:eastAsia="Times New Roman" w:hAnsi="Montserrat Medium" w:cs="Futura Medium"/>
                <w:color w:val="000000"/>
                <w:sz w:val="18"/>
                <w:szCs w:val="18"/>
                <w:lang w:val="es-MX" w:eastAsia="es-MX"/>
              </w:rPr>
            </w:pPr>
            <w:r w:rsidRPr="00491DCB">
              <w:rPr>
                <w:rFonts w:ascii="Montserrat" w:eastAsia="Times New Roman" w:hAnsi="Montserrat" w:cs="Futura Medium"/>
                <w:sz w:val="17"/>
                <w:szCs w:val="17"/>
                <w:lang w:val="es-MX" w:eastAsia="es-MX"/>
              </w:rPr>
              <w:t>7,831,088,657.98</w:t>
            </w:r>
          </w:p>
        </w:tc>
        <w:tc>
          <w:tcPr>
            <w:tcW w:w="1950" w:type="dxa"/>
            <w:tcBorders>
              <w:top w:val="single" w:sz="4" w:space="0" w:color="auto"/>
              <w:left w:val="nil"/>
              <w:right w:val="single" w:sz="4" w:space="0" w:color="auto"/>
            </w:tcBorders>
            <w:shd w:val="clear" w:color="auto" w:fill="auto"/>
            <w:noWrap/>
            <w:hideMark/>
          </w:tcPr>
          <w:p w14:paraId="16EECFD5" w14:textId="5CFDF525" w:rsidR="00491DCB" w:rsidRPr="00491DCB" w:rsidRDefault="00491DCB" w:rsidP="002F131C">
            <w:pPr>
              <w:jc w:val="right"/>
              <w:rPr>
                <w:rFonts w:ascii="Montserrat Medium" w:eastAsia="Times New Roman" w:hAnsi="Montserrat Medium" w:cs="Futura Medium"/>
                <w:color w:val="000000"/>
                <w:sz w:val="18"/>
                <w:szCs w:val="18"/>
                <w:lang w:val="es-MX" w:eastAsia="es-MX"/>
              </w:rPr>
            </w:pPr>
            <w:r w:rsidRPr="00491DCB">
              <w:rPr>
                <w:rFonts w:ascii="Montserrat" w:eastAsia="Times New Roman" w:hAnsi="Montserrat" w:cs="Futura Medium"/>
                <w:sz w:val="18"/>
                <w:szCs w:val="18"/>
                <w:lang w:val="es-MX" w:eastAsia="es-MX"/>
              </w:rPr>
              <w:t xml:space="preserve">13,608,491,632.77 </w:t>
            </w:r>
          </w:p>
        </w:tc>
      </w:tr>
      <w:tr w:rsidR="00491DCB" w:rsidRPr="00491DCB" w14:paraId="0DFB9F17" w14:textId="77777777" w:rsidTr="00AA4D03">
        <w:trPr>
          <w:trHeight w:val="127"/>
          <w:jc w:val="center"/>
        </w:trPr>
        <w:tc>
          <w:tcPr>
            <w:tcW w:w="3161" w:type="dxa"/>
            <w:tcBorders>
              <w:left w:val="single" w:sz="4" w:space="0" w:color="auto"/>
              <w:bottom w:val="nil"/>
              <w:right w:val="single" w:sz="4" w:space="0" w:color="auto"/>
            </w:tcBorders>
            <w:shd w:val="clear" w:color="auto" w:fill="auto"/>
            <w:noWrap/>
            <w:vAlign w:val="bottom"/>
            <w:hideMark/>
          </w:tcPr>
          <w:p w14:paraId="5B754CDE" w14:textId="77777777" w:rsidR="00491DCB" w:rsidRPr="00491DCB" w:rsidRDefault="00491DCB" w:rsidP="002F131C">
            <w:pPr>
              <w:rPr>
                <w:rFonts w:ascii="Montserrat Medium" w:eastAsia="Times New Roman" w:hAnsi="Montserrat Medium" w:cs="Futura Medium"/>
                <w:color w:val="000000"/>
                <w:sz w:val="18"/>
                <w:szCs w:val="18"/>
                <w:lang w:val="es-MX" w:eastAsia="es-MX"/>
              </w:rPr>
            </w:pPr>
            <w:r w:rsidRPr="00491DCB">
              <w:rPr>
                <w:rFonts w:ascii="Montserrat Medium" w:eastAsia="Times New Roman" w:hAnsi="Montserrat Medium" w:cs="Futura Medium"/>
                <w:color w:val="000000"/>
                <w:sz w:val="18"/>
                <w:szCs w:val="18"/>
                <w:lang w:val="es-MX" w:eastAsia="es-MX"/>
              </w:rPr>
              <w:t>Saldo de la Deuda Pública</w:t>
            </w:r>
          </w:p>
        </w:tc>
        <w:tc>
          <w:tcPr>
            <w:tcW w:w="2015" w:type="dxa"/>
            <w:tcBorders>
              <w:left w:val="nil"/>
              <w:bottom w:val="nil"/>
              <w:right w:val="single" w:sz="4" w:space="0" w:color="auto"/>
            </w:tcBorders>
            <w:shd w:val="clear" w:color="auto" w:fill="auto"/>
            <w:noWrap/>
            <w:hideMark/>
          </w:tcPr>
          <w:p w14:paraId="3E12C1FB" w14:textId="792BED9B" w:rsidR="00491DCB" w:rsidRPr="00491DCB" w:rsidRDefault="00491DCB" w:rsidP="002F131C">
            <w:pPr>
              <w:jc w:val="right"/>
              <w:rPr>
                <w:rFonts w:ascii="Montserrat Medium" w:eastAsia="Times New Roman" w:hAnsi="Montserrat Medium" w:cs="Futura Medium"/>
                <w:color w:val="000000"/>
                <w:sz w:val="18"/>
                <w:szCs w:val="18"/>
                <w:lang w:val="es-MX" w:eastAsia="es-MX"/>
              </w:rPr>
            </w:pPr>
            <w:r w:rsidRPr="00491DCB">
              <w:rPr>
                <w:rFonts w:ascii="Montserrat" w:eastAsia="Times New Roman" w:hAnsi="Montserrat" w:cs="Futura Medium"/>
                <w:sz w:val="17"/>
                <w:szCs w:val="17"/>
                <w:lang w:val="es-MX" w:eastAsia="es-MX"/>
              </w:rPr>
              <w:t>19,231,416,733.59</w:t>
            </w:r>
          </w:p>
        </w:tc>
        <w:tc>
          <w:tcPr>
            <w:tcW w:w="1950" w:type="dxa"/>
            <w:tcBorders>
              <w:left w:val="nil"/>
              <w:bottom w:val="nil"/>
              <w:right w:val="single" w:sz="4" w:space="0" w:color="auto"/>
            </w:tcBorders>
            <w:shd w:val="clear" w:color="auto" w:fill="auto"/>
            <w:noWrap/>
            <w:hideMark/>
          </w:tcPr>
          <w:p w14:paraId="70A89226" w14:textId="54763B06" w:rsidR="00491DCB" w:rsidRPr="00491DCB" w:rsidRDefault="00491DCB" w:rsidP="002F131C">
            <w:pPr>
              <w:jc w:val="right"/>
              <w:rPr>
                <w:rFonts w:ascii="Montserrat Medium" w:eastAsia="Times New Roman" w:hAnsi="Montserrat Medium" w:cs="Futura Medium"/>
                <w:color w:val="000000"/>
                <w:sz w:val="18"/>
                <w:szCs w:val="18"/>
                <w:lang w:val="es-MX" w:eastAsia="es-MX"/>
              </w:rPr>
            </w:pPr>
            <w:r w:rsidRPr="00491DCB">
              <w:rPr>
                <w:rFonts w:ascii="Montserrat" w:eastAsia="Times New Roman" w:hAnsi="Montserrat" w:cs="Futura Medium"/>
                <w:sz w:val="18"/>
                <w:szCs w:val="18"/>
                <w:lang w:val="es-MX" w:eastAsia="es-MX"/>
              </w:rPr>
              <w:t>19,264,338,774.33</w:t>
            </w:r>
          </w:p>
        </w:tc>
      </w:tr>
      <w:tr w:rsidR="00491DCB" w:rsidRPr="00491DCB" w14:paraId="09852E1B" w14:textId="77777777" w:rsidTr="006862E6">
        <w:trPr>
          <w:trHeight w:val="87"/>
          <w:jc w:val="center"/>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0912DC66" w14:textId="77777777" w:rsidR="00491DCB" w:rsidRPr="00491DCB" w:rsidRDefault="00491DCB" w:rsidP="002F131C">
            <w:pPr>
              <w:rPr>
                <w:rFonts w:ascii="Montserrat Medium" w:eastAsia="Times New Roman" w:hAnsi="Montserrat Medium" w:cs="Futura Medium"/>
                <w:color w:val="000000"/>
                <w:sz w:val="18"/>
                <w:szCs w:val="18"/>
                <w:lang w:val="es-MX" w:eastAsia="es-MX"/>
              </w:rPr>
            </w:pPr>
            <w:r w:rsidRPr="00491DCB">
              <w:rPr>
                <w:rFonts w:ascii="Montserrat Medium" w:eastAsia="Times New Roman" w:hAnsi="Montserrat Medium" w:cs="Futura Medium"/>
                <w:color w:val="000000"/>
                <w:sz w:val="18"/>
                <w:szCs w:val="18"/>
                <w:lang w:val="es-MX" w:eastAsia="es-MX"/>
              </w:rPr>
              <w:t>Porcentaje</w:t>
            </w:r>
          </w:p>
        </w:tc>
        <w:tc>
          <w:tcPr>
            <w:tcW w:w="2015" w:type="dxa"/>
            <w:tcBorders>
              <w:top w:val="nil"/>
              <w:left w:val="nil"/>
              <w:bottom w:val="single" w:sz="4" w:space="0" w:color="auto"/>
              <w:right w:val="single" w:sz="4" w:space="0" w:color="auto"/>
            </w:tcBorders>
            <w:shd w:val="clear" w:color="auto" w:fill="auto"/>
            <w:noWrap/>
            <w:hideMark/>
          </w:tcPr>
          <w:p w14:paraId="339DDA85" w14:textId="386657F6" w:rsidR="00491DCB" w:rsidRPr="00491DCB" w:rsidRDefault="00491DCB" w:rsidP="002F131C">
            <w:pPr>
              <w:jc w:val="right"/>
              <w:rPr>
                <w:rFonts w:ascii="Montserrat Medium" w:eastAsia="Times New Roman" w:hAnsi="Montserrat Medium" w:cs="Futura Medium"/>
                <w:color w:val="000000"/>
                <w:sz w:val="18"/>
                <w:szCs w:val="18"/>
                <w:lang w:val="es-MX" w:eastAsia="es-MX"/>
              </w:rPr>
            </w:pPr>
            <w:r w:rsidRPr="00491DCB">
              <w:rPr>
                <w:rFonts w:ascii="Montserrat" w:eastAsia="Times New Roman" w:hAnsi="Montserrat" w:cs="Futura Medium"/>
                <w:sz w:val="17"/>
                <w:szCs w:val="17"/>
                <w:lang w:val="es-MX" w:eastAsia="es-MX"/>
              </w:rPr>
              <w:t>245.58%</w:t>
            </w:r>
          </w:p>
        </w:tc>
        <w:tc>
          <w:tcPr>
            <w:tcW w:w="1950" w:type="dxa"/>
            <w:tcBorders>
              <w:top w:val="nil"/>
              <w:left w:val="nil"/>
              <w:bottom w:val="single" w:sz="4" w:space="0" w:color="auto"/>
              <w:right w:val="single" w:sz="4" w:space="0" w:color="auto"/>
            </w:tcBorders>
            <w:shd w:val="clear" w:color="auto" w:fill="auto"/>
            <w:noWrap/>
            <w:hideMark/>
          </w:tcPr>
          <w:p w14:paraId="49D4F343" w14:textId="04F9263E" w:rsidR="00491DCB" w:rsidRPr="00491DCB" w:rsidRDefault="00491DCB" w:rsidP="002F131C">
            <w:pPr>
              <w:jc w:val="right"/>
              <w:rPr>
                <w:rFonts w:ascii="Montserrat Medium" w:eastAsia="Times New Roman" w:hAnsi="Montserrat Medium" w:cs="Futura Medium"/>
                <w:color w:val="000000"/>
                <w:sz w:val="18"/>
                <w:szCs w:val="18"/>
                <w:lang w:val="es-MX" w:eastAsia="es-MX"/>
              </w:rPr>
            </w:pPr>
            <w:r w:rsidRPr="00491DCB">
              <w:rPr>
                <w:rFonts w:ascii="Montserrat" w:eastAsia="Times New Roman" w:hAnsi="Montserrat" w:cs="Futura Medium"/>
                <w:sz w:val="18"/>
                <w:szCs w:val="18"/>
                <w:lang w:val="es-MX" w:eastAsia="es-MX"/>
              </w:rPr>
              <w:t>141.56%</w:t>
            </w:r>
          </w:p>
        </w:tc>
      </w:tr>
      <w:tr w:rsidR="00BB0BBE" w:rsidRPr="009C26EF" w14:paraId="0832E7F2" w14:textId="77777777" w:rsidTr="006862E6">
        <w:trPr>
          <w:trHeight w:val="277"/>
          <w:jc w:val="center"/>
        </w:trPr>
        <w:tc>
          <w:tcPr>
            <w:tcW w:w="7126" w:type="dxa"/>
            <w:gridSpan w:val="3"/>
            <w:tcBorders>
              <w:top w:val="nil"/>
              <w:left w:val="nil"/>
              <w:bottom w:val="nil"/>
              <w:right w:val="nil"/>
            </w:tcBorders>
            <w:shd w:val="clear" w:color="auto" w:fill="auto"/>
            <w:noWrap/>
            <w:hideMark/>
          </w:tcPr>
          <w:p w14:paraId="41E8F376" w14:textId="77777777" w:rsidR="00BB0BBE" w:rsidRDefault="003017D1" w:rsidP="002F131C">
            <w:pPr>
              <w:rPr>
                <w:rFonts w:ascii="Montserrat" w:eastAsia="Times New Roman" w:hAnsi="Montserrat" w:cs="Futura Medium"/>
                <w:sz w:val="12"/>
                <w:szCs w:val="12"/>
                <w:lang w:val="es-MX" w:eastAsia="es-MX"/>
              </w:rPr>
            </w:pPr>
            <w:r w:rsidRPr="0099623D">
              <w:rPr>
                <w:rFonts w:ascii="Montserrat" w:eastAsia="Times New Roman" w:hAnsi="Montserrat" w:cs="Futura Medium"/>
                <w:sz w:val="12"/>
                <w:szCs w:val="12"/>
                <w:lang w:val="es-MX" w:eastAsia="es-MX"/>
              </w:rPr>
              <w:t>* Fuente: Reporte de Balanza de Comprobación, emitida por el Sistema OPERGOB. Fecha de consulta: 02 de junio de 2025.</w:t>
            </w:r>
          </w:p>
          <w:p w14:paraId="49ACE0A5" w14:textId="4185B7CC" w:rsidR="003017D1" w:rsidRPr="00491DCB" w:rsidRDefault="003017D1" w:rsidP="002F131C">
            <w:pPr>
              <w:rPr>
                <w:rFonts w:ascii="Montserrat Medium" w:eastAsia="Times New Roman" w:hAnsi="Montserrat Medium" w:cs="Futura Medium"/>
                <w:color w:val="000000"/>
                <w:sz w:val="14"/>
                <w:szCs w:val="14"/>
                <w:lang w:val="es-MX" w:eastAsia="es-MX"/>
              </w:rPr>
            </w:pPr>
          </w:p>
        </w:tc>
      </w:tr>
    </w:tbl>
    <w:p w14:paraId="5A83655A" w14:textId="77777777" w:rsidR="008257FE" w:rsidRPr="002E68B5" w:rsidRDefault="008257FE" w:rsidP="002F131C">
      <w:pPr>
        <w:numPr>
          <w:ilvl w:val="0"/>
          <w:numId w:val="28"/>
        </w:numPr>
        <w:jc w:val="both"/>
        <w:rPr>
          <w:rFonts w:ascii="Montserrat Medium" w:eastAsia="Times New Roman" w:hAnsi="Montserrat Medium" w:cs="Arial"/>
          <w:color w:val="595959"/>
          <w:sz w:val="22"/>
          <w:lang w:eastAsia="en-US"/>
        </w:rPr>
      </w:pPr>
      <w:r w:rsidRPr="002E68B5">
        <w:rPr>
          <w:rFonts w:ascii="Montserrat Medium" w:eastAsia="Times New Roman" w:hAnsi="Montserrat Medium" w:cs="Arial"/>
          <w:color w:val="595959"/>
          <w:sz w:val="22"/>
          <w:lang w:eastAsia="en-US"/>
        </w:rPr>
        <w:t xml:space="preserve">Intereses, comisiones, tasa, fecha de liquidación y otros gastos de la deuda por crédito bancario. </w:t>
      </w:r>
    </w:p>
    <w:p w14:paraId="38DB33DA" w14:textId="77777777" w:rsidR="00170E49" w:rsidRPr="00170E49" w:rsidRDefault="00170E49" w:rsidP="002F131C">
      <w:pPr>
        <w:ind w:left="720"/>
        <w:jc w:val="both"/>
        <w:rPr>
          <w:rFonts w:ascii="Montserrat Medium" w:eastAsia="Times New Roman" w:hAnsi="Montserrat Medium" w:cs="Arial"/>
          <w:color w:val="595959"/>
          <w:sz w:val="22"/>
          <w:lang w:eastAsia="en-US"/>
        </w:rPr>
      </w:pPr>
    </w:p>
    <w:tbl>
      <w:tblPr>
        <w:tblW w:w="10089" w:type="dxa"/>
        <w:jc w:val="center"/>
        <w:tblInd w:w="-374" w:type="dxa"/>
        <w:tblCellMar>
          <w:left w:w="70" w:type="dxa"/>
          <w:right w:w="70" w:type="dxa"/>
        </w:tblCellMar>
        <w:tblLook w:val="04A0" w:firstRow="1" w:lastRow="0" w:firstColumn="1" w:lastColumn="0" w:noHBand="0" w:noVBand="1"/>
      </w:tblPr>
      <w:tblGrid>
        <w:gridCol w:w="1523"/>
        <w:gridCol w:w="1445"/>
        <w:gridCol w:w="1413"/>
        <w:gridCol w:w="1333"/>
        <w:gridCol w:w="1134"/>
        <w:gridCol w:w="993"/>
        <w:gridCol w:w="1134"/>
        <w:gridCol w:w="1114"/>
      </w:tblGrid>
      <w:tr w:rsidR="00170E49" w:rsidRPr="00491DCB" w14:paraId="6F370BF2" w14:textId="77777777" w:rsidTr="00A60187">
        <w:trPr>
          <w:trHeight w:val="299"/>
          <w:jc w:val="center"/>
        </w:trPr>
        <w:tc>
          <w:tcPr>
            <w:tcW w:w="10089" w:type="dxa"/>
            <w:gridSpan w:val="8"/>
            <w:tcBorders>
              <w:top w:val="single" w:sz="4" w:space="0" w:color="auto"/>
              <w:left w:val="single" w:sz="4" w:space="0" w:color="auto"/>
              <w:bottom w:val="nil"/>
              <w:right w:val="single" w:sz="4" w:space="0" w:color="000000"/>
            </w:tcBorders>
            <w:shd w:val="clear" w:color="auto" w:fill="A6A6A6"/>
            <w:noWrap/>
            <w:vAlign w:val="center"/>
            <w:hideMark/>
          </w:tcPr>
          <w:p w14:paraId="46E58BF5" w14:textId="77777777" w:rsidR="00170E49" w:rsidRPr="00491DCB" w:rsidRDefault="00170E49" w:rsidP="002F131C">
            <w:pPr>
              <w:jc w:val="center"/>
              <w:rPr>
                <w:rFonts w:ascii="Montserrat" w:eastAsia="Times New Roman" w:hAnsi="Montserrat" w:cs="Futura Medium"/>
                <w:b/>
                <w:bCs/>
                <w:sz w:val="17"/>
                <w:szCs w:val="17"/>
                <w:lang w:val="es-MX" w:eastAsia="es-MX"/>
              </w:rPr>
            </w:pPr>
            <w:r w:rsidRPr="00491DCB">
              <w:rPr>
                <w:rFonts w:ascii="Montserrat" w:eastAsia="Times New Roman" w:hAnsi="Montserrat" w:cs="Futura Medium"/>
                <w:b/>
                <w:bCs/>
                <w:sz w:val="17"/>
                <w:szCs w:val="17"/>
                <w:lang w:val="es-MX" w:eastAsia="es-MX"/>
              </w:rPr>
              <w:t>GOBIERNO DEL ESTADO LIBRE Y SOBERANO DE QUINTANA ROO</w:t>
            </w:r>
          </w:p>
        </w:tc>
      </w:tr>
      <w:tr w:rsidR="00170E49" w:rsidRPr="00491DCB" w14:paraId="0A2EC005" w14:textId="77777777" w:rsidTr="00A60187">
        <w:trPr>
          <w:trHeight w:val="245"/>
          <w:jc w:val="center"/>
        </w:trPr>
        <w:tc>
          <w:tcPr>
            <w:tcW w:w="10089" w:type="dxa"/>
            <w:gridSpan w:val="8"/>
            <w:tcBorders>
              <w:top w:val="nil"/>
              <w:left w:val="single" w:sz="4" w:space="0" w:color="auto"/>
              <w:bottom w:val="single" w:sz="4" w:space="0" w:color="auto"/>
              <w:right w:val="single" w:sz="4" w:space="0" w:color="000000"/>
            </w:tcBorders>
            <w:shd w:val="clear" w:color="auto" w:fill="A6A6A6"/>
            <w:noWrap/>
            <w:vAlign w:val="center"/>
            <w:hideMark/>
          </w:tcPr>
          <w:p w14:paraId="2DD229DE" w14:textId="00D28CC1" w:rsidR="00170E49" w:rsidRPr="00491DCB" w:rsidRDefault="00170E49" w:rsidP="002F131C">
            <w:pPr>
              <w:jc w:val="center"/>
              <w:rPr>
                <w:rFonts w:ascii="Montserrat" w:eastAsia="Times New Roman" w:hAnsi="Montserrat" w:cs="Futura Medium"/>
                <w:b/>
                <w:bCs/>
                <w:sz w:val="17"/>
                <w:szCs w:val="17"/>
                <w:lang w:val="es-MX" w:eastAsia="es-MX"/>
              </w:rPr>
            </w:pPr>
            <w:r w:rsidRPr="00491DCB">
              <w:rPr>
                <w:rFonts w:ascii="Montserrat" w:eastAsia="Times New Roman" w:hAnsi="Montserrat" w:cs="Futura Medium"/>
                <w:b/>
                <w:bCs/>
                <w:sz w:val="17"/>
                <w:szCs w:val="17"/>
                <w:lang w:val="es-MX" w:eastAsia="es-MX"/>
              </w:rPr>
              <w:t xml:space="preserve">Reporte Analítico de la Deuda del </w:t>
            </w:r>
            <w:r w:rsidR="00491DCB">
              <w:rPr>
                <w:rFonts w:ascii="Montserrat" w:eastAsia="Times New Roman" w:hAnsi="Montserrat" w:cs="Futura Medium"/>
                <w:b/>
                <w:bCs/>
                <w:sz w:val="17"/>
                <w:szCs w:val="17"/>
                <w:lang w:val="es-MX" w:eastAsia="es-MX"/>
              </w:rPr>
              <w:t>0</w:t>
            </w:r>
            <w:r w:rsidRPr="00491DCB">
              <w:rPr>
                <w:rFonts w:ascii="Montserrat" w:eastAsia="Times New Roman" w:hAnsi="Montserrat" w:cs="Futura Medium"/>
                <w:b/>
                <w:bCs/>
                <w:sz w:val="17"/>
                <w:szCs w:val="17"/>
                <w:lang w:val="es-MX" w:eastAsia="es-MX"/>
              </w:rPr>
              <w:t>1 de enero al 3</w:t>
            </w:r>
            <w:r w:rsidR="00491DCB">
              <w:rPr>
                <w:rFonts w:ascii="Montserrat" w:eastAsia="Times New Roman" w:hAnsi="Montserrat" w:cs="Futura Medium"/>
                <w:b/>
                <w:bCs/>
                <w:sz w:val="17"/>
                <w:szCs w:val="17"/>
                <w:lang w:val="es-MX" w:eastAsia="es-MX"/>
              </w:rPr>
              <w:t>0</w:t>
            </w:r>
            <w:r w:rsidRPr="00491DCB">
              <w:rPr>
                <w:rFonts w:ascii="Montserrat" w:eastAsia="Times New Roman" w:hAnsi="Montserrat" w:cs="Futura Medium"/>
                <w:b/>
                <w:bCs/>
                <w:sz w:val="17"/>
                <w:szCs w:val="17"/>
                <w:lang w:val="es-MX" w:eastAsia="es-MX"/>
              </w:rPr>
              <w:t xml:space="preserve"> de </w:t>
            </w:r>
            <w:r w:rsidR="00491DCB">
              <w:rPr>
                <w:rFonts w:ascii="Montserrat" w:eastAsia="Times New Roman" w:hAnsi="Montserrat" w:cs="Futura Medium"/>
                <w:b/>
                <w:bCs/>
                <w:sz w:val="17"/>
                <w:szCs w:val="17"/>
                <w:lang w:val="es-MX" w:eastAsia="es-MX"/>
              </w:rPr>
              <w:t>junio</w:t>
            </w:r>
            <w:r w:rsidRPr="00491DCB">
              <w:rPr>
                <w:rFonts w:ascii="Montserrat" w:eastAsia="Times New Roman" w:hAnsi="Montserrat" w:cs="Futura Medium"/>
                <w:b/>
                <w:bCs/>
                <w:sz w:val="17"/>
                <w:szCs w:val="17"/>
                <w:lang w:val="es-MX" w:eastAsia="es-MX"/>
              </w:rPr>
              <w:t xml:space="preserve"> de 2025</w:t>
            </w:r>
          </w:p>
          <w:p w14:paraId="729CF34D" w14:textId="77777777" w:rsidR="00170E49" w:rsidRPr="00491DCB" w:rsidRDefault="00170E49" w:rsidP="002F131C">
            <w:pPr>
              <w:jc w:val="center"/>
              <w:rPr>
                <w:rFonts w:ascii="Montserrat" w:eastAsia="Times New Roman" w:hAnsi="Montserrat" w:cs="Futura Medium"/>
                <w:b/>
                <w:bCs/>
                <w:sz w:val="17"/>
                <w:szCs w:val="17"/>
                <w:lang w:val="es-MX" w:eastAsia="es-MX"/>
              </w:rPr>
            </w:pPr>
            <w:r w:rsidRPr="00491DCB">
              <w:rPr>
                <w:rFonts w:ascii="Montserrat" w:eastAsia="Times New Roman" w:hAnsi="Montserrat" w:cs="Futura Medium"/>
                <w:b/>
                <w:bCs/>
                <w:sz w:val="17"/>
                <w:szCs w:val="17"/>
                <w:lang w:val="es-MX" w:eastAsia="es-MX"/>
              </w:rPr>
              <w:t>(Cifras en  pesos)</w:t>
            </w:r>
          </w:p>
        </w:tc>
      </w:tr>
      <w:tr w:rsidR="00170E49" w:rsidRPr="00491DCB" w14:paraId="73F8125F" w14:textId="77777777" w:rsidTr="00A60187">
        <w:trPr>
          <w:trHeight w:val="369"/>
          <w:jc w:val="center"/>
        </w:trPr>
        <w:tc>
          <w:tcPr>
            <w:tcW w:w="1578" w:type="dxa"/>
            <w:vMerge w:val="restart"/>
            <w:tcBorders>
              <w:top w:val="nil"/>
              <w:left w:val="single" w:sz="4" w:space="0" w:color="auto"/>
              <w:bottom w:val="single" w:sz="4" w:space="0" w:color="000000"/>
              <w:right w:val="single" w:sz="4" w:space="0" w:color="auto"/>
            </w:tcBorders>
            <w:shd w:val="clear" w:color="auto" w:fill="D9D9D9"/>
            <w:vAlign w:val="center"/>
            <w:hideMark/>
          </w:tcPr>
          <w:p w14:paraId="3E893AC9" w14:textId="77777777" w:rsidR="00170E49" w:rsidRPr="00491DCB" w:rsidRDefault="00170E49" w:rsidP="002F131C">
            <w:pPr>
              <w:jc w:val="center"/>
              <w:rPr>
                <w:rFonts w:ascii="Montserrat" w:eastAsia="Times New Roman" w:hAnsi="Montserrat" w:cs="Futura Medium"/>
                <w:sz w:val="17"/>
                <w:szCs w:val="17"/>
                <w:lang w:val="es-MX" w:eastAsia="es-MX"/>
              </w:rPr>
            </w:pPr>
            <w:r w:rsidRPr="00491DCB">
              <w:rPr>
                <w:rFonts w:ascii="Montserrat" w:eastAsia="Times New Roman" w:hAnsi="Montserrat" w:cs="Futura Medium"/>
                <w:sz w:val="17"/>
                <w:szCs w:val="17"/>
                <w:lang w:val="es-MX" w:eastAsia="es-MX"/>
              </w:rPr>
              <w:t>Acreedor</w:t>
            </w:r>
          </w:p>
        </w:tc>
        <w:tc>
          <w:tcPr>
            <w:tcW w:w="1445" w:type="dxa"/>
            <w:vMerge w:val="restart"/>
            <w:tcBorders>
              <w:top w:val="nil"/>
              <w:left w:val="nil"/>
              <w:bottom w:val="single" w:sz="4" w:space="0" w:color="000000"/>
              <w:right w:val="nil"/>
            </w:tcBorders>
            <w:shd w:val="clear" w:color="auto" w:fill="D9D9D9"/>
            <w:vAlign w:val="center"/>
            <w:hideMark/>
          </w:tcPr>
          <w:p w14:paraId="31A108FD" w14:textId="77777777" w:rsidR="00170E49" w:rsidRPr="00491DCB" w:rsidRDefault="00170E49" w:rsidP="002F131C">
            <w:pPr>
              <w:jc w:val="center"/>
              <w:rPr>
                <w:rFonts w:ascii="Montserrat" w:eastAsia="Times New Roman" w:hAnsi="Montserrat" w:cs="Futura Medium"/>
                <w:sz w:val="17"/>
                <w:szCs w:val="17"/>
                <w:lang w:val="es-MX" w:eastAsia="es-MX"/>
              </w:rPr>
            </w:pPr>
            <w:r w:rsidRPr="00491DCB">
              <w:rPr>
                <w:rFonts w:ascii="Montserrat" w:eastAsia="Times New Roman" w:hAnsi="Montserrat" w:cs="Futura Medium"/>
                <w:sz w:val="17"/>
                <w:szCs w:val="17"/>
                <w:lang w:val="es-MX" w:eastAsia="es-MX"/>
              </w:rPr>
              <w:t>Importe contratado</w:t>
            </w:r>
          </w:p>
        </w:tc>
        <w:tc>
          <w:tcPr>
            <w:tcW w:w="1413" w:type="dxa"/>
            <w:vMerge w:val="restart"/>
            <w:tcBorders>
              <w:top w:val="nil"/>
              <w:left w:val="single" w:sz="4" w:space="0" w:color="auto"/>
              <w:bottom w:val="single" w:sz="4" w:space="0" w:color="000000"/>
              <w:right w:val="single" w:sz="4" w:space="0" w:color="auto"/>
            </w:tcBorders>
            <w:shd w:val="clear" w:color="auto" w:fill="D9D9D9"/>
            <w:vAlign w:val="center"/>
            <w:hideMark/>
          </w:tcPr>
          <w:p w14:paraId="09E28ED5" w14:textId="77777777" w:rsidR="00170E49" w:rsidRPr="00491DCB" w:rsidRDefault="00170E49" w:rsidP="002F131C">
            <w:pPr>
              <w:jc w:val="center"/>
              <w:rPr>
                <w:rFonts w:ascii="Montserrat" w:eastAsia="Times New Roman" w:hAnsi="Montserrat" w:cs="Futura Medium"/>
                <w:sz w:val="17"/>
                <w:szCs w:val="17"/>
                <w:lang w:val="es-MX" w:eastAsia="es-MX"/>
              </w:rPr>
            </w:pPr>
            <w:r w:rsidRPr="00491DCB">
              <w:rPr>
                <w:rFonts w:ascii="Montserrat" w:eastAsia="Times New Roman" w:hAnsi="Montserrat" w:cs="Futura Medium"/>
                <w:sz w:val="17"/>
                <w:szCs w:val="17"/>
                <w:lang w:val="es-MX" w:eastAsia="es-MX"/>
              </w:rPr>
              <w:t>Saldo a la fecha de corte</w:t>
            </w:r>
          </w:p>
        </w:tc>
        <w:tc>
          <w:tcPr>
            <w:tcW w:w="1333" w:type="dxa"/>
            <w:vMerge w:val="restart"/>
            <w:tcBorders>
              <w:top w:val="nil"/>
              <w:left w:val="nil"/>
              <w:bottom w:val="single" w:sz="4" w:space="0" w:color="000000"/>
              <w:right w:val="nil"/>
            </w:tcBorders>
            <w:shd w:val="clear" w:color="auto" w:fill="D9D9D9"/>
            <w:vAlign w:val="center"/>
            <w:hideMark/>
          </w:tcPr>
          <w:p w14:paraId="538E2857" w14:textId="77777777" w:rsidR="00170E49" w:rsidRPr="00491DCB" w:rsidRDefault="00170E49" w:rsidP="002F131C">
            <w:pPr>
              <w:jc w:val="center"/>
              <w:rPr>
                <w:rFonts w:ascii="Montserrat" w:eastAsia="Times New Roman" w:hAnsi="Montserrat" w:cs="Futura Medium"/>
                <w:sz w:val="17"/>
                <w:szCs w:val="17"/>
                <w:lang w:val="es-MX" w:eastAsia="es-MX"/>
              </w:rPr>
            </w:pPr>
            <w:r w:rsidRPr="00491DCB">
              <w:rPr>
                <w:rFonts w:ascii="Montserrat" w:eastAsia="Times New Roman" w:hAnsi="Montserrat" w:cs="Futura Medium"/>
                <w:sz w:val="17"/>
                <w:szCs w:val="17"/>
                <w:lang w:val="es-MX" w:eastAsia="es-MX"/>
              </w:rPr>
              <w:t>Intereses</w:t>
            </w:r>
          </w:p>
        </w:tc>
        <w:tc>
          <w:tcPr>
            <w:tcW w:w="1134" w:type="dxa"/>
            <w:vMerge w:val="restart"/>
            <w:tcBorders>
              <w:top w:val="nil"/>
              <w:left w:val="single" w:sz="4" w:space="0" w:color="auto"/>
              <w:bottom w:val="single" w:sz="4" w:space="0" w:color="000000"/>
              <w:right w:val="single" w:sz="4" w:space="0" w:color="auto"/>
            </w:tcBorders>
            <w:shd w:val="clear" w:color="auto" w:fill="D9D9D9"/>
            <w:vAlign w:val="center"/>
            <w:hideMark/>
          </w:tcPr>
          <w:p w14:paraId="0FAE7CD5" w14:textId="77777777" w:rsidR="00170E49" w:rsidRPr="00491DCB" w:rsidRDefault="00170E49" w:rsidP="002F131C">
            <w:pPr>
              <w:jc w:val="center"/>
              <w:rPr>
                <w:rFonts w:ascii="Montserrat" w:eastAsia="Times New Roman" w:hAnsi="Montserrat" w:cs="Futura Medium"/>
                <w:sz w:val="17"/>
                <w:szCs w:val="17"/>
                <w:lang w:val="es-MX" w:eastAsia="es-MX"/>
              </w:rPr>
            </w:pPr>
            <w:r w:rsidRPr="00491DCB">
              <w:rPr>
                <w:rFonts w:ascii="Montserrat" w:eastAsia="Times New Roman" w:hAnsi="Montserrat" w:cs="Futura Medium"/>
                <w:sz w:val="17"/>
                <w:szCs w:val="17"/>
                <w:lang w:val="es-MX" w:eastAsia="es-MX"/>
              </w:rPr>
              <w:t>Comisiones</w:t>
            </w:r>
          </w:p>
        </w:tc>
        <w:tc>
          <w:tcPr>
            <w:tcW w:w="993" w:type="dxa"/>
            <w:vMerge w:val="restart"/>
            <w:tcBorders>
              <w:top w:val="nil"/>
              <w:left w:val="nil"/>
              <w:bottom w:val="single" w:sz="4" w:space="0" w:color="000000"/>
              <w:right w:val="nil"/>
            </w:tcBorders>
            <w:shd w:val="clear" w:color="auto" w:fill="D9D9D9"/>
            <w:vAlign w:val="center"/>
            <w:hideMark/>
          </w:tcPr>
          <w:p w14:paraId="33F7A815" w14:textId="77777777" w:rsidR="00170E49" w:rsidRPr="00491DCB" w:rsidRDefault="00170E49" w:rsidP="002F131C">
            <w:pPr>
              <w:jc w:val="center"/>
              <w:rPr>
                <w:rFonts w:ascii="Montserrat" w:eastAsia="Times New Roman" w:hAnsi="Montserrat" w:cs="Futura Medium"/>
                <w:sz w:val="17"/>
                <w:szCs w:val="17"/>
                <w:lang w:val="es-MX" w:eastAsia="es-MX"/>
              </w:rPr>
            </w:pPr>
            <w:r w:rsidRPr="00491DCB">
              <w:rPr>
                <w:rFonts w:ascii="Montserrat" w:eastAsia="Times New Roman" w:hAnsi="Montserrat" w:cs="Futura Medium"/>
                <w:sz w:val="17"/>
                <w:szCs w:val="17"/>
                <w:lang w:val="es-MX" w:eastAsia="es-MX"/>
              </w:rPr>
              <w:t>Tasa de interés</w:t>
            </w:r>
          </w:p>
        </w:tc>
        <w:tc>
          <w:tcPr>
            <w:tcW w:w="1134" w:type="dxa"/>
            <w:vMerge w:val="restart"/>
            <w:tcBorders>
              <w:top w:val="nil"/>
              <w:left w:val="single" w:sz="4" w:space="0" w:color="auto"/>
              <w:bottom w:val="single" w:sz="4" w:space="0" w:color="000000"/>
              <w:right w:val="single" w:sz="4" w:space="0" w:color="auto"/>
            </w:tcBorders>
            <w:shd w:val="clear" w:color="auto" w:fill="D9D9D9"/>
            <w:vAlign w:val="center"/>
            <w:hideMark/>
          </w:tcPr>
          <w:p w14:paraId="3EF80A04" w14:textId="77777777" w:rsidR="00170E49" w:rsidRPr="00491DCB" w:rsidRDefault="00170E49" w:rsidP="002F131C">
            <w:pPr>
              <w:jc w:val="center"/>
              <w:rPr>
                <w:rFonts w:ascii="Montserrat" w:eastAsia="Times New Roman" w:hAnsi="Montserrat" w:cs="Futura Medium"/>
                <w:sz w:val="17"/>
                <w:szCs w:val="17"/>
                <w:lang w:val="es-MX" w:eastAsia="es-MX"/>
              </w:rPr>
            </w:pPr>
            <w:r w:rsidRPr="00491DCB">
              <w:rPr>
                <w:rFonts w:ascii="Montserrat" w:eastAsia="Times New Roman" w:hAnsi="Montserrat" w:cs="Futura Medium"/>
                <w:sz w:val="17"/>
                <w:szCs w:val="17"/>
                <w:lang w:val="es-MX" w:eastAsia="es-MX"/>
              </w:rPr>
              <w:t>Fecha liquidación</w:t>
            </w:r>
          </w:p>
        </w:tc>
        <w:tc>
          <w:tcPr>
            <w:tcW w:w="1059" w:type="dxa"/>
            <w:vMerge w:val="restart"/>
            <w:tcBorders>
              <w:top w:val="nil"/>
              <w:left w:val="nil"/>
              <w:bottom w:val="single" w:sz="4" w:space="0" w:color="000000"/>
              <w:right w:val="single" w:sz="4" w:space="0" w:color="auto"/>
            </w:tcBorders>
            <w:shd w:val="clear" w:color="auto" w:fill="D9D9D9"/>
            <w:vAlign w:val="center"/>
            <w:hideMark/>
          </w:tcPr>
          <w:p w14:paraId="4CA513DE" w14:textId="77777777" w:rsidR="00170E49" w:rsidRPr="00491DCB" w:rsidRDefault="00170E49" w:rsidP="002F131C">
            <w:pPr>
              <w:jc w:val="center"/>
              <w:rPr>
                <w:rFonts w:ascii="Montserrat" w:eastAsia="Times New Roman" w:hAnsi="Montserrat" w:cs="Futura Medium"/>
                <w:sz w:val="17"/>
                <w:szCs w:val="17"/>
                <w:lang w:val="es-MX" w:eastAsia="es-MX"/>
              </w:rPr>
            </w:pPr>
            <w:r w:rsidRPr="00491DCB">
              <w:rPr>
                <w:rFonts w:ascii="Montserrat" w:eastAsia="Times New Roman" w:hAnsi="Montserrat" w:cs="Futura Medium"/>
                <w:sz w:val="17"/>
                <w:szCs w:val="17"/>
                <w:lang w:val="es-MX" w:eastAsia="es-MX"/>
              </w:rPr>
              <w:t>Otros gastos</w:t>
            </w:r>
          </w:p>
        </w:tc>
      </w:tr>
      <w:tr w:rsidR="00170E49" w:rsidRPr="00491DCB" w14:paraId="76BF99E8" w14:textId="77777777" w:rsidTr="00A60187">
        <w:trPr>
          <w:trHeight w:val="453"/>
          <w:jc w:val="center"/>
        </w:trPr>
        <w:tc>
          <w:tcPr>
            <w:tcW w:w="1578" w:type="dxa"/>
            <w:vMerge/>
            <w:tcBorders>
              <w:top w:val="nil"/>
              <w:left w:val="single" w:sz="4" w:space="0" w:color="auto"/>
              <w:bottom w:val="single" w:sz="4" w:space="0" w:color="000000"/>
              <w:right w:val="single" w:sz="4" w:space="0" w:color="auto"/>
            </w:tcBorders>
            <w:shd w:val="clear" w:color="auto" w:fill="D9D9D9"/>
            <w:vAlign w:val="center"/>
            <w:hideMark/>
          </w:tcPr>
          <w:p w14:paraId="0EE5C7D7" w14:textId="77777777" w:rsidR="00170E49" w:rsidRPr="00491DCB" w:rsidRDefault="00170E49" w:rsidP="002F131C">
            <w:pPr>
              <w:rPr>
                <w:rFonts w:ascii="Montserrat" w:eastAsia="Times New Roman" w:hAnsi="Montserrat" w:cs="Futura Medium"/>
                <w:sz w:val="22"/>
                <w:szCs w:val="22"/>
                <w:lang w:val="es-MX" w:eastAsia="es-MX"/>
              </w:rPr>
            </w:pPr>
          </w:p>
        </w:tc>
        <w:tc>
          <w:tcPr>
            <w:tcW w:w="1445" w:type="dxa"/>
            <w:vMerge/>
            <w:tcBorders>
              <w:top w:val="nil"/>
              <w:left w:val="nil"/>
              <w:bottom w:val="single" w:sz="4" w:space="0" w:color="000000"/>
              <w:right w:val="nil"/>
            </w:tcBorders>
            <w:shd w:val="clear" w:color="auto" w:fill="D9D9D9"/>
            <w:vAlign w:val="center"/>
            <w:hideMark/>
          </w:tcPr>
          <w:p w14:paraId="20304A5D" w14:textId="77777777" w:rsidR="00170E49" w:rsidRPr="00491DCB" w:rsidRDefault="00170E49" w:rsidP="002F131C">
            <w:pPr>
              <w:rPr>
                <w:rFonts w:ascii="Montserrat" w:eastAsia="Times New Roman" w:hAnsi="Montserrat" w:cs="Futura Medium"/>
                <w:sz w:val="22"/>
                <w:szCs w:val="22"/>
                <w:lang w:val="es-MX" w:eastAsia="es-MX"/>
              </w:rPr>
            </w:pPr>
          </w:p>
        </w:tc>
        <w:tc>
          <w:tcPr>
            <w:tcW w:w="1413" w:type="dxa"/>
            <w:vMerge/>
            <w:tcBorders>
              <w:top w:val="nil"/>
              <w:left w:val="single" w:sz="4" w:space="0" w:color="auto"/>
              <w:bottom w:val="single" w:sz="4" w:space="0" w:color="000000"/>
              <w:right w:val="single" w:sz="4" w:space="0" w:color="auto"/>
            </w:tcBorders>
            <w:shd w:val="clear" w:color="auto" w:fill="D9D9D9"/>
            <w:vAlign w:val="center"/>
            <w:hideMark/>
          </w:tcPr>
          <w:p w14:paraId="77A1A1A8" w14:textId="77777777" w:rsidR="00170E49" w:rsidRPr="00491DCB" w:rsidRDefault="00170E49" w:rsidP="002F131C">
            <w:pPr>
              <w:rPr>
                <w:rFonts w:ascii="Montserrat" w:eastAsia="Times New Roman" w:hAnsi="Montserrat" w:cs="Futura Medium"/>
                <w:sz w:val="22"/>
                <w:szCs w:val="22"/>
                <w:lang w:val="es-MX" w:eastAsia="es-MX"/>
              </w:rPr>
            </w:pPr>
          </w:p>
        </w:tc>
        <w:tc>
          <w:tcPr>
            <w:tcW w:w="1333" w:type="dxa"/>
            <w:vMerge/>
            <w:tcBorders>
              <w:top w:val="nil"/>
              <w:left w:val="nil"/>
              <w:bottom w:val="single" w:sz="4" w:space="0" w:color="000000"/>
              <w:right w:val="nil"/>
            </w:tcBorders>
            <w:shd w:val="clear" w:color="auto" w:fill="D9D9D9"/>
            <w:vAlign w:val="center"/>
            <w:hideMark/>
          </w:tcPr>
          <w:p w14:paraId="0EC39C00" w14:textId="77777777" w:rsidR="00170E49" w:rsidRPr="00491DCB" w:rsidRDefault="00170E49" w:rsidP="002F131C">
            <w:pPr>
              <w:rPr>
                <w:rFonts w:ascii="Montserrat" w:eastAsia="Times New Roman" w:hAnsi="Montserrat" w:cs="Futura Medium"/>
                <w:sz w:val="22"/>
                <w:szCs w:val="22"/>
                <w:lang w:val="es-MX" w:eastAsia="es-MX"/>
              </w:rPr>
            </w:pPr>
          </w:p>
        </w:tc>
        <w:tc>
          <w:tcPr>
            <w:tcW w:w="1134" w:type="dxa"/>
            <w:vMerge/>
            <w:tcBorders>
              <w:top w:val="nil"/>
              <w:left w:val="single" w:sz="4" w:space="0" w:color="auto"/>
              <w:bottom w:val="single" w:sz="4" w:space="0" w:color="000000"/>
              <w:right w:val="single" w:sz="4" w:space="0" w:color="auto"/>
            </w:tcBorders>
            <w:shd w:val="clear" w:color="auto" w:fill="D9D9D9"/>
            <w:vAlign w:val="center"/>
            <w:hideMark/>
          </w:tcPr>
          <w:p w14:paraId="01446A1F" w14:textId="77777777" w:rsidR="00170E49" w:rsidRPr="00491DCB" w:rsidRDefault="00170E49" w:rsidP="002F131C">
            <w:pPr>
              <w:rPr>
                <w:rFonts w:ascii="Montserrat" w:eastAsia="Times New Roman" w:hAnsi="Montserrat" w:cs="Futura Medium"/>
                <w:sz w:val="22"/>
                <w:szCs w:val="22"/>
                <w:lang w:val="es-MX" w:eastAsia="es-MX"/>
              </w:rPr>
            </w:pPr>
          </w:p>
        </w:tc>
        <w:tc>
          <w:tcPr>
            <w:tcW w:w="993" w:type="dxa"/>
            <w:vMerge/>
            <w:tcBorders>
              <w:top w:val="nil"/>
              <w:left w:val="nil"/>
              <w:bottom w:val="single" w:sz="4" w:space="0" w:color="000000"/>
              <w:right w:val="nil"/>
            </w:tcBorders>
            <w:shd w:val="clear" w:color="auto" w:fill="D9D9D9"/>
            <w:vAlign w:val="center"/>
            <w:hideMark/>
          </w:tcPr>
          <w:p w14:paraId="38A7CAA1" w14:textId="77777777" w:rsidR="00170E49" w:rsidRPr="00491DCB" w:rsidRDefault="00170E49" w:rsidP="002F131C">
            <w:pPr>
              <w:rPr>
                <w:rFonts w:ascii="Montserrat" w:eastAsia="Times New Roman" w:hAnsi="Montserrat" w:cs="Futura Medium"/>
                <w:sz w:val="22"/>
                <w:szCs w:val="22"/>
                <w:lang w:val="es-MX" w:eastAsia="es-MX"/>
              </w:rPr>
            </w:pPr>
          </w:p>
        </w:tc>
        <w:tc>
          <w:tcPr>
            <w:tcW w:w="1134" w:type="dxa"/>
            <w:vMerge/>
            <w:tcBorders>
              <w:top w:val="nil"/>
              <w:left w:val="single" w:sz="4" w:space="0" w:color="auto"/>
              <w:bottom w:val="single" w:sz="4" w:space="0" w:color="000000"/>
              <w:right w:val="single" w:sz="4" w:space="0" w:color="auto"/>
            </w:tcBorders>
            <w:shd w:val="clear" w:color="auto" w:fill="D9D9D9"/>
            <w:vAlign w:val="center"/>
            <w:hideMark/>
          </w:tcPr>
          <w:p w14:paraId="18155224" w14:textId="77777777" w:rsidR="00170E49" w:rsidRPr="00491DCB" w:rsidRDefault="00170E49" w:rsidP="002F131C">
            <w:pPr>
              <w:rPr>
                <w:rFonts w:ascii="Montserrat" w:eastAsia="Times New Roman" w:hAnsi="Montserrat" w:cs="Futura Medium"/>
                <w:sz w:val="22"/>
                <w:szCs w:val="22"/>
                <w:lang w:val="es-MX" w:eastAsia="es-MX"/>
              </w:rPr>
            </w:pPr>
          </w:p>
        </w:tc>
        <w:tc>
          <w:tcPr>
            <w:tcW w:w="1059" w:type="dxa"/>
            <w:vMerge/>
            <w:tcBorders>
              <w:top w:val="nil"/>
              <w:left w:val="nil"/>
              <w:bottom w:val="single" w:sz="4" w:space="0" w:color="000000"/>
              <w:right w:val="single" w:sz="4" w:space="0" w:color="auto"/>
            </w:tcBorders>
            <w:shd w:val="clear" w:color="auto" w:fill="D9D9D9"/>
            <w:vAlign w:val="center"/>
            <w:hideMark/>
          </w:tcPr>
          <w:p w14:paraId="04FCF13E" w14:textId="77777777" w:rsidR="00170E49" w:rsidRPr="00491DCB" w:rsidRDefault="00170E49" w:rsidP="002F131C">
            <w:pPr>
              <w:rPr>
                <w:rFonts w:ascii="Montserrat" w:eastAsia="Times New Roman" w:hAnsi="Montserrat" w:cs="Futura Medium"/>
                <w:sz w:val="22"/>
                <w:szCs w:val="22"/>
                <w:lang w:val="es-MX" w:eastAsia="es-MX"/>
              </w:rPr>
            </w:pPr>
          </w:p>
        </w:tc>
      </w:tr>
      <w:tr w:rsidR="00491DCB" w:rsidRPr="00491DCB" w14:paraId="4EB9AA93" w14:textId="77777777" w:rsidTr="00A60187">
        <w:trPr>
          <w:trHeight w:val="231"/>
          <w:jc w:val="center"/>
        </w:trPr>
        <w:tc>
          <w:tcPr>
            <w:tcW w:w="1578" w:type="dxa"/>
            <w:tcBorders>
              <w:top w:val="single" w:sz="4" w:space="0" w:color="000000"/>
              <w:left w:val="single" w:sz="4" w:space="0" w:color="auto"/>
              <w:bottom w:val="single" w:sz="4" w:space="0" w:color="auto"/>
              <w:right w:val="single" w:sz="4" w:space="0" w:color="auto"/>
            </w:tcBorders>
            <w:shd w:val="clear" w:color="auto" w:fill="auto"/>
            <w:vAlign w:val="bottom"/>
            <w:hideMark/>
          </w:tcPr>
          <w:p w14:paraId="2F8056F0" w14:textId="77777777" w:rsidR="00491DCB" w:rsidRPr="00491DCB" w:rsidRDefault="00491DCB" w:rsidP="002F131C">
            <w:pPr>
              <w:jc w:val="center"/>
              <w:rPr>
                <w:rFonts w:ascii="Montserrat" w:eastAsia="Times New Roman" w:hAnsi="Montserrat" w:cs="Futura Medium"/>
                <w:b/>
                <w:bCs/>
                <w:sz w:val="15"/>
                <w:szCs w:val="15"/>
                <w:lang w:val="es-MX" w:eastAsia="es-MX"/>
              </w:rPr>
            </w:pPr>
            <w:r w:rsidRPr="00491DCB">
              <w:rPr>
                <w:rFonts w:ascii="Montserrat" w:eastAsia="Times New Roman" w:hAnsi="Montserrat" w:cs="Futura Medium"/>
                <w:b/>
                <w:bCs/>
                <w:sz w:val="15"/>
                <w:szCs w:val="15"/>
                <w:lang w:val="es-MX" w:eastAsia="es-MX"/>
              </w:rPr>
              <w:t>T O T A L</w:t>
            </w:r>
          </w:p>
        </w:tc>
        <w:tc>
          <w:tcPr>
            <w:tcW w:w="1445" w:type="dxa"/>
            <w:tcBorders>
              <w:top w:val="single" w:sz="4" w:space="0" w:color="000000"/>
              <w:left w:val="nil"/>
              <w:bottom w:val="single" w:sz="4" w:space="0" w:color="auto"/>
              <w:right w:val="nil"/>
            </w:tcBorders>
            <w:shd w:val="clear" w:color="auto" w:fill="auto"/>
            <w:vAlign w:val="bottom"/>
            <w:hideMark/>
          </w:tcPr>
          <w:p w14:paraId="69940030" w14:textId="77777777" w:rsidR="00491DCB" w:rsidRPr="00491DCB" w:rsidRDefault="00491DCB" w:rsidP="002F131C">
            <w:pPr>
              <w:jc w:val="right"/>
              <w:rPr>
                <w:rFonts w:ascii="Montserrat" w:eastAsia="Times New Roman" w:hAnsi="Montserrat" w:cs="Futura Medium"/>
                <w:bCs/>
                <w:sz w:val="15"/>
                <w:szCs w:val="15"/>
                <w:lang w:val="es-MX" w:eastAsia="es-MX"/>
              </w:rPr>
            </w:pPr>
            <w:r w:rsidRPr="00491DCB">
              <w:rPr>
                <w:rFonts w:ascii="Montserrat" w:eastAsia="Times New Roman" w:hAnsi="Montserrat" w:cs="Futura Medium"/>
                <w:bCs/>
                <w:sz w:val="15"/>
                <w:szCs w:val="15"/>
                <w:lang w:val="es-MX" w:eastAsia="es-MX"/>
              </w:rPr>
              <w:t>19,345,502,839.00</w:t>
            </w:r>
          </w:p>
        </w:tc>
        <w:tc>
          <w:tcPr>
            <w:tcW w:w="1413" w:type="dxa"/>
            <w:tcBorders>
              <w:top w:val="single" w:sz="4" w:space="0" w:color="000000"/>
              <w:left w:val="single" w:sz="4" w:space="0" w:color="auto"/>
              <w:bottom w:val="single" w:sz="4" w:space="0" w:color="auto"/>
              <w:right w:val="single" w:sz="4" w:space="0" w:color="auto"/>
            </w:tcBorders>
            <w:shd w:val="clear" w:color="auto" w:fill="auto"/>
            <w:vAlign w:val="bottom"/>
          </w:tcPr>
          <w:p w14:paraId="6DD82AD2" w14:textId="24659A1A" w:rsidR="00491DCB" w:rsidRPr="00491DCB" w:rsidRDefault="00491DCB" w:rsidP="002F131C">
            <w:pPr>
              <w:jc w:val="right"/>
              <w:rPr>
                <w:rFonts w:ascii="Montserrat" w:eastAsia="Times New Roman" w:hAnsi="Montserrat" w:cs="Futura Medium"/>
                <w:bCs/>
                <w:sz w:val="15"/>
                <w:szCs w:val="15"/>
                <w:lang w:val="es-MX" w:eastAsia="es-MX"/>
              </w:rPr>
            </w:pPr>
            <w:r w:rsidRPr="00491DCB">
              <w:rPr>
                <w:rFonts w:ascii="Montserrat" w:eastAsia="Times New Roman" w:hAnsi="Montserrat" w:cs="Futura Medium"/>
                <w:sz w:val="15"/>
                <w:szCs w:val="15"/>
                <w:lang w:val="es-MX" w:eastAsia="es-MX"/>
              </w:rPr>
              <w:fldChar w:fldCharType="begin"/>
            </w:r>
            <w:r w:rsidRPr="00491DCB">
              <w:rPr>
                <w:rFonts w:ascii="Montserrat" w:eastAsia="Times New Roman" w:hAnsi="Montserrat" w:cs="Futura Medium"/>
                <w:sz w:val="15"/>
                <w:szCs w:val="15"/>
                <w:lang w:val="es-MX" w:eastAsia="es-MX"/>
              </w:rPr>
              <w:instrText xml:space="preserve"> =SUM(ABOVE) </w:instrText>
            </w:r>
            <w:r w:rsidRPr="00491DCB">
              <w:rPr>
                <w:rFonts w:ascii="Montserrat" w:eastAsia="Times New Roman" w:hAnsi="Montserrat" w:cs="Futura Medium"/>
                <w:sz w:val="15"/>
                <w:szCs w:val="15"/>
                <w:lang w:val="es-MX" w:eastAsia="es-MX"/>
              </w:rPr>
              <w:fldChar w:fldCharType="separate"/>
            </w:r>
            <w:r w:rsidRPr="00491DCB">
              <w:rPr>
                <w:rFonts w:ascii="Montserrat" w:eastAsia="Times New Roman" w:hAnsi="Montserrat" w:cs="Futura Medium"/>
                <w:noProof/>
                <w:sz w:val="15"/>
                <w:szCs w:val="15"/>
                <w:lang w:val="es-MX" w:eastAsia="es-MX"/>
              </w:rPr>
              <w:t>19,231,416,733.</w:t>
            </w:r>
            <w:r w:rsidRPr="00491DCB">
              <w:rPr>
                <w:rFonts w:ascii="Montserrat" w:eastAsia="Times New Roman" w:hAnsi="Montserrat" w:cs="Futura Medium"/>
                <w:sz w:val="15"/>
                <w:szCs w:val="15"/>
                <w:lang w:val="es-MX" w:eastAsia="es-MX"/>
              </w:rPr>
              <w:fldChar w:fldCharType="end"/>
            </w:r>
            <w:r w:rsidRPr="00491DCB">
              <w:rPr>
                <w:rFonts w:ascii="Montserrat" w:eastAsia="Times New Roman" w:hAnsi="Montserrat" w:cs="Futura Medium"/>
                <w:sz w:val="15"/>
                <w:szCs w:val="15"/>
                <w:lang w:val="es-MX" w:eastAsia="es-MX"/>
              </w:rPr>
              <w:t>59</w:t>
            </w:r>
          </w:p>
        </w:tc>
        <w:tc>
          <w:tcPr>
            <w:tcW w:w="1333" w:type="dxa"/>
            <w:tcBorders>
              <w:top w:val="single" w:sz="4" w:space="0" w:color="000000"/>
              <w:left w:val="nil"/>
              <w:bottom w:val="single" w:sz="4" w:space="0" w:color="auto"/>
              <w:right w:val="nil"/>
            </w:tcBorders>
            <w:shd w:val="clear" w:color="auto" w:fill="auto"/>
            <w:vAlign w:val="bottom"/>
            <w:hideMark/>
          </w:tcPr>
          <w:p w14:paraId="18EF9E05" w14:textId="67304403" w:rsidR="00491DCB" w:rsidRPr="00491DCB" w:rsidRDefault="00491DCB" w:rsidP="002F131C">
            <w:pPr>
              <w:jc w:val="center"/>
              <w:rPr>
                <w:rFonts w:ascii="Montserrat" w:eastAsia="Times New Roman" w:hAnsi="Montserrat" w:cs="Futura Medium"/>
                <w:bCs/>
                <w:color w:val="FF0000"/>
                <w:sz w:val="15"/>
                <w:szCs w:val="15"/>
                <w:lang w:val="es-MX" w:eastAsia="es-MX"/>
              </w:rPr>
            </w:pPr>
            <w:r w:rsidRPr="00491DCB">
              <w:rPr>
                <w:rFonts w:ascii="Montserrat" w:eastAsia="Times New Roman" w:hAnsi="Montserrat" w:cs="Futura Medium"/>
                <w:bCs/>
                <w:sz w:val="15"/>
                <w:szCs w:val="15"/>
                <w:lang w:val="es-MX" w:eastAsia="es-MX"/>
              </w:rPr>
              <w:t>987,026,518.50</w:t>
            </w:r>
          </w:p>
        </w:tc>
        <w:tc>
          <w:tcPr>
            <w:tcW w:w="1134" w:type="dxa"/>
            <w:tcBorders>
              <w:top w:val="single" w:sz="4" w:space="0" w:color="000000"/>
              <w:left w:val="single" w:sz="4" w:space="0" w:color="auto"/>
              <w:bottom w:val="single" w:sz="4" w:space="0" w:color="auto"/>
              <w:right w:val="single" w:sz="4" w:space="0" w:color="auto"/>
            </w:tcBorders>
            <w:shd w:val="clear" w:color="auto" w:fill="auto"/>
            <w:vAlign w:val="bottom"/>
            <w:hideMark/>
          </w:tcPr>
          <w:p w14:paraId="3B8DF6AA" w14:textId="77777777" w:rsidR="00491DCB" w:rsidRPr="00491DCB" w:rsidRDefault="00491DCB" w:rsidP="002F131C">
            <w:pPr>
              <w:jc w:val="right"/>
              <w:rPr>
                <w:rFonts w:ascii="Montserrat" w:eastAsia="Times New Roman" w:hAnsi="Montserrat" w:cs="Futura Medium"/>
                <w:bCs/>
                <w:sz w:val="15"/>
                <w:szCs w:val="15"/>
                <w:lang w:val="es-MX" w:eastAsia="es-MX"/>
              </w:rPr>
            </w:pPr>
            <w:r w:rsidRPr="00491DCB">
              <w:rPr>
                <w:rFonts w:ascii="Montserrat" w:eastAsia="Times New Roman" w:hAnsi="Montserrat" w:cs="Futura Medium"/>
                <w:bCs/>
                <w:sz w:val="15"/>
                <w:szCs w:val="15"/>
                <w:lang w:val="es-MX" w:eastAsia="es-MX"/>
              </w:rPr>
              <w:t>0.00</w:t>
            </w:r>
          </w:p>
        </w:tc>
        <w:tc>
          <w:tcPr>
            <w:tcW w:w="993" w:type="dxa"/>
            <w:tcBorders>
              <w:top w:val="single" w:sz="4" w:space="0" w:color="000000"/>
              <w:left w:val="nil"/>
              <w:bottom w:val="single" w:sz="4" w:space="0" w:color="auto"/>
              <w:right w:val="nil"/>
            </w:tcBorders>
            <w:shd w:val="clear" w:color="auto" w:fill="auto"/>
            <w:vAlign w:val="bottom"/>
            <w:hideMark/>
          </w:tcPr>
          <w:p w14:paraId="503CB139" w14:textId="77777777" w:rsidR="00491DCB" w:rsidRPr="00491DCB" w:rsidRDefault="00491DCB" w:rsidP="002F131C">
            <w:pPr>
              <w:jc w:val="center"/>
              <w:rPr>
                <w:rFonts w:ascii="Montserrat" w:eastAsia="Times New Roman" w:hAnsi="Montserrat" w:cs="Futura Medium"/>
                <w:bCs/>
                <w:sz w:val="15"/>
                <w:szCs w:val="15"/>
                <w:lang w:val="es-MX" w:eastAsia="es-MX"/>
              </w:rPr>
            </w:pPr>
          </w:p>
        </w:tc>
        <w:tc>
          <w:tcPr>
            <w:tcW w:w="1134" w:type="dxa"/>
            <w:tcBorders>
              <w:top w:val="single" w:sz="4" w:space="0" w:color="000000"/>
              <w:left w:val="single" w:sz="4" w:space="0" w:color="auto"/>
              <w:bottom w:val="single" w:sz="4" w:space="0" w:color="auto"/>
              <w:right w:val="single" w:sz="4" w:space="0" w:color="auto"/>
            </w:tcBorders>
            <w:shd w:val="clear" w:color="auto" w:fill="auto"/>
            <w:vAlign w:val="bottom"/>
            <w:hideMark/>
          </w:tcPr>
          <w:p w14:paraId="4367ACE7" w14:textId="77777777" w:rsidR="00491DCB" w:rsidRPr="00491DCB" w:rsidRDefault="00491DCB" w:rsidP="002F131C">
            <w:pPr>
              <w:jc w:val="center"/>
              <w:rPr>
                <w:rFonts w:ascii="Montserrat" w:eastAsia="Times New Roman" w:hAnsi="Montserrat" w:cs="Futura Medium"/>
                <w:bCs/>
                <w:sz w:val="15"/>
                <w:szCs w:val="15"/>
                <w:lang w:val="es-MX" w:eastAsia="es-MX"/>
              </w:rPr>
            </w:pPr>
          </w:p>
        </w:tc>
        <w:tc>
          <w:tcPr>
            <w:tcW w:w="1059" w:type="dxa"/>
            <w:tcBorders>
              <w:top w:val="single" w:sz="4" w:space="0" w:color="000000"/>
              <w:left w:val="nil"/>
              <w:bottom w:val="single" w:sz="4" w:space="0" w:color="auto"/>
              <w:right w:val="single" w:sz="4" w:space="0" w:color="auto"/>
            </w:tcBorders>
            <w:shd w:val="clear" w:color="auto" w:fill="auto"/>
            <w:vAlign w:val="bottom"/>
            <w:hideMark/>
          </w:tcPr>
          <w:p w14:paraId="7B60E18C" w14:textId="51BD5F88" w:rsidR="00491DCB" w:rsidRPr="00491DCB" w:rsidRDefault="00491DCB" w:rsidP="002F131C">
            <w:pPr>
              <w:jc w:val="right"/>
              <w:rPr>
                <w:rFonts w:ascii="Montserrat" w:eastAsia="Times New Roman" w:hAnsi="Montserrat" w:cs="Futura Medium"/>
                <w:bCs/>
                <w:sz w:val="15"/>
                <w:szCs w:val="15"/>
                <w:lang w:val="es-MX" w:eastAsia="es-MX"/>
              </w:rPr>
            </w:pPr>
            <w:r w:rsidRPr="00491DCB">
              <w:rPr>
                <w:rFonts w:ascii="Montserrat" w:eastAsia="Times New Roman" w:hAnsi="Montserrat" w:cs="Futura Medium"/>
                <w:bCs/>
                <w:sz w:val="15"/>
                <w:szCs w:val="15"/>
                <w:lang w:val="es-MX" w:eastAsia="es-MX"/>
              </w:rPr>
              <w:t>13,934,582.00</w:t>
            </w:r>
          </w:p>
        </w:tc>
      </w:tr>
      <w:tr w:rsidR="00491DCB" w:rsidRPr="00491DCB" w14:paraId="774F3B09" w14:textId="77777777" w:rsidTr="00A60187">
        <w:trPr>
          <w:trHeight w:val="231"/>
          <w:jc w:val="center"/>
        </w:trPr>
        <w:tc>
          <w:tcPr>
            <w:tcW w:w="1578" w:type="dxa"/>
            <w:tcBorders>
              <w:top w:val="nil"/>
              <w:left w:val="single" w:sz="4" w:space="0" w:color="auto"/>
              <w:bottom w:val="nil"/>
              <w:right w:val="nil"/>
            </w:tcBorders>
            <w:shd w:val="clear" w:color="auto" w:fill="auto"/>
            <w:vAlign w:val="bottom"/>
          </w:tcPr>
          <w:p w14:paraId="43D1A6D7" w14:textId="77777777" w:rsidR="00491DCB" w:rsidRPr="00491DCB" w:rsidRDefault="00491DCB" w:rsidP="002F131C">
            <w:pPr>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Banorte, S.A.</w:t>
            </w:r>
          </w:p>
        </w:tc>
        <w:tc>
          <w:tcPr>
            <w:tcW w:w="1445" w:type="dxa"/>
            <w:tcBorders>
              <w:top w:val="nil"/>
              <w:left w:val="single" w:sz="4" w:space="0" w:color="auto"/>
              <w:bottom w:val="nil"/>
              <w:right w:val="single" w:sz="4" w:space="0" w:color="auto"/>
            </w:tcBorders>
            <w:shd w:val="clear" w:color="auto" w:fill="auto"/>
            <w:vAlign w:val="bottom"/>
          </w:tcPr>
          <w:p w14:paraId="5CFA4CFC" w14:textId="77777777"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3,000,000,000.00</w:t>
            </w:r>
          </w:p>
        </w:tc>
        <w:tc>
          <w:tcPr>
            <w:tcW w:w="1413" w:type="dxa"/>
            <w:tcBorders>
              <w:top w:val="nil"/>
              <w:left w:val="nil"/>
              <w:bottom w:val="nil"/>
              <w:right w:val="nil"/>
            </w:tcBorders>
            <w:shd w:val="clear" w:color="auto" w:fill="auto"/>
            <w:vAlign w:val="bottom"/>
          </w:tcPr>
          <w:p w14:paraId="0968594F" w14:textId="4D074961"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2,986,886,738.00</w:t>
            </w:r>
          </w:p>
        </w:tc>
        <w:tc>
          <w:tcPr>
            <w:tcW w:w="1333" w:type="dxa"/>
            <w:tcBorders>
              <w:top w:val="nil"/>
              <w:left w:val="single" w:sz="4" w:space="0" w:color="auto"/>
              <w:bottom w:val="nil"/>
              <w:right w:val="single" w:sz="4" w:space="0" w:color="auto"/>
            </w:tcBorders>
            <w:shd w:val="clear" w:color="auto" w:fill="auto"/>
            <w:vAlign w:val="bottom"/>
          </w:tcPr>
          <w:p w14:paraId="0336E58C" w14:textId="59B09DA6" w:rsidR="00491DCB" w:rsidRPr="00491DCB" w:rsidRDefault="00491DCB" w:rsidP="002F131C">
            <w:pPr>
              <w:jc w:val="right"/>
              <w:rPr>
                <w:rFonts w:ascii="Montserrat" w:eastAsia="Times New Roman" w:hAnsi="Montserrat" w:cs="Futura Medium"/>
                <w:color w:val="000000"/>
                <w:sz w:val="15"/>
                <w:szCs w:val="15"/>
                <w:lang w:val="es-MX" w:eastAsia="es-MX"/>
              </w:rPr>
            </w:pPr>
            <w:r w:rsidRPr="00491DCB">
              <w:rPr>
                <w:rFonts w:ascii="Montserrat" w:eastAsia="Times New Roman" w:hAnsi="Montserrat" w:cs="Futura Medium"/>
                <w:sz w:val="15"/>
                <w:szCs w:val="15"/>
                <w:lang w:val="es-MX" w:eastAsia="es-MX"/>
              </w:rPr>
              <w:t>152,558,016.78</w:t>
            </w:r>
          </w:p>
        </w:tc>
        <w:tc>
          <w:tcPr>
            <w:tcW w:w="1134" w:type="dxa"/>
            <w:tcBorders>
              <w:top w:val="nil"/>
              <w:left w:val="nil"/>
              <w:bottom w:val="nil"/>
              <w:right w:val="nil"/>
            </w:tcBorders>
            <w:shd w:val="clear" w:color="auto" w:fill="auto"/>
            <w:vAlign w:val="bottom"/>
          </w:tcPr>
          <w:p w14:paraId="6C10E806" w14:textId="77777777"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0.00</w:t>
            </w:r>
          </w:p>
        </w:tc>
        <w:tc>
          <w:tcPr>
            <w:tcW w:w="993" w:type="dxa"/>
            <w:tcBorders>
              <w:top w:val="nil"/>
              <w:left w:val="single" w:sz="4" w:space="0" w:color="auto"/>
              <w:bottom w:val="nil"/>
              <w:right w:val="single" w:sz="4" w:space="0" w:color="auto"/>
            </w:tcBorders>
            <w:shd w:val="clear" w:color="auto" w:fill="auto"/>
            <w:noWrap/>
            <w:vAlign w:val="bottom"/>
          </w:tcPr>
          <w:p w14:paraId="5FA228EA" w14:textId="77777777" w:rsidR="00491DCB" w:rsidRPr="00491DCB" w:rsidRDefault="00491DCB" w:rsidP="002F131C">
            <w:pPr>
              <w:jc w:val="center"/>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TIIE+0.45%</w:t>
            </w:r>
          </w:p>
        </w:tc>
        <w:tc>
          <w:tcPr>
            <w:tcW w:w="1134" w:type="dxa"/>
            <w:tcBorders>
              <w:top w:val="nil"/>
              <w:left w:val="nil"/>
              <w:bottom w:val="nil"/>
              <w:right w:val="single" w:sz="4" w:space="0" w:color="auto"/>
            </w:tcBorders>
            <w:shd w:val="clear" w:color="auto" w:fill="auto"/>
            <w:noWrap/>
            <w:vAlign w:val="bottom"/>
          </w:tcPr>
          <w:p w14:paraId="6B0877CA" w14:textId="77777777"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04/01/2049</w:t>
            </w:r>
          </w:p>
        </w:tc>
        <w:tc>
          <w:tcPr>
            <w:tcW w:w="1059" w:type="dxa"/>
            <w:tcBorders>
              <w:top w:val="nil"/>
              <w:left w:val="nil"/>
              <w:right w:val="single" w:sz="4" w:space="0" w:color="auto"/>
            </w:tcBorders>
            <w:shd w:val="clear" w:color="auto" w:fill="auto"/>
            <w:noWrap/>
            <w:vAlign w:val="bottom"/>
          </w:tcPr>
          <w:p w14:paraId="3EE877F8" w14:textId="4460F5AD"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1,274,863.62</w:t>
            </w:r>
          </w:p>
        </w:tc>
      </w:tr>
      <w:tr w:rsidR="00491DCB" w:rsidRPr="00491DCB" w14:paraId="6FCD9FDE" w14:textId="77777777" w:rsidTr="00A60187">
        <w:trPr>
          <w:trHeight w:val="231"/>
          <w:jc w:val="center"/>
        </w:trPr>
        <w:tc>
          <w:tcPr>
            <w:tcW w:w="1578" w:type="dxa"/>
            <w:tcBorders>
              <w:top w:val="nil"/>
              <w:left w:val="single" w:sz="4" w:space="0" w:color="auto"/>
              <w:bottom w:val="nil"/>
              <w:right w:val="nil"/>
            </w:tcBorders>
            <w:shd w:val="clear" w:color="auto" w:fill="auto"/>
            <w:vAlign w:val="bottom"/>
          </w:tcPr>
          <w:p w14:paraId="3598AF39" w14:textId="77777777" w:rsidR="00491DCB" w:rsidRPr="00491DCB" w:rsidRDefault="00491DCB" w:rsidP="002F131C">
            <w:pPr>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Banorte, S.A.</w:t>
            </w:r>
          </w:p>
        </w:tc>
        <w:tc>
          <w:tcPr>
            <w:tcW w:w="1445" w:type="dxa"/>
            <w:tcBorders>
              <w:top w:val="nil"/>
              <w:left w:val="single" w:sz="4" w:space="0" w:color="auto"/>
              <w:bottom w:val="nil"/>
              <w:right w:val="single" w:sz="4" w:space="0" w:color="auto"/>
            </w:tcBorders>
            <w:shd w:val="clear" w:color="auto" w:fill="auto"/>
            <w:vAlign w:val="bottom"/>
          </w:tcPr>
          <w:p w14:paraId="3D86E75D" w14:textId="77777777"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3,300,000,000.00</w:t>
            </w:r>
          </w:p>
        </w:tc>
        <w:tc>
          <w:tcPr>
            <w:tcW w:w="1413" w:type="dxa"/>
            <w:tcBorders>
              <w:top w:val="nil"/>
              <w:left w:val="nil"/>
              <w:bottom w:val="nil"/>
              <w:right w:val="nil"/>
            </w:tcBorders>
            <w:shd w:val="clear" w:color="auto" w:fill="auto"/>
            <w:vAlign w:val="bottom"/>
          </w:tcPr>
          <w:p w14:paraId="7B66A376" w14:textId="05D17EC7"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3,285,575,412.00</w:t>
            </w:r>
          </w:p>
        </w:tc>
        <w:tc>
          <w:tcPr>
            <w:tcW w:w="1333" w:type="dxa"/>
            <w:tcBorders>
              <w:top w:val="nil"/>
              <w:left w:val="single" w:sz="4" w:space="0" w:color="auto"/>
              <w:bottom w:val="nil"/>
              <w:right w:val="single" w:sz="4" w:space="0" w:color="auto"/>
            </w:tcBorders>
            <w:shd w:val="clear" w:color="auto" w:fill="auto"/>
            <w:vAlign w:val="bottom"/>
          </w:tcPr>
          <w:p w14:paraId="2B99ED6A" w14:textId="0860A4C8" w:rsidR="00491DCB" w:rsidRPr="00491DCB" w:rsidRDefault="00491DCB" w:rsidP="002F131C">
            <w:pPr>
              <w:jc w:val="right"/>
              <w:rPr>
                <w:rFonts w:ascii="Montserrat" w:eastAsia="Times New Roman" w:hAnsi="Montserrat" w:cs="Futura Medium"/>
                <w:color w:val="000000"/>
                <w:sz w:val="15"/>
                <w:szCs w:val="15"/>
                <w:lang w:val="es-MX" w:eastAsia="es-MX"/>
              </w:rPr>
            </w:pPr>
            <w:r w:rsidRPr="00491DCB">
              <w:rPr>
                <w:rFonts w:ascii="Montserrat" w:eastAsia="Times New Roman" w:hAnsi="Montserrat" w:cs="Futura Medium"/>
                <w:sz w:val="15"/>
                <w:szCs w:val="15"/>
                <w:lang w:val="es-MX" w:eastAsia="es-MX"/>
              </w:rPr>
              <w:t>168,309,971.48</w:t>
            </w:r>
          </w:p>
        </w:tc>
        <w:tc>
          <w:tcPr>
            <w:tcW w:w="1134" w:type="dxa"/>
            <w:tcBorders>
              <w:top w:val="nil"/>
              <w:left w:val="nil"/>
              <w:bottom w:val="nil"/>
              <w:right w:val="nil"/>
            </w:tcBorders>
            <w:shd w:val="clear" w:color="auto" w:fill="auto"/>
            <w:vAlign w:val="bottom"/>
          </w:tcPr>
          <w:p w14:paraId="4B35C59D" w14:textId="77777777"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0.00</w:t>
            </w:r>
          </w:p>
        </w:tc>
        <w:tc>
          <w:tcPr>
            <w:tcW w:w="993" w:type="dxa"/>
            <w:tcBorders>
              <w:top w:val="nil"/>
              <w:left w:val="single" w:sz="4" w:space="0" w:color="auto"/>
              <w:bottom w:val="nil"/>
              <w:right w:val="single" w:sz="4" w:space="0" w:color="auto"/>
            </w:tcBorders>
            <w:shd w:val="clear" w:color="auto" w:fill="auto"/>
            <w:noWrap/>
            <w:vAlign w:val="bottom"/>
          </w:tcPr>
          <w:p w14:paraId="68EAE429" w14:textId="77777777" w:rsidR="00491DCB" w:rsidRPr="00491DCB" w:rsidRDefault="00491DCB" w:rsidP="002F131C">
            <w:pPr>
              <w:jc w:val="center"/>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TIIE+0.48%</w:t>
            </w:r>
          </w:p>
        </w:tc>
        <w:tc>
          <w:tcPr>
            <w:tcW w:w="1134" w:type="dxa"/>
            <w:tcBorders>
              <w:top w:val="nil"/>
              <w:left w:val="nil"/>
              <w:bottom w:val="nil"/>
              <w:right w:val="single" w:sz="4" w:space="0" w:color="auto"/>
            </w:tcBorders>
            <w:shd w:val="clear" w:color="auto" w:fill="auto"/>
            <w:noWrap/>
            <w:vAlign w:val="bottom"/>
          </w:tcPr>
          <w:p w14:paraId="163FE7B7" w14:textId="77777777"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04/01/2049</w:t>
            </w:r>
          </w:p>
        </w:tc>
        <w:tc>
          <w:tcPr>
            <w:tcW w:w="1059" w:type="dxa"/>
            <w:tcBorders>
              <w:top w:val="nil"/>
              <w:left w:val="nil"/>
              <w:bottom w:val="nil"/>
              <w:right w:val="single" w:sz="4" w:space="0" w:color="auto"/>
            </w:tcBorders>
            <w:shd w:val="clear" w:color="auto" w:fill="auto"/>
            <w:noWrap/>
            <w:vAlign w:val="bottom"/>
          </w:tcPr>
          <w:p w14:paraId="2CA923C2" w14:textId="4B62E86F"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1,402,349.98</w:t>
            </w:r>
          </w:p>
        </w:tc>
      </w:tr>
      <w:tr w:rsidR="00491DCB" w:rsidRPr="00491DCB" w14:paraId="7DDF2498" w14:textId="77777777" w:rsidTr="00A60187">
        <w:trPr>
          <w:trHeight w:val="231"/>
          <w:jc w:val="center"/>
        </w:trPr>
        <w:tc>
          <w:tcPr>
            <w:tcW w:w="1578" w:type="dxa"/>
            <w:tcBorders>
              <w:top w:val="nil"/>
              <w:left w:val="single" w:sz="4" w:space="0" w:color="auto"/>
              <w:bottom w:val="nil"/>
              <w:right w:val="nil"/>
            </w:tcBorders>
            <w:shd w:val="clear" w:color="auto" w:fill="auto"/>
            <w:vAlign w:val="bottom"/>
          </w:tcPr>
          <w:p w14:paraId="3E7AF20C" w14:textId="77777777" w:rsidR="00491DCB" w:rsidRPr="00491DCB" w:rsidRDefault="00491DCB" w:rsidP="002F131C">
            <w:pPr>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BBVA México, S.A. *</w:t>
            </w:r>
          </w:p>
        </w:tc>
        <w:tc>
          <w:tcPr>
            <w:tcW w:w="1445" w:type="dxa"/>
            <w:tcBorders>
              <w:top w:val="nil"/>
              <w:left w:val="single" w:sz="4" w:space="0" w:color="auto"/>
              <w:bottom w:val="nil"/>
              <w:right w:val="single" w:sz="4" w:space="0" w:color="auto"/>
            </w:tcBorders>
            <w:shd w:val="clear" w:color="auto" w:fill="auto"/>
            <w:vAlign w:val="bottom"/>
          </w:tcPr>
          <w:p w14:paraId="0DA48D81" w14:textId="77777777"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737,138,810.00</w:t>
            </w:r>
          </w:p>
        </w:tc>
        <w:tc>
          <w:tcPr>
            <w:tcW w:w="1413" w:type="dxa"/>
            <w:tcBorders>
              <w:top w:val="nil"/>
              <w:left w:val="nil"/>
              <w:bottom w:val="nil"/>
              <w:right w:val="nil"/>
            </w:tcBorders>
            <w:shd w:val="clear" w:color="auto" w:fill="auto"/>
            <w:vAlign w:val="bottom"/>
          </w:tcPr>
          <w:p w14:paraId="7CD54ADA" w14:textId="1ADAE9D3"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733,916,712.10</w:t>
            </w:r>
          </w:p>
        </w:tc>
        <w:tc>
          <w:tcPr>
            <w:tcW w:w="1333" w:type="dxa"/>
            <w:tcBorders>
              <w:top w:val="nil"/>
              <w:left w:val="single" w:sz="4" w:space="0" w:color="auto"/>
              <w:bottom w:val="nil"/>
              <w:right w:val="single" w:sz="4" w:space="0" w:color="auto"/>
            </w:tcBorders>
            <w:shd w:val="clear" w:color="auto" w:fill="auto"/>
            <w:vAlign w:val="bottom"/>
          </w:tcPr>
          <w:p w14:paraId="1DA587DB" w14:textId="1AA1EEA0" w:rsidR="00491DCB" w:rsidRPr="00491DCB" w:rsidRDefault="00491DCB" w:rsidP="002F131C">
            <w:pPr>
              <w:jc w:val="right"/>
              <w:rPr>
                <w:rFonts w:ascii="Montserrat" w:eastAsia="Times New Roman" w:hAnsi="Montserrat" w:cs="Futura Medium"/>
                <w:color w:val="000000"/>
                <w:sz w:val="15"/>
                <w:szCs w:val="15"/>
                <w:lang w:val="es-MX" w:eastAsia="es-MX"/>
              </w:rPr>
            </w:pPr>
            <w:r w:rsidRPr="00491DCB">
              <w:rPr>
                <w:rFonts w:ascii="Montserrat" w:eastAsia="Times New Roman" w:hAnsi="Montserrat" w:cs="Futura Medium"/>
                <w:sz w:val="15"/>
                <w:szCs w:val="15"/>
                <w:lang w:val="es-MX" w:eastAsia="es-MX"/>
              </w:rPr>
              <w:t>37,534,879.65</w:t>
            </w:r>
          </w:p>
        </w:tc>
        <w:tc>
          <w:tcPr>
            <w:tcW w:w="1134" w:type="dxa"/>
            <w:tcBorders>
              <w:top w:val="nil"/>
              <w:left w:val="nil"/>
              <w:bottom w:val="nil"/>
              <w:right w:val="nil"/>
            </w:tcBorders>
            <w:shd w:val="clear" w:color="auto" w:fill="auto"/>
            <w:vAlign w:val="bottom"/>
          </w:tcPr>
          <w:p w14:paraId="72599D5E" w14:textId="77777777"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0.00</w:t>
            </w:r>
          </w:p>
        </w:tc>
        <w:tc>
          <w:tcPr>
            <w:tcW w:w="993" w:type="dxa"/>
            <w:tcBorders>
              <w:top w:val="nil"/>
              <w:left w:val="single" w:sz="4" w:space="0" w:color="auto"/>
              <w:bottom w:val="nil"/>
              <w:right w:val="single" w:sz="4" w:space="0" w:color="auto"/>
            </w:tcBorders>
            <w:shd w:val="clear" w:color="auto" w:fill="auto"/>
            <w:noWrap/>
            <w:vAlign w:val="bottom"/>
          </w:tcPr>
          <w:p w14:paraId="72F723EB" w14:textId="77777777" w:rsidR="00491DCB" w:rsidRPr="00491DCB" w:rsidRDefault="00491DCB" w:rsidP="002F131C">
            <w:pPr>
              <w:jc w:val="center"/>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TIIE+0.46%</w:t>
            </w:r>
          </w:p>
        </w:tc>
        <w:tc>
          <w:tcPr>
            <w:tcW w:w="1134" w:type="dxa"/>
            <w:tcBorders>
              <w:top w:val="nil"/>
              <w:left w:val="nil"/>
              <w:bottom w:val="nil"/>
              <w:right w:val="single" w:sz="4" w:space="0" w:color="auto"/>
            </w:tcBorders>
            <w:shd w:val="clear" w:color="auto" w:fill="auto"/>
            <w:noWrap/>
            <w:vAlign w:val="bottom"/>
          </w:tcPr>
          <w:p w14:paraId="0E29E97B" w14:textId="77777777"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10/01/2049</w:t>
            </w:r>
          </w:p>
        </w:tc>
        <w:tc>
          <w:tcPr>
            <w:tcW w:w="1059" w:type="dxa"/>
            <w:tcBorders>
              <w:top w:val="nil"/>
              <w:left w:val="nil"/>
              <w:bottom w:val="nil"/>
              <w:right w:val="single" w:sz="4" w:space="0" w:color="auto"/>
            </w:tcBorders>
            <w:shd w:val="clear" w:color="auto" w:fill="auto"/>
            <w:noWrap/>
            <w:vAlign w:val="bottom"/>
          </w:tcPr>
          <w:p w14:paraId="78EED7F1" w14:textId="247481AC"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284,917.85</w:t>
            </w:r>
          </w:p>
        </w:tc>
      </w:tr>
      <w:tr w:rsidR="00491DCB" w:rsidRPr="00491DCB" w14:paraId="70C2FFB3" w14:textId="77777777" w:rsidTr="00A60187">
        <w:trPr>
          <w:trHeight w:val="293"/>
          <w:jc w:val="center"/>
        </w:trPr>
        <w:tc>
          <w:tcPr>
            <w:tcW w:w="1578" w:type="dxa"/>
            <w:tcBorders>
              <w:top w:val="nil"/>
              <w:left w:val="single" w:sz="4" w:space="0" w:color="auto"/>
              <w:bottom w:val="nil"/>
              <w:right w:val="nil"/>
            </w:tcBorders>
            <w:shd w:val="clear" w:color="auto" w:fill="auto"/>
            <w:vAlign w:val="bottom"/>
          </w:tcPr>
          <w:p w14:paraId="748BD8B9" w14:textId="77777777" w:rsidR="00491DCB" w:rsidRPr="00491DCB" w:rsidRDefault="00491DCB" w:rsidP="002F131C">
            <w:pPr>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Santander México, S.A.</w:t>
            </w:r>
          </w:p>
        </w:tc>
        <w:tc>
          <w:tcPr>
            <w:tcW w:w="1445" w:type="dxa"/>
            <w:tcBorders>
              <w:top w:val="nil"/>
              <w:left w:val="single" w:sz="4" w:space="0" w:color="auto"/>
              <w:bottom w:val="nil"/>
              <w:right w:val="single" w:sz="4" w:space="0" w:color="auto"/>
            </w:tcBorders>
            <w:shd w:val="clear" w:color="auto" w:fill="auto"/>
            <w:vAlign w:val="bottom"/>
          </w:tcPr>
          <w:p w14:paraId="340614A3" w14:textId="77777777"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1,500,000,000.00</w:t>
            </w:r>
          </w:p>
        </w:tc>
        <w:tc>
          <w:tcPr>
            <w:tcW w:w="1413" w:type="dxa"/>
            <w:tcBorders>
              <w:top w:val="nil"/>
              <w:left w:val="nil"/>
              <w:bottom w:val="nil"/>
              <w:right w:val="nil"/>
            </w:tcBorders>
            <w:shd w:val="clear" w:color="auto" w:fill="auto"/>
            <w:vAlign w:val="bottom"/>
          </w:tcPr>
          <w:p w14:paraId="68528C8D" w14:textId="74D5B063"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1,454,790,773.85</w:t>
            </w:r>
          </w:p>
        </w:tc>
        <w:tc>
          <w:tcPr>
            <w:tcW w:w="1333" w:type="dxa"/>
            <w:tcBorders>
              <w:top w:val="nil"/>
              <w:left w:val="single" w:sz="4" w:space="0" w:color="auto"/>
              <w:bottom w:val="nil"/>
              <w:right w:val="single" w:sz="4" w:space="0" w:color="auto"/>
            </w:tcBorders>
            <w:shd w:val="clear" w:color="auto" w:fill="auto"/>
            <w:vAlign w:val="bottom"/>
          </w:tcPr>
          <w:p w14:paraId="41E6E72C" w14:textId="605B6307" w:rsidR="00491DCB" w:rsidRPr="00491DCB" w:rsidRDefault="00491DCB" w:rsidP="002F131C">
            <w:pPr>
              <w:jc w:val="right"/>
              <w:rPr>
                <w:rFonts w:ascii="Montserrat" w:eastAsia="Times New Roman" w:hAnsi="Montserrat" w:cs="Futura Medium"/>
                <w:color w:val="000000"/>
                <w:sz w:val="15"/>
                <w:szCs w:val="15"/>
                <w:lang w:val="es-MX" w:eastAsia="es-MX"/>
              </w:rPr>
            </w:pPr>
            <w:r w:rsidRPr="00491DCB">
              <w:rPr>
                <w:rFonts w:ascii="Montserrat" w:eastAsia="Times New Roman" w:hAnsi="Montserrat" w:cs="Futura Medium"/>
                <w:sz w:val="15"/>
                <w:szCs w:val="15"/>
                <w:lang w:val="es-MX" w:eastAsia="es-MX"/>
              </w:rPr>
              <w:t>74,598,896.45</w:t>
            </w:r>
          </w:p>
        </w:tc>
        <w:tc>
          <w:tcPr>
            <w:tcW w:w="1134" w:type="dxa"/>
            <w:tcBorders>
              <w:top w:val="nil"/>
              <w:left w:val="nil"/>
              <w:bottom w:val="nil"/>
              <w:right w:val="nil"/>
            </w:tcBorders>
            <w:shd w:val="clear" w:color="auto" w:fill="auto"/>
            <w:vAlign w:val="bottom"/>
          </w:tcPr>
          <w:p w14:paraId="523F56AE" w14:textId="77777777"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0.00</w:t>
            </w:r>
          </w:p>
        </w:tc>
        <w:tc>
          <w:tcPr>
            <w:tcW w:w="993" w:type="dxa"/>
            <w:tcBorders>
              <w:top w:val="nil"/>
              <w:left w:val="single" w:sz="4" w:space="0" w:color="auto"/>
              <w:bottom w:val="nil"/>
              <w:right w:val="single" w:sz="4" w:space="0" w:color="auto"/>
            </w:tcBorders>
            <w:shd w:val="clear" w:color="auto" w:fill="auto"/>
            <w:noWrap/>
            <w:vAlign w:val="bottom"/>
          </w:tcPr>
          <w:p w14:paraId="62ED26ED" w14:textId="77777777" w:rsidR="00491DCB" w:rsidRPr="00491DCB" w:rsidRDefault="00491DCB" w:rsidP="002F131C">
            <w:pPr>
              <w:jc w:val="center"/>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TIIE+0.49%</w:t>
            </w:r>
          </w:p>
        </w:tc>
        <w:tc>
          <w:tcPr>
            <w:tcW w:w="1134" w:type="dxa"/>
            <w:tcBorders>
              <w:top w:val="nil"/>
              <w:left w:val="nil"/>
              <w:bottom w:val="nil"/>
              <w:right w:val="single" w:sz="4" w:space="0" w:color="auto"/>
            </w:tcBorders>
            <w:shd w:val="clear" w:color="auto" w:fill="auto"/>
            <w:noWrap/>
            <w:vAlign w:val="bottom"/>
          </w:tcPr>
          <w:p w14:paraId="3EFB4A82" w14:textId="77777777"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25/12/2048</w:t>
            </w:r>
          </w:p>
        </w:tc>
        <w:tc>
          <w:tcPr>
            <w:tcW w:w="1059" w:type="dxa"/>
            <w:tcBorders>
              <w:top w:val="nil"/>
              <w:left w:val="nil"/>
              <w:bottom w:val="nil"/>
              <w:right w:val="single" w:sz="4" w:space="0" w:color="auto"/>
            </w:tcBorders>
            <w:shd w:val="clear" w:color="auto" w:fill="auto"/>
            <w:noWrap/>
            <w:vAlign w:val="bottom"/>
          </w:tcPr>
          <w:p w14:paraId="49663318" w14:textId="11A3D85A"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550,585.80</w:t>
            </w:r>
          </w:p>
        </w:tc>
      </w:tr>
      <w:tr w:rsidR="00491DCB" w:rsidRPr="00491DCB" w14:paraId="394B968F" w14:textId="77777777" w:rsidTr="00A60187">
        <w:trPr>
          <w:trHeight w:val="293"/>
          <w:jc w:val="center"/>
        </w:trPr>
        <w:tc>
          <w:tcPr>
            <w:tcW w:w="1578" w:type="dxa"/>
            <w:tcBorders>
              <w:top w:val="nil"/>
              <w:left w:val="single" w:sz="4" w:space="0" w:color="auto"/>
              <w:bottom w:val="nil"/>
              <w:right w:val="nil"/>
            </w:tcBorders>
            <w:shd w:val="clear" w:color="auto" w:fill="auto"/>
            <w:vAlign w:val="bottom"/>
          </w:tcPr>
          <w:p w14:paraId="03D86A05" w14:textId="77777777" w:rsidR="00491DCB" w:rsidRPr="00491DCB" w:rsidRDefault="00491DCB" w:rsidP="002F131C">
            <w:pPr>
              <w:rPr>
                <w:rFonts w:ascii="Montserrat" w:eastAsia="Times New Roman" w:hAnsi="Montserrat" w:cs="Futura Medium"/>
                <w:sz w:val="15"/>
                <w:szCs w:val="15"/>
                <w:lang w:val="es-MX" w:eastAsia="es-MX"/>
              </w:rPr>
            </w:pPr>
            <w:proofErr w:type="spellStart"/>
            <w:r w:rsidRPr="00491DCB">
              <w:rPr>
                <w:rFonts w:ascii="Montserrat" w:eastAsia="Times New Roman" w:hAnsi="Montserrat" w:cs="Futura Medium"/>
                <w:sz w:val="15"/>
                <w:szCs w:val="15"/>
                <w:lang w:val="es-MX" w:eastAsia="es-MX"/>
              </w:rPr>
              <w:t>Banobras</w:t>
            </w:r>
            <w:proofErr w:type="spellEnd"/>
            <w:r w:rsidRPr="00491DCB">
              <w:rPr>
                <w:rFonts w:ascii="Montserrat" w:eastAsia="Times New Roman" w:hAnsi="Montserrat" w:cs="Futura Medium"/>
                <w:sz w:val="15"/>
                <w:szCs w:val="15"/>
                <w:lang w:val="es-MX" w:eastAsia="es-MX"/>
              </w:rPr>
              <w:t>, S.N.C.</w:t>
            </w:r>
          </w:p>
        </w:tc>
        <w:tc>
          <w:tcPr>
            <w:tcW w:w="1445" w:type="dxa"/>
            <w:tcBorders>
              <w:top w:val="nil"/>
              <w:left w:val="single" w:sz="4" w:space="0" w:color="auto"/>
              <w:bottom w:val="nil"/>
              <w:right w:val="single" w:sz="4" w:space="0" w:color="auto"/>
            </w:tcBorders>
            <w:shd w:val="clear" w:color="auto" w:fill="auto"/>
            <w:vAlign w:val="bottom"/>
          </w:tcPr>
          <w:p w14:paraId="2067FC30" w14:textId="77777777"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5,000,000,000.00</w:t>
            </w:r>
          </w:p>
        </w:tc>
        <w:tc>
          <w:tcPr>
            <w:tcW w:w="1413" w:type="dxa"/>
            <w:tcBorders>
              <w:top w:val="nil"/>
              <w:left w:val="nil"/>
              <w:bottom w:val="nil"/>
              <w:right w:val="nil"/>
            </w:tcBorders>
            <w:shd w:val="clear" w:color="auto" w:fill="auto"/>
            <w:vAlign w:val="bottom"/>
          </w:tcPr>
          <w:p w14:paraId="50428405" w14:textId="7E8DCE77"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4,989,267,184.67</w:t>
            </w:r>
          </w:p>
        </w:tc>
        <w:tc>
          <w:tcPr>
            <w:tcW w:w="1333" w:type="dxa"/>
            <w:tcBorders>
              <w:top w:val="nil"/>
              <w:left w:val="single" w:sz="4" w:space="0" w:color="auto"/>
              <w:bottom w:val="nil"/>
              <w:right w:val="single" w:sz="4" w:space="0" w:color="auto"/>
            </w:tcBorders>
            <w:shd w:val="clear" w:color="auto" w:fill="auto"/>
            <w:vAlign w:val="bottom"/>
          </w:tcPr>
          <w:p w14:paraId="22CF91B4" w14:textId="48BD7A1C" w:rsidR="00491DCB" w:rsidRPr="00491DCB" w:rsidRDefault="00491DCB" w:rsidP="002F131C">
            <w:pPr>
              <w:jc w:val="right"/>
              <w:rPr>
                <w:rFonts w:ascii="Montserrat" w:eastAsia="Times New Roman" w:hAnsi="Montserrat" w:cs="Futura Medium"/>
                <w:color w:val="000000"/>
                <w:sz w:val="15"/>
                <w:szCs w:val="15"/>
                <w:lang w:val="es-MX" w:eastAsia="es-MX"/>
              </w:rPr>
            </w:pPr>
            <w:r w:rsidRPr="00491DCB">
              <w:rPr>
                <w:rFonts w:ascii="Montserrat" w:eastAsia="Times New Roman" w:hAnsi="Montserrat" w:cs="Futura Medium"/>
                <w:sz w:val="15"/>
                <w:szCs w:val="15"/>
                <w:lang w:val="es-MX" w:eastAsia="es-MX"/>
              </w:rPr>
              <w:t>257,530,611.59</w:t>
            </w:r>
          </w:p>
        </w:tc>
        <w:tc>
          <w:tcPr>
            <w:tcW w:w="1134" w:type="dxa"/>
            <w:tcBorders>
              <w:top w:val="nil"/>
              <w:left w:val="nil"/>
              <w:bottom w:val="nil"/>
              <w:right w:val="nil"/>
            </w:tcBorders>
            <w:shd w:val="clear" w:color="auto" w:fill="auto"/>
            <w:vAlign w:val="bottom"/>
          </w:tcPr>
          <w:p w14:paraId="101570B9" w14:textId="77777777"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0.00</w:t>
            </w:r>
          </w:p>
        </w:tc>
        <w:tc>
          <w:tcPr>
            <w:tcW w:w="993" w:type="dxa"/>
            <w:tcBorders>
              <w:top w:val="nil"/>
              <w:left w:val="single" w:sz="4" w:space="0" w:color="auto"/>
              <w:bottom w:val="nil"/>
              <w:right w:val="single" w:sz="4" w:space="0" w:color="auto"/>
            </w:tcBorders>
            <w:shd w:val="clear" w:color="auto" w:fill="auto"/>
            <w:noWrap/>
            <w:vAlign w:val="bottom"/>
          </w:tcPr>
          <w:p w14:paraId="219223E1" w14:textId="77777777" w:rsidR="00491DCB" w:rsidRPr="00491DCB" w:rsidRDefault="00491DCB" w:rsidP="002F131C">
            <w:pPr>
              <w:jc w:val="center"/>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TIIE+0.53%</w:t>
            </w:r>
          </w:p>
        </w:tc>
        <w:tc>
          <w:tcPr>
            <w:tcW w:w="1134" w:type="dxa"/>
            <w:tcBorders>
              <w:top w:val="nil"/>
              <w:left w:val="nil"/>
              <w:bottom w:val="nil"/>
              <w:right w:val="single" w:sz="4" w:space="0" w:color="auto"/>
            </w:tcBorders>
            <w:shd w:val="clear" w:color="auto" w:fill="auto"/>
            <w:noWrap/>
            <w:vAlign w:val="bottom"/>
          </w:tcPr>
          <w:p w14:paraId="7E772AD4" w14:textId="77777777"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28/12/2053</w:t>
            </w:r>
          </w:p>
        </w:tc>
        <w:tc>
          <w:tcPr>
            <w:tcW w:w="1059" w:type="dxa"/>
            <w:tcBorders>
              <w:top w:val="nil"/>
              <w:left w:val="nil"/>
              <w:bottom w:val="nil"/>
              <w:right w:val="single" w:sz="4" w:space="0" w:color="auto"/>
            </w:tcBorders>
            <w:shd w:val="clear" w:color="auto" w:fill="auto"/>
            <w:noWrap/>
            <w:vAlign w:val="bottom"/>
          </w:tcPr>
          <w:p w14:paraId="3CB2FAC8" w14:textId="4DAE3ED9"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2,513,631.51</w:t>
            </w:r>
          </w:p>
        </w:tc>
      </w:tr>
      <w:tr w:rsidR="00491DCB" w:rsidRPr="00491DCB" w14:paraId="3BC13E14" w14:textId="77777777" w:rsidTr="00A60187">
        <w:trPr>
          <w:trHeight w:val="293"/>
          <w:jc w:val="center"/>
        </w:trPr>
        <w:tc>
          <w:tcPr>
            <w:tcW w:w="1578" w:type="dxa"/>
            <w:tcBorders>
              <w:top w:val="nil"/>
              <w:left w:val="single" w:sz="4" w:space="0" w:color="auto"/>
              <w:bottom w:val="nil"/>
              <w:right w:val="nil"/>
            </w:tcBorders>
            <w:shd w:val="clear" w:color="auto" w:fill="auto"/>
            <w:vAlign w:val="bottom"/>
          </w:tcPr>
          <w:p w14:paraId="23DBC5DD" w14:textId="77777777" w:rsidR="00491DCB" w:rsidRPr="00491DCB" w:rsidRDefault="00491DCB" w:rsidP="002F131C">
            <w:pPr>
              <w:rPr>
                <w:rFonts w:ascii="Montserrat" w:eastAsia="Times New Roman" w:hAnsi="Montserrat" w:cs="Futura Medium"/>
                <w:sz w:val="15"/>
                <w:szCs w:val="15"/>
                <w:lang w:val="es-MX" w:eastAsia="es-MX"/>
              </w:rPr>
            </w:pPr>
            <w:proofErr w:type="spellStart"/>
            <w:r w:rsidRPr="00491DCB">
              <w:rPr>
                <w:rFonts w:ascii="Montserrat" w:eastAsia="Times New Roman" w:hAnsi="Montserrat" w:cs="Futura Medium"/>
                <w:sz w:val="15"/>
                <w:szCs w:val="15"/>
                <w:lang w:val="es-MX" w:eastAsia="es-MX"/>
              </w:rPr>
              <w:t>Banobras</w:t>
            </w:r>
            <w:proofErr w:type="spellEnd"/>
            <w:r w:rsidRPr="00491DCB">
              <w:rPr>
                <w:rFonts w:ascii="Montserrat" w:eastAsia="Times New Roman" w:hAnsi="Montserrat" w:cs="Futura Medium"/>
                <w:sz w:val="15"/>
                <w:szCs w:val="15"/>
                <w:lang w:val="es-MX" w:eastAsia="es-MX"/>
              </w:rPr>
              <w:t>, S.N.C.</w:t>
            </w:r>
          </w:p>
        </w:tc>
        <w:tc>
          <w:tcPr>
            <w:tcW w:w="1445" w:type="dxa"/>
            <w:tcBorders>
              <w:top w:val="nil"/>
              <w:left w:val="single" w:sz="4" w:space="0" w:color="auto"/>
              <w:bottom w:val="nil"/>
              <w:right w:val="single" w:sz="4" w:space="0" w:color="auto"/>
            </w:tcBorders>
            <w:shd w:val="clear" w:color="auto" w:fill="auto"/>
            <w:vAlign w:val="bottom"/>
          </w:tcPr>
          <w:p w14:paraId="414287ED" w14:textId="77777777"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3,000,000,000.00</w:t>
            </w:r>
          </w:p>
        </w:tc>
        <w:tc>
          <w:tcPr>
            <w:tcW w:w="1413" w:type="dxa"/>
            <w:tcBorders>
              <w:top w:val="nil"/>
              <w:left w:val="nil"/>
              <w:bottom w:val="nil"/>
              <w:right w:val="nil"/>
            </w:tcBorders>
            <w:shd w:val="clear" w:color="auto" w:fill="auto"/>
            <w:vAlign w:val="bottom"/>
          </w:tcPr>
          <w:p w14:paraId="3065645E" w14:textId="7D45119D"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2,985,856,198.46</w:t>
            </w:r>
          </w:p>
        </w:tc>
        <w:tc>
          <w:tcPr>
            <w:tcW w:w="1333" w:type="dxa"/>
            <w:tcBorders>
              <w:top w:val="nil"/>
              <w:left w:val="single" w:sz="4" w:space="0" w:color="auto"/>
              <w:bottom w:val="nil"/>
              <w:right w:val="single" w:sz="4" w:space="0" w:color="auto"/>
            </w:tcBorders>
            <w:shd w:val="clear" w:color="auto" w:fill="auto"/>
            <w:vAlign w:val="bottom"/>
          </w:tcPr>
          <w:p w14:paraId="3CC838C0" w14:textId="6957CEE9" w:rsidR="00491DCB" w:rsidRPr="00491DCB" w:rsidRDefault="00491DCB" w:rsidP="002F131C">
            <w:pPr>
              <w:jc w:val="right"/>
              <w:rPr>
                <w:rFonts w:ascii="Montserrat" w:eastAsia="Times New Roman" w:hAnsi="Montserrat" w:cs="Futura Medium"/>
                <w:color w:val="000000"/>
                <w:sz w:val="15"/>
                <w:szCs w:val="15"/>
                <w:lang w:val="es-MX" w:eastAsia="es-MX"/>
              </w:rPr>
            </w:pPr>
            <w:r w:rsidRPr="00491DCB">
              <w:rPr>
                <w:rFonts w:ascii="Montserrat" w:eastAsia="Times New Roman" w:hAnsi="Montserrat" w:cs="Futura Medium"/>
                <w:sz w:val="15"/>
                <w:szCs w:val="15"/>
                <w:lang w:val="es-MX" w:eastAsia="es-MX"/>
              </w:rPr>
              <w:t>152,407,496.71</w:t>
            </w:r>
          </w:p>
        </w:tc>
        <w:tc>
          <w:tcPr>
            <w:tcW w:w="1134" w:type="dxa"/>
            <w:tcBorders>
              <w:top w:val="nil"/>
              <w:left w:val="nil"/>
              <w:bottom w:val="nil"/>
              <w:right w:val="nil"/>
            </w:tcBorders>
            <w:shd w:val="clear" w:color="auto" w:fill="auto"/>
            <w:vAlign w:val="bottom"/>
          </w:tcPr>
          <w:p w14:paraId="6835E5FB" w14:textId="77777777"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0.00</w:t>
            </w:r>
          </w:p>
        </w:tc>
        <w:tc>
          <w:tcPr>
            <w:tcW w:w="993" w:type="dxa"/>
            <w:tcBorders>
              <w:top w:val="nil"/>
              <w:left w:val="single" w:sz="4" w:space="0" w:color="auto"/>
              <w:bottom w:val="nil"/>
              <w:right w:val="single" w:sz="4" w:space="0" w:color="auto"/>
            </w:tcBorders>
            <w:shd w:val="clear" w:color="auto" w:fill="auto"/>
            <w:noWrap/>
            <w:vAlign w:val="bottom"/>
          </w:tcPr>
          <w:p w14:paraId="76C4ABEA" w14:textId="77777777" w:rsidR="00491DCB" w:rsidRPr="00491DCB" w:rsidRDefault="00491DCB" w:rsidP="002F131C">
            <w:pPr>
              <w:jc w:val="center"/>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TIIE+0.41%</w:t>
            </w:r>
          </w:p>
        </w:tc>
        <w:tc>
          <w:tcPr>
            <w:tcW w:w="1134" w:type="dxa"/>
            <w:tcBorders>
              <w:top w:val="nil"/>
              <w:left w:val="nil"/>
              <w:bottom w:val="nil"/>
              <w:right w:val="single" w:sz="4" w:space="0" w:color="auto"/>
            </w:tcBorders>
            <w:shd w:val="clear" w:color="auto" w:fill="auto"/>
            <w:noWrap/>
            <w:vAlign w:val="bottom"/>
          </w:tcPr>
          <w:p w14:paraId="72043920" w14:textId="77777777"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28/12/2048</w:t>
            </w:r>
          </w:p>
        </w:tc>
        <w:tc>
          <w:tcPr>
            <w:tcW w:w="1059" w:type="dxa"/>
            <w:tcBorders>
              <w:top w:val="nil"/>
              <w:left w:val="nil"/>
              <w:bottom w:val="nil"/>
              <w:right w:val="single" w:sz="4" w:space="0" w:color="auto"/>
            </w:tcBorders>
            <w:shd w:val="clear" w:color="auto" w:fill="auto"/>
            <w:noWrap/>
            <w:vAlign w:val="bottom"/>
          </w:tcPr>
          <w:p w14:paraId="27106A0D" w14:textId="19D9EFC8"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1,504,594.53</w:t>
            </w:r>
          </w:p>
        </w:tc>
      </w:tr>
      <w:tr w:rsidR="00491DCB" w:rsidRPr="00491DCB" w14:paraId="2888388E" w14:textId="77777777" w:rsidTr="00A60187">
        <w:trPr>
          <w:trHeight w:val="293"/>
          <w:jc w:val="center"/>
        </w:trPr>
        <w:tc>
          <w:tcPr>
            <w:tcW w:w="1578" w:type="dxa"/>
            <w:tcBorders>
              <w:top w:val="nil"/>
              <w:left w:val="single" w:sz="4" w:space="0" w:color="auto"/>
              <w:bottom w:val="nil"/>
              <w:right w:val="nil"/>
            </w:tcBorders>
            <w:shd w:val="clear" w:color="auto" w:fill="auto"/>
            <w:vAlign w:val="bottom"/>
          </w:tcPr>
          <w:p w14:paraId="7F77586F" w14:textId="77777777" w:rsidR="00491DCB" w:rsidRPr="00491DCB" w:rsidRDefault="00491DCB" w:rsidP="002F131C">
            <w:pPr>
              <w:rPr>
                <w:rFonts w:ascii="Montserrat" w:eastAsia="Times New Roman" w:hAnsi="Montserrat" w:cs="Futura Medium"/>
                <w:sz w:val="15"/>
                <w:szCs w:val="15"/>
                <w:lang w:val="es-MX" w:eastAsia="es-MX"/>
              </w:rPr>
            </w:pPr>
            <w:proofErr w:type="spellStart"/>
            <w:r w:rsidRPr="00491DCB">
              <w:rPr>
                <w:rFonts w:ascii="Montserrat" w:eastAsia="Times New Roman" w:hAnsi="Montserrat" w:cs="Futura Medium"/>
                <w:sz w:val="15"/>
                <w:szCs w:val="15"/>
                <w:lang w:val="es-MX" w:eastAsia="es-MX"/>
              </w:rPr>
              <w:t>Banobras</w:t>
            </w:r>
            <w:proofErr w:type="spellEnd"/>
            <w:r w:rsidRPr="00491DCB">
              <w:rPr>
                <w:rFonts w:ascii="Montserrat" w:eastAsia="Times New Roman" w:hAnsi="Montserrat" w:cs="Futura Medium"/>
                <w:sz w:val="15"/>
                <w:szCs w:val="15"/>
                <w:lang w:val="es-MX" w:eastAsia="es-MX"/>
              </w:rPr>
              <w:t>, S.N.C.</w:t>
            </w:r>
          </w:p>
        </w:tc>
        <w:tc>
          <w:tcPr>
            <w:tcW w:w="1445" w:type="dxa"/>
            <w:tcBorders>
              <w:top w:val="nil"/>
              <w:left w:val="single" w:sz="4" w:space="0" w:color="auto"/>
              <w:bottom w:val="nil"/>
              <w:right w:val="single" w:sz="4" w:space="0" w:color="auto"/>
            </w:tcBorders>
            <w:shd w:val="clear" w:color="auto" w:fill="auto"/>
            <w:vAlign w:val="bottom"/>
          </w:tcPr>
          <w:p w14:paraId="20888BFE" w14:textId="77777777"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2,808,364,029.00</w:t>
            </w:r>
          </w:p>
        </w:tc>
        <w:tc>
          <w:tcPr>
            <w:tcW w:w="1413" w:type="dxa"/>
            <w:tcBorders>
              <w:top w:val="nil"/>
              <w:left w:val="nil"/>
              <w:bottom w:val="nil"/>
              <w:right w:val="nil"/>
            </w:tcBorders>
            <w:shd w:val="clear" w:color="auto" w:fill="auto"/>
            <w:vAlign w:val="bottom"/>
          </w:tcPr>
          <w:p w14:paraId="316F57E1" w14:textId="507557BD"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2,795,123,714.51</w:t>
            </w:r>
          </w:p>
        </w:tc>
        <w:tc>
          <w:tcPr>
            <w:tcW w:w="1333" w:type="dxa"/>
            <w:tcBorders>
              <w:top w:val="nil"/>
              <w:left w:val="single" w:sz="4" w:space="0" w:color="auto"/>
              <w:bottom w:val="nil"/>
              <w:right w:val="single" w:sz="4" w:space="0" w:color="auto"/>
            </w:tcBorders>
            <w:shd w:val="clear" w:color="auto" w:fill="auto"/>
            <w:vAlign w:val="bottom"/>
          </w:tcPr>
          <w:p w14:paraId="178B2CF4" w14:textId="4F6603BA" w:rsidR="00491DCB" w:rsidRPr="00491DCB" w:rsidRDefault="00491DCB" w:rsidP="002F131C">
            <w:pPr>
              <w:jc w:val="right"/>
              <w:rPr>
                <w:rFonts w:ascii="Montserrat" w:eastAsia="Times New Roman" w:hAnsi="Montserrat" w:cs="Futura Medium"/>
                <w:color w:val="000000"/>
                <w:sz w:val="15"/>
                <w:szCs w:val="15"/>
                <w:lang w:val="es-MX" w:eastAsia="es-MX"/>
              </w:rPr>
            </w:pPr>
            <w:r w:rsidRPr="00491DCB">
              <w:rPr>
                <w:rFonts w:ascii="Montserrat" w:eastAsia="Times New Roman" w:hAnsi="Montserrat" w:cs="Futura Medium"/>
                <w:sz w:val="15"/>
                <w:szCs w:val="15"/>
                <w:lang w:val="es-MX" w:eastAsia="es-MX"/>
              </w:rPr>
              <w:t>144,086,645.84</w:t>
            </w:r>
          </w:p>
        </w:tc>
        <w:tc>
          <w:tcPr>
            <w:tcW w:w="1134" w:type="dxa"/>
            <w:tcBorders>
              <w:top w:val="nil"/>
              <w:left w:val="nil"/>
              <w:bottom w:val="nil"/>
              <w:right w:val="nil"/>
            </w:tcBorders>
            <w:shd w:val="clear" w:color="auto" w:fill="auto"/>
            <w:vAlign w:val="bottom"/>
          </w:tcPr>
          <w:p w14:paraId="51485ACA" w14:textId="77777777"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0.00</w:t>
            </w:r>
          </w:p>
        </w:tc>
        <w:tc>
          <w:tcPr>
            <w:tcW w:w="993" w:type="dxa"/>
            <w:tcBorders>
              <w:top w:val="nil"/>
              <w:left w:val="single" w:sz="4" w:space="0" w:color="auto"/>
              <w:bottom w:val="nil"/>
              <w:right w:val="single" w:sz="4" w:space="0" w:color="auto"/>
            </w:tcBorders>
            <w:shd w:val="clear" w:color="auto" w:fill="auto"/>
            <w:noWrap/>
            <w:vAlign w:val="bottom"/>
          </w:tcPr>
          <w:p w14:paraId="5FCFE287" w14:textId="77777777" w:rsidR="00491DCB" w:rsidRPr="00491DCB" w:rsidRDefault="00491DCB" w:rsidP="002F131C">
            <w:pPr>
              <w:jc w:val="center"/>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TIIE+0.51%</w:t>
            </w:r>
          </w:p>
        </w:tc>
        <w:tc>
          <w:tcPr>
            <w:tcW w:w="1134" w:type="dxa"/>
            <w:tcBorders>
              <w:top w:val="nil"/>
              <w:left w:val="nil"/>
              <w:bottom w:val="nil"/>
              <w:right w:val="single" w:sz="4" w:space="0" w:color="auto"/>
            </w:tcBorders>
            <w:shd w:val="clear" w:color="auto" w:fill="auto"/>
            <w:noWrap/>
            <w:vAlign w:val="bottom"/>
          </w:tcPr>
          <w:p w14:paraId="45324B81" w14:textId="77777777"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28/12/2048</w:t>
            </w:r>
          </w:p>
        </w:tc>
        <w:tc>
          <w:tcPr>
            <w:tcW w:w="1059" w:type="dxa"/>
            <w:tcBorders>
              <w:top w:val="nil"/>
              <w:left w:val="nil"/>
              <w:bottom w:val="nil"/>
              <w:right w:val="single" w:sz="4" w:space="0" w:color="auto"/>
            </w:tcBorders>
            <w:shd w:val="clear" w:color="auto" w:fill="auto"/>
            <w:noWrap/>
            <w:vAlign w:val="bottom"/>
          </w:tcPr>
          <w:p w14:paraId="3587745F" w14:textId="51A44D48"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1,408,483.06</w:t>
            </w:r>
          </w:p>
        </w:tc>
      </w:tr>
      <w:tr w:rsidR="00491DCB" w:rsidRPr="00491DCB" w14:paraId="1A864F9B" w14:textId="77777777" w:rsidTr="00A60187">
        <w:trPr>
          <w:trHeight w:val="293"/>
          <w:jc w:val="center"/>
        </w:trPr>
        <w:tc>
          <w:tcPr>
            <w:tcW w:w="1578" w:type="dxa"/>
            <w:tcBorders>
              <w:top w:val="nil"/>
              <w:left w:val="single" w:sz="4" w:space="0" w:color="auto"/>
              <w:bottom w:val="nil"/>
              <w:right w:val="nil"/>
            </w:tcBorders>
            <w:shd w:val="clear" w:color="auto" w:fill="auto"/>
            <w:vAlign w:val="bottom"/>
          </w:tcPr>
          <w:p w14:paraId="0CEE6379" w14:textId="77777777" w:rsidR="00491DCB" w:rsidRPr="00491DCB" w:rsidRDefault="00491DCB" w:rsidP="002F131C">
            <w:pPr>
              <w:rPr>
                <w:rFonts w:ascii="Montserrat" w:eastAsia="Times New Roman" w:hAnsi="Montserrat" w:cs="Futura Medium"/>
                <w:sz w:val="14"/>
                <w:szCs w:val="14"/>
                <w:lang w:val="es-MX" w:eastAsia="es-MX"/>
              </w:rPr>
            </w:pPr>
            <w:r w:rsidRPr="00491DCB">
              <w:rPr>
                <w:rFonts w:ascii="Montserrat" w:eastAsia="Times New Roman" w:hAnsi="Montserrat" w:cs="Futura Medium"/>
                <w:sz w:val="14"/>
                <w:szCs w:val="14"/>
                <w:lang w:val="es-MX" w:eastAsia="es-MX"/>
              </w:rPr>
              <w:t>Honorarios</w:t>
            </w:r>
          </w:p>
          <w:p w14:paraId="306AE22A" w14:textId="77777777" w:rsidR="00491DCB" w:rsidRPr="00491DCB" w:rsidRDefault="00491DCB" w:rsidP="002F131C">
            <w:pPr>
              <w:rPr>
                <w:rFonts w:ascii="Montserrat" w:eastAsia="Times New Roman" w:hAnsi="Montserrat" w:cs="Futura Medium"/>
                <w:sz w:val="14"/>
                <w:szCs w:val="14"/>
                <w:lang w:val="es-MX" w:eastAsia="es-MX"/>
              </w:rPr>
            </w:pPr>
            <w:r w:rsidRPr="00491DCB">
              <w:rPr>
                <w:rFonts w:ascii="Montserrat" w:eastAsia="Times New Roman" w:hAnsi="Montserrat" w:cs="Futura Medium"/>
                <w:sz w:val="14"/>
                <w:szCs w:val="14"/>
                <w:lang w:val="es-MX" w:eastAsia="es-MX"/>
              </w:rPr>
              <w:t>Fiduciarios</w:t>
            </w:r>
          </w:p>
        </w:tc>
        <w:tc>
          <w:tcPr>
            <w:tcW w:w="1445" w:type="dxa"/>
            <w:tcBorders>
              <w:top w:val="nil"/>
              <w:left w:val="single" w:sz="4" w:space="0" w:color="auto"/>
              <w:bottom w:val="nil"/>
              <w:right w:val="single" w:sz="4" w:space="0" w:color="auto"/>
            </w:tcBorders>
            <w:shd w:val="clear" w:color="auto" w:fill="auto"/>
            <w:vAlign w:val="bottom"/>
          </w:tcPr>
          <w:p w14:paraId="0F732A7F" w14:textId="77777777"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0.00</w:t>
            </w:r>
          </w:p>
        </w:tc>
        <w:tc>
          <w:tcPr>
            <w:tcW w:w="1413" w:type="dxa"/>
            <w:tcBorders>
              <w:top w:val="nil"/>
              <w:left w:val="nil"/>
              <w:bottom w:val="nil"/>
              <w:right w:val="nil"/>
            </w:tcBorders>
            <w:shd w:val="clear" w:color="auto" w:fill="auto"/>
            <w:vAlign w:val="bottom"/>
          </w:tcPr>
          <w:p w14:paraId="5031F751" w14:textId="69F7AEF1"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0.00</w:t>
            </w:r>
          </w:p>
        </w:tc>
        <w:tc>
          <w:tcPr>
            <w:tcW w:w="1333" w:type="dxa"/>
            <w:tcBorders>
              <w:top w:val="nil"/>
              <w:left w:val="single" w:sz="4" w:space="0" w:color="auto"/>
              <w:bottom w:val="nil"/>
              <w:right w:val="single" w:sz="4" w:space="0" w:color="auto"/>
            </w:tcBorders>
            <w:shd w:val="clear" w:color="auto" w:fill="auto"/>
            <w:vAlign w:val="bottom"/>
          </w:tcPr>
          <w:p w14:paraId="27E9CC92" w14:textId="25235CF9"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0.00</w:t>
            </w:r>
          </w:p>
        </w:tc>
        <w:tc>
          <w:tcPr>
            <w:tcW w:w="1134" w:type="dxa"/>
            <w:tcBorders>
              <w:top w:val="nil"/>
              <w:left w:val="nil"/>
              <w:bottom w:val="nil"/>
              <w:right w:val="nil"/>
            </w:tcBorders>
            <w:shd w:val="clear" w:color="auto" w:fill="auto"/>
            <w:vAlign w:val="bottom"/>
          </w:tcPr>
          <w:p w14:paraId="4F59D754" w14:textId="77777777"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0.00</w:t>
            </w:r>
          </w:p>
        </w:tc>
        <w:tc>
          <w:tcPr>
            <w:tcW w:w="993" w:type="dxa"/>
            <w:tcBorders>
              <w:top w:val="nil"/>
              <w:left w:val="single" w:sz="4" w:space="0" w:color="auto"/>
              <w:bottom w:val="nil"/>
              <w:right w:val="single" w:sz="4" w:space="0" w:color="auto"/>
            </w:tcBorders>
            <w:shd w:val="clear" w:color="auto" w:fill="auto"/>
            <w:noWrap/>
            <w:vAlign w:val="bottom"/>
          </w:tcPr>
          <w:p w14:paraId="44A686A2" w14:textId="77777777" w:rsidR="00491DCB" w:rsidRPr="00491DCB" w:rsidRDefault="00491DCB" w:rsidP="002F131C">
            <w:pPr>
              <w:jc w:val="center"/>
              <w:rPr>
                <w:rFonts w:ascii="Montserrat" w:eastAsia="Times New Roman" w:hAnsi="Montserrat" w:cs="Futura Medium"/>
                <w:sz w:val="15"/>
                <w:szCs w:val="15"/>
                <w:lang w:val="es-MX" w:eastAsia="es-MX"/>
              </w:rPr>
            </w:pPr>
          </w:p>
        </w:tc>
        <w:tc>
          <w:tcPr>
            <w:tcW w:w="1134" w:type="dxa"/>
            <w:tcBorders>
              <w:top w:val="nil"/>
              <w:left w:val="nil"/>
              <w:bottom w:val="nil"/>
              <w:right w:val="single" w:sz="4" w:space="0" w:color="auto"/>
            </w:tcBorders>
            <w:shd w:val="clear" w:color="auto" w:fill="auto"/>
            <w:noWrap/>
            <w:vAlign w:val="bottom"/>
          </w:tcPr>
          <w:p w14:paraId="4387DBE1" w14:textId="77777777" w:rsidR="00491DCB" w:rsidRPr="00491DCB" w:rsidRDefault="00491DCB" w:rsidP="002F131C">
            <w:pPr>
              <w:jc w:val="right"/>
              <w:rPr>
                <w:rFonts w:ascii="Montserrat" w:eastAsia="Times New Roman" w:hAnsi="Montserrat" w:cs="Futura Medium"/>
                <w:sz w:val="15"/>
                <w:szCs w:val="15"/>
                <w:lang w:val="es-MX" w:eastAsia="es-MX"/>
              </w:rPr>
            </w:pPr>
          </w:p>
        </w:tc>
        <w:tc>
          <w:tcPr>
            <w:tcW w:w="1059" w:type="dxa"/>
            <w:tcBorders>
              <w:top w:val="nil"/>
              <w:left w:val="nil"/>
              <w:bottom w:val="nil"/>
              <w:right w:val="single" w:sz="4" w:space="0" w:color="auto"/>
            </w:tcBorders>
            <w:shd w:val="clear" w:color="auto" w:fill="auto"/>
            <w:noWrap/>
            <w:vAlign w:val="bottom"/>
          </w:tcPr>
          <w:p w14:paraId="4E0B1736" w14:textId="4FFFA6DC"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849,759.83</w:t>
            </w:r>
          </w:p>
        </w:tc>
      </w:tr>
      <w:tr w:rsidR="00491DCB" w:rsidRPr="00170E49" w14:paraId="6EEDADC5" w14:textId="77777777" w:rsidTr="00A60187">
        <w:trPr>
          <w:trHeight w:val="93"/>
          <w:jc w:val="center"/>
        </w:trPr>
        <w:tc>
          <w:tcPr>
            <w:tcW w:w="1578" w:type="dxa"/>
            <w:tcBorders>
              <w:top w:val="nil"/>
              <w:left w:val="single" w:sz="4" w:space="0" w:color="auto"/>
              <w:bottom w:val="single" w:sz="4" w:space="0" w:color="auto"/>
              <w:right w:val="nil"/>
            </w:tcBorders>
            <w:shd w:val="clear" w:color="auto" w:fill="auto"/>
            <w:vAlign w:val="bottom"/>
          </w:tcPr>
          <w:p w14:paraId="2DA8B0BF" w14:textId="77777777" w:rsidR="00491DCB" w:rsidRPr="00491DCB" w:rsidRDefault="00491DCB" w:rsidP="002F131C">
            <w:pPr>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Honorarios Calificadoras</w:t>
            </w:r>
          </w:p>
        </w:tc>
        <w:tc>
          <w:tcPr>
            <w:tcW w:w="1445" w:type="dxa"/>
            <w:tcBorders>
              <w:top w:val="nil"/>
              <w:left w:val="single" w:sz="4" w:space="0" w:color="auto"/>
              <w:bottom w:val="single" w:sz="4" w:space="0" w:color="auto"/>
              <w:right w:val="single" w:sz="4" w:space="0" w:color="auto"/>
            </w:tcBorders>
            <w:shd w:val="clear" w:color="auto" w:fill="auto"/>
            <w:vAlign w:val="bottom"/>
          </w:tcPr>
          <w:p w14:paraId="3B915525" w14:textId="77777777"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0.00</w:t>
            </w:r>
          </w:p>
        </w:tc>
        <w:tc>
          <w:tcPr>
            <w:tcW w:w="1413" w:type="dxa"/>
            <w:tcBorders>
              <w:top w:val="nil"/>
              <w:left w:val="nil"/>
              <w:bottom w:val="single" w:sz="4" w:space="0" w:color="auto"/>
              <w:right w:val="nil"/>
            </w:tcBorders>
            <w:shd w:val="clear" w:color="auto" w:fill="auto"/>
            <w:vAlign w:val="bottom"/>
          </w:tcPr>
          <w:p w14:paraId="517C4A67" w14:textId="50ED1074"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0.00</w:t>
            </w:r>
            <w:r w:rsidRPr="00491DCB">
              <w:rPr>
                <w:rFonts w:ascii="Montserrat" w:eastAsia="Times New Roman" w:hAnsi="Montserrat" w:cs="Futura Medium"/>
                <w:sz w:val="15"/>
                <w:szCs w:val="15"/>
                <w:lang w:val="es-MX" w:eastAsia="es-MX"/>
              </w:rPr>
              <w:fldChar w:fldCharType="begin"/>
            </w:r>
            <w:r w:rsidRPr="00491DCB">
              <w:rPr>
                <w:rFonts w:ascii="Montserrat" w:eastAsia="Times New Roman" w:hAnsi="Montserrat" w:cs="Futura Medium"/>
                <w:sz w:val="15"/>
                <w:szCs w:val="15"/>
                <w:lang w:val="es-MX" w:eastAsia="es-MX"/>
              </w:rPr>
              <w:instrText xml:space="preserve"> =SUM(ABOVE) </w:instrText>
            </w:r>
            <w:r w:rsidRPr="00491DCB">
              <w:rPr>
                <w:rFonts w:ascii="Montserrat" w:eastAsia="Times New Roman" w:hAnsi="Montserrat" w:cs="Futura Medium"/>
                <w:sz w:val="15"/>
                <w:szCs w:val="15"/>
                <w:lang w:val="es-MX" w:eastAsia="es-MX"/>
              </w:rPr>
              <w:fldChar w:fldCharType="end"/>
            </w:r>
          </w:p>
        </w:tc>
        <w:tc>
          <w:tcPr>
            <w:tcW w:w="1333" w:type="dxa"/>
            <w:tcBorders>
              <w:top w:val="nil"/>
              <w:left w:val="single" w:sz="4" w:space="0" w:color="auto"/>
              <w:bottom w:val="single" w:sz="4" w:space="0" w:color="auto"/>
              <w:right w:val="single" w:sz="4" w:space="0" w:color="auto"/>
            </w:tcBorders>
            <w:shd w:val="clear" w:color="auto" w:fill="auto"/>
            <w:vAlign w:val="bottom"/>
          </w:tcPr>
          <w:p w14:paraId="283F22B8" w14:textId="6FB95B2C"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0.00</w:t>
            </w:r>
          </w:p>
        </w:tc>
        <w:tc>
          <w:tcPr>
            <w:tcW w:w="1134" w:type="dxa"/>
            <w:tcBorders>
              <w:top w:val="nil"/>
              <w:left w:val="nil"/>
              <w:bottom w:val="single" w:sz="4" w:space="0" w:color="auto"/>
              <w:right w:val="nil"/>
            </w:tcBorders>
            <w:shd w:val="clear" w:color="auto" w:fill="auto"/>
            <w:vAlign w:val="bottom"/>
          </w:tcPr>
          <w:p w14:paraId="1923A365" w14:textId="77777777" w:rsidR="00491DCB" w:rsidRPr="00491DCB"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0.00</w:t>
            </w:r>
          </w:p>
        </w:tc>
        <w:tc>
          <w:tcPr>
            <w:tcW w:w="993" w:type="dxa"/>
            <w:tcBorders>
              <w:top w:val="nil"/>
              <w:left w:val="single" w:sz="4" w:space="0" w:color="auto"/>
              <w:bottom w:val="single" w:sz="4" w:space="0" w:color="auto"/>
              <w:right w:val="single" w:sz="4" w:space="0" w:color="auto"/>
            </w:tcBorders>
            <w:shd w:val="clear" w:color="auto" w:fill="auto"/>
            <w:noWrap/>
            <w:vAlign w:val="bottom"/>
          </w:tcPr>
          <w:p w14:paraId="0740162A" w14:textId="77777777" w:rsidR="00491DCB" w:rsidRPr="00491DCB" w:rsidRDefault="00491DCB" w:rsidP="002F131C">
            <w:pPr>
              <w:jc w:val="center"/>
              <w:rPr>
                <w:rFonts w:ascii="Montserrat" w:eastAsia="Times New Roman" w:hAnsi="Montserrat" w:cs="Futura Medium"/>
                <w:sz w:val="15"/>
                <w:szCs w:val="15"/>
                <w:lang w:val="es-MX" w:eastAsia="es-MX"/>
              </w:rPr>
            </w:pPr>
          </w:p>
        </w:tc>
        <w:tc>
          <w:tcPr>
            <w:tcW w:w="1134" w:type="dxa"/>
            <w:tcBorders>
              <w:top w:val="nil"/>
              <w:left w:val="nil"/>
              <w:bottom w:val="single" w:sz="4" w:space="0" w:color="auto"/>
              <w:right w:val="single" w:sz="4" w:space="0" w:color="auto"/>
            </w:tcBorders>
            <w:shd w:val="clear" w:color="auto" w:fill="auto"/>
            <w:noWrap/>
            <w:vAlign w:val="bottom"/>
          </w:tcPr>
          <w:p w14:paraId="409EECC6" w14:textId="77777777" w:rsidR="00491DCB" w:rsidRPr="00491DCB" w:rsidRDefault="00491DCB" w:rsidP="002F131C">
            <w:pPr>
              <w:jc w:val="right"/>
              <w:rPr>
                <w:rFonts w:ascii="Montserrat" w:eastAsia="Times New Roman" w:hAnsi="Montserrat" w:cs="Futura Medium"/>
                <w:sz w:val="15"/>
                <w:szCs w:val="15"/>
                <w:lang w:val="es-MX" w:eastAsia="es-MX"/>
              </w:rPr>
            </w:pPr>
          </w:p>
        </w:tc>
        <w:tc>
          <w:tcPr>
            <w:tcW w:w="1059" w:type="dxa"/>
            <w:tcBorders>
              <w:top w:val="nil"/>
              <w:left w:val="nil"/>
              <w:bottom w:val="single" w:sz="4" w:space="0" w:color="auto"/>
              <w:right w:val="single" w:sz="4" w:space="0" w:color="auto"/>
            </w:tcBorders>
            <w:shd w:val="clear" w:color="auto" w:fill="auto"/>
            <w:noWrap/>
            <w:vAlign w:val="bottom"/>
          </w:tcPr>
          <w:p w14:paraId="2BEE4584" w14:textId="2E0E19AB" w:rsidR="00491DCB" w:rsidRPr="00170E49" w:rsidRDefault="00491DCB" w:rsidP="002F131C">
            <w:pPr>
              <w:jc w:val="right"/>
              <w:rPr>
                <w:rFonts w:ascii="Montserrat" w:eastAsia="Times New Roman" w:hAnsi="Montserrat" w:cs="Futura Medium"/>
                <w:sz w:val="15"/>
                <w:szCs w:val="15"/>
                <w:lang w:val="es-MX" w:eastAsia="es-MX"/>
              </w:rPr>
            </w:pPr>
            <w:r w:rsidRPr="00491DCB">
              <w:rPr>
                <w:rFonts w:ascii="Montserrat" w:eastAsia="Times New Roman" w:hAnsi="Montserrat" w:cs="Futura Medium"/>
                <w:sz w:val="15"/>
                <w:szCs w:val="15"/>
                <w:lang w:val="es-MX" w:eastAsia="es-MX"/>
              </w:rPr>
              <w:t>4,145,395.82</w:t>
            </w:r>
          </w:p>
        </w:tc>
      </w:tr>
    </w:tbl>
    <w:p w14:paraId="40401C27" w14:textId="77777777" w:rsidR="00170E49" w:rsidRPr="00491DCB" w:rsidRDefault="00170E49" w:rsidP="002F131C">
      <w:pPr>
        <w:rPr>
          <w:rFonts w:ascii="Montserrat" w:eastAsia="Times New Roman" w:hAnsi="Montserrat" w:cs="Futura Medium"/>
          <w:sz w:val="14"/>
          <w:szCs w:val="14"/>
          <w:lang w:val="es-MX" w:eastAsia="es-MX"/>
        </w:rPr>
      </w:pPr>
      <w:r w:rsidRPr="00491DCB">
        <w:rPr>
          <w:rFonts w:ascii="Montserrat" w:eastAsia="Times New Roman" w:hAnsi="Montserrat" w:cs="Futura Medium"/>
          <w:sz w:val="14"/>
          <w:szCs w:val="14"/>
          <w:lang w:val="es-MX" w:eastAsia="es-MX"/>
        </w:rPr>
        <w:t>Nota: * El crédito de BBVA México, S.A. corresponde al importe contratado de $ 1,000,000,000.00  mismo que mediante el segundo convenio modificatorio de fecha 27 de febrero de 2024, quedó en $ 737,138,810.00</w:t>
      </w:r>
    </w:p>
    <w:p w14:paraId="41664B10" w14:textId="6ACA0394" w:rsidR="008257FE" w:rsidRPr="009C26EF" w:rsidRDefault="008257FE" w:rsidP="002F131C">
      <w:pPr>
        <w:rPr>
          <w:rFonts w:ascii="Montserrat Medium" w:eastAsia="Times New Roman" w:hAnsi="Montserrat Medium"/>
          <w:color w:val="000000"/>
          <w:sz w:val="10"/>
          <w:szCs w:val="12"/>
          <w:highlight w:val="yellow"/>
          <w:lang w:val="es-MX" w:eastAsia="es-MX"/>
        </w:rPr>
      </w:pPr>
    </w:p>
    <w:p w14:paraId="0C5A6C39" w14:textId="77777777" w:rsidR="00B903A6" w:rsidRPr="009C26EF" w:rsidRDefault="00B903A6" w:rsidP="002F131C">
      <w:pPr>
        <w:jc w:val="both"/>
        <w:rPr>
          <w:rFonts w:ascii="Montserrat Medium" w:eastAsia="Times New Roman" w:hAnsi="Montserrat Medium" w:cs="Arial"/>
          <w:b/>
          <w:color w:val="595959"/>
          <w:sz w:val="20"/>
          <w:szCs w:val="20"/>
          <w:highlight w:val="yellow"/>
          <w:lang w:eastAsia="en-US"/>
        </w:rPr>
      </w:pPr>
    </w:p>
    <w:p w14:paraId="03F67E28" w14:textId="77777777" w:rsidR="008257FE" w:rsidRPr="00491DCB" w:rsidRDefault="008257FE" w:rsidP="002F131C">
      <w:pPr>
        <w:jc w:val="both"/>
        <w:rPr>
          <w:rFonts w:ascii="Montserrat Medium" w:eastAsia="Times New Roman" w:hAnsi="Montserrat Medium" w:cs="Arial"/>
          <w:b/>
          <w:color w:val="595959"/>
          <w:sz w:val="22"/>
          <w:lang w:eastAsia="en-US"/>
        </w:rPr>
      </w:pPr>
      <w:r w:rsidRPr="00491DCB">
        <w:rPr>
          <w:rFonts w:ascii="Montserrat Medium" w:eastAsia="Times New Roman" w:hAnsi="Montserrat Medium" w:cs="Arial"/>
          <w:b/>
          <w:color w:val="595959"/>
          <w:sz w:val="22"/>
          <w:lang w:eastAsia="en-US"/>
        </w:rPr>
        <w:t xml:space="preserve">Deuda pública a largo plazo y su porción a corto plazo </w:t>
      </w:r>
    </w:p>
    <w:p w14:paraId="225287E5" w14:textId="77777777" w:rsidR="008257FE" w:rsidRPr="009C26EF" w:rsidRDefault="008257FE" w:rsidP="002F131C">
      <w:pPr>
        <w:jc w:val="both"/>
        <w:rPr>
          <w:rFonts w:ascii="Montserrat Medium" w:eastAsia="Times New Roman" w:hAnsi="Montserrat Medium" w:cs="Arial"/>
          <w:sz w:val="22"/>
          <w:highlight w:val="yellow"/>
          <w:lang w:eastAsia="en-US"/>
        </w:rPr>
      </w:pPr>
    </w:p>
    <w:p w14:paraId="53341AFB" w14:textId="77777777" w:rsidR="008257FE" w:rsidRPr="00491DCB" w:rsidRDefault="008257FE" w:rsidP="002F131C">
      <w:pPr>
        <w:jc w:val="both"/>
        <w:rPr>
          <w:rFonts w:ascii="Montserrat Medium" w:eastAsia="Times New Roman" w:hAnsi="Montserrat Medium" w:cs="Arial"/>
          <w:color w:val="595959"/>
          <w:sz w:val="22"/>
          <w:lang w:eastAsia="en-US"/>
        </w:rPr>
      </w:pPr>
      <w:r w:rsidRPr="00491DCB">
        <w:rPr>
          <w:rFonts w:ascii="Montserrat Medium" w:eastAsia="Times New Roman" w:hAnsi="Montserrat Medium" w:cs="Arial"/>
          <w:color w:val="595959"/>
          <w:sz w:val="22"/>
          <w:lang w:eastAsia="en-US"/>
        </w:rPr>
        <w:t>La porción de corto plazo de la Deuda Pública a largo plazo representa las obligaciones de pago de los siguientes doce meses a la fecha de presentación de la información financiera, respecto de la Deuda Pública vigente contraída por el Gobierno del Estado de Quintana Roo con instituciones financieras nacionales que operan dentro del territorio nacional, con vencimientos mayores a un año.</w:t>
      </w:r>
    </w:p>
    <w:p w14:paraId="10FBF145" w14:textId="77777777" w:rsidR="008257FE" w:rsidRPr="009C26EF" w:rsidRDefault="008257FE" w:rsidP="002F131C">
      <w:pPr>
        <w:jc w:val="both"/>
        <w:rPr>
          <w:rFonts w:ascii="Montserrat Medium" w:eastAsia="Times New Roman" w:hAnsi="Montserrat Medium" w:cs="Arial"/>
          <w:color w:val="595959"/>
          <w:sz w:val="22"/>
          <w:highlight w:val="yellow"/>
          <w:lang w:eastAsia="en-US"/>
        </w:rPr>
      </w:pPr>
    </w:p>
    <w:p w14:paraId="2C638EA1" w14:textId="19816C59" w:rsidR="008257FE" w:rsidRPr="00491DCB" w:rsidRDefault="008257FE" w:rsidP="002F131C">
      <w:pPr>
        <w:jc w:val="both"/>
        <w:rPr>
          <w:rFonts w:ascii="Montserrat Medium" w:eastAsia="Times New Roman" w:hAnsi="Montserrat Medium" w:cs="Arial"/>
          <w:color w:val="595959"/>
          <w:sz w:val="22"/>
          <w:lang w:eastAsia="en-US"/>
        </w:rPr>
      </w:pPr>
      <w:r w:rsidRPr="00491DCB">
        <w:rPr>
          <w:rFonts w:ascii="Montserrat Medium" w:eastAsia="Times New Roman" w:hAnsi="Montserrat Medium" w:cs="Arial"/>
          <w:color w:val="595959"/>
          <w:sz w:val="22"/>
          <w:lang w:eastAsia="en-US"/>
        </w:rPr>
        <w:lastRenderedPageBreak/>
        <w:t xml:space="preserve">A efecto de dar cumplimiento a los postulados básicos de contabilidad gubernamental. </w:t>
      </w:r>
      <w:r w:rsidR="000901FA" w:rsidRPr="00491DCB">
        <w:rPr>
          <w:rFonts w:ascii="Montserrat Medium" w:eastAsia="Times New Roman" w:hAnsi="Montserrat Medium" w:cs="Arial"/>
          <w:color w:val="595959"/>
          <w:sz w:val="22"/>
          <w:lang w:eastAsia="en-US"/>
        </w:rPr>
        <w:t>A</w:t>
      </w:r>
      <w:r w:rsidR="00A4586C" w:rsidRPr="00491DCB">
        <w:rPr>
          <w:rFonts w:ascii="Montserrat Medium" w:eastAsia="Times New Roman" w:hAnsi="Montserrat Medium" w:cs="Arial"/>
          <w:color w:val="595959"/>
          <w:sz w:val="22"/>
          <w:lang w:eastAsia="en-US"/>
        </w:rPr>
        <w:t>l 3</w:t>
      </w:r>
      <w:r w:rsidR="00491DCB" w:rsidRPr="00491DCB">
        <w:rPr>
          <w:rFonts w:ascii="Montserrat Medium" w:eastAsia="Times New Roman" w:hAnsi="Montserrat Medium" w:cs="Arial"/>
          <w:color w:val="595959"/>
          <w:sz w:val="22"/>
          <w:lang w:eastAsia="en-US"/>
        </w:rPr>
        <w:t>0</w:t>
      </w:r>
      <w:r w:rsidR="00A4586C" w:rsidRPr="00491DCB">
        <w:rPr>
          <w:rFonts w:ascii="Montserrat Medium" w:eastAsia="Times New Roman" w:hAnsi="Montserrat Medium" w:cs="Arial"/>
          <w:color w:val="595959"/>
          <w:sz w:val="22"/>
          <w:lang w:eastAsia="en-US"/>
        </w:rPr>
        <w:t xml:space="preserve"> de </w:t>
      </w:r>
      <w:r w:rsidR="00491DCB" w:rsidRPr="00491DCB">
        <w:rPr>
          <w:rFonts w:ascii="Montserrat Medium" w:eastAsia="Times New Roman" w:hAnsi="Montserrat Medium" w:cs="Arial"/>
          <w:color w:val="595959"/>
          <w:sz w:val="22"/>
          <w:lang w:eastAsia="en-US"/>
        </w:rPr>
        <w:t>junio</w:t>
      </w:r>
      <w:r w:rsidR="00A4586C" w:rsidRPr="00491DCB">
        <w:rPr>
          <w:rFonts w:ascii="Montserrat Medium" w:eastAsia="Times New Roman" w:hAnsi="Montserrat Medium" w:cs="Arial"/>
          <w:color w:val="595959"/>
          <w:sz w:val="22"/>
          <w:lang w:eastAsia="en-US"/>
        </w:rPr>
        <w:t xml:space="preserve"> de 202</w:t>
      </w:r>
      <w:r w:rsidR="00170E49" w:rsidRPr="00491DCB">
        <w:rPr>
          <w:rFonts w:ascii="Montserrat Medium" w:eastAsia="Times New Roman" w:hAnsi="Montserrat Medium" w:cs="Arial"/>
          <w:color w:val="595959"/>
          <w:sz w:val="22"/>
          <w:lang w:eastAsia="en-US"/>
        </w:rPr>
        <w:t>5</w:t>
      </w:r>
      <w:r w:rsidRPr="00491DCB">
        <w:rPr>
          <w:rFonts w:ascii="Montserrat Medium" w:eastAsia="Times New Roman" w:hAnsi="Montserrat Medium" w:cs="Arial"/>
          <w:color w:val="595959"/>
          <w:sz w:val="22"/>
          <w:lang w:eastAsia="en-US"/>
        </w:rPr>
        <w:t xml:space="preserve"> y al 31 de diciembre de 202</w:t>
      </w:r>
      <w:r w:rsidR="00170E49" w:rsidRPr="00491DCB">
        <w:rPr>
          <w:rFonts w:ascii="Montserrat Medium" w:eastAsia="Times New Roman" w:hAnsi="Montserrat Medium" w:cs="Arial"/>
          <w:color w:val="595959"/>
          <w:sz w:val="22"/>
          <w:lang w:eastAsia="en-US"/>
        </w:rPr>
        <w:t>4</w:t>
      </w:r>
      <w:r w:rsidRPr="00491DCB">
        <w:rPr>
          <w:rFonts w:ascii="Montserrat Medium" w:eastAsia="Times New Roman" w:hAnsi="Montserrat Medium" w:cs="Arial"/>
          <w:color w:val="595959"/>
          <w:sz w:val="22"/>
          <w:lang w:eastAsia="en-US"/>
        </w:rPr>
        <w:t xml:space="preserve"> la deuda pública se integra como sigue:</w:t>
      </w:r>
    </w:p>
    <w:p w14:paraId="134EFDC9" w14:textId="77777777" w:rsidR="00170E49" w:rsidRPr="009C26EF" w:rsidRDefault="00170E49" w:rsidP="002F131C">
      <w:pPr>
        <w:jc w:val="both"/>
        <w:rPr>
          <w:rFonts w:ascii="Montserrat Medium" w:eastAsia="Times New Roman" w:hAnsi="Montserrat Medium" w:cs="Arial"/>
          <w:color w:val="595959"/>
          <w:sz w:val="22"/>
          <w:highlight w:val="yellow"/>
          <w:lang w:eastAsia="en-US"/>
        </w:rPr>
      </w:pPr>
    </w:p>
    <w:tbl>
      <w:tblPr>
        <w:tblW w:w="10065" w:type="dxa"/>
        <w:jc w:val="center"/>
        <w:tblInd w:w="-734" w:type="dxa"/>
        <w:tblCellMar>
          <w:left w:w="70" w:type="dxa"/>
          <w:right w:w="70" w:type="dxa"/>
        </w:tblCellMar>
        <w:tblLook w:val="04A0" w:firstRow="1" w:lastRow="0" w:firstColumn="1" w:lastColumn="0" w:noHBand="0" w:noVBand="1"/>
      </w:tblPr>
      <w:tblGrid>
        <w:gridCol w:w="1169"/>
        <w:gridCol w:w="1217"/>
        <w:gridCol w:w="1563"/>
        <w:gridCol w:w="1571"/>
        <w:gridCol w:w="1279"/>
        <w:gridCol w:w="1589"/>
        <w:gridCol w:w="1677"/>
      </w:tblGrid>
      <w:tr w:rsidR="00170E49" w:rsidRPr="00491DCB" w14:paraId="15C4BB65" w14:textId="77777777" w:rsidTr="00170E49">
        <w:trPr>
          <w:trHeight w:val="151"/>
          <w:tblHeader/>
          <w:jc w:val="center"/>
        </w:trPr>
        <w:tc>
          <w:tcPr>
            <w:tcW w:w="10065" w:type="dxa"/>
            <w:gridSpan w:val="7"/>
            <w:tcBorders>
              <w:top w:val="single" w:sz="4" w:space="0" w:color="auto"/>
              <w:left w:val="single" w:sz="4" w:space="0" w:color="auto"/>
              <w:bottom w:val="nil"/>
              <w:right w:val="single" w:sz="4" w:space="0" w:color="000000"/>
            </w:tcBorders>
            <w:shd w:val="clear" w:color="auto" w:fill="A6A6A6"/>
            <w:vAlign w:val="bottom"/>
            <w:hideMark/>
          </w:tcPr>
          <w:p w14:paraId="0867EB90" w14:textId="77777777" w:rsidR="00170E49" w:rsidRPr="00491DCB" w:rsidRDefault="00170E49" w:rsidP="002F131C">
            <w:pPr>
              <w:jc w:val="center"/>
              <w:rPr>
                <w:rFonts w:ascii="Montserrat Medium" w:eastAsia="Times New Roman" w:hAnsi="Montserrat Medium" w:cs="Futura Medium"/>
                <w:b/>
                <w:bCs/>
                <w:sz w:val="16"/>
                <w:szCs w:val="17"/>
                <w:lang w:val="es-MX" w:eastAsia="es-MX"/>
              </w:rPr>
            </w:pPr>
            <w:r w:rsidRPr="00491DCB">
              <w:rPr>
                <w:rFonts w:ascii="Montserrat Medium" w:eastAsia="Times New Roman" w:hAnsi="Montserrat Medium" w:cs="Futura Medium"/>
                <w:b/>
                <w:sz w:val="16"/>
                <w:szCs w:val="17"/>
                <w:lang w:val="es-MX" w:eastAsia="es-MX"/>
              </w:rPr>
              <w:t>GOBIERNO DEL ESTADO LIBRE Y SOBERANO DE QUINTANA ROO</w:t>
            </w:r>
          </w:p>
        </w:tc>
      </w:tr>
      <w:tr w:rsidR="00170E49" w:rsidRPr="00491DCB" w14:paraId="74B86368" w14:textId="77777777" w:rsidTr="00170E49">
        <w:trPr>
          <w:trHeight w:val="151"/>
          <w:tblHeader/>
          <w:jc w:val="center"/>
        </w:trPr>
        <w:tc>
          <w:tcPr>
            <w:tcW w:w="10065" w:type="dxa"/>
            <w:gridSpan w:val="7"/>
            <w:tcBorders>
              <w:top w:val="nil"/>
              <w:left w:val="single" w:sz="4" w:space="0" w:color="auto"/>
              <w:bottom w:val="nil"/>
              <w:right w:val="single" w:sz="4" w:space="0" w:color="000000"/>
            </w:tcBorders>
            <w:shd w:val="clear" w:color="auto" w:fill="A6A6A6"/>
            <w:vAlign w:val="bottom"/>
            <w:hideMark/>
          </w:tcPr>
          <w:p w14:paraId="3755E17E" w14:textId="77777777" w:rsidR="00170E49" w:rsidRPr="00491DCB" w:rsidRDefault="00170E49" w:rsidP="002F131C">
            <w:pPr>
              <w:jc w:val="center"/>
              <w:rPr>
                <w:rFonts w:ascii="Montserrat Medium" w:eastAsia="Times New Roman" w:hAnsi="Montserrat Medium" w:cs="Futura Medium"/>
                <w:b/>
                <w:sz w:val="16"/>
                <w:szCs w:val="17"/>
                <w:lang w:val="es-MX" w:eastAsia="es-MX"/>
              </w:rPr>
            </w:pPr>
            <w:r w:rsidRPr="00491DCB">
              <w:rPr>
                <w:rFonts w:ascii="Montserrat Medium" w:eastAsia="Times New Roman" w:hAnsi="Montserrat Medium" w:cs="Futura Medium"/>
                <w:b/>
                <w:bCs/>
                <w:sz w:val="16"/>
                <w:szCs w:val="17"/>
                <w:lang w:val="es-MX" w:eastAsia="es-MX"/>
              </w:rPr>
              <w:t>Deuda Pública a largo plazo y su porción circulante</w:t>
            </w:r>
          </w:p>
        </w:tc>
      </w:tr>
      <w:tr w:rsidR="00170E49" w:rsidRPr="00491DCB" w14:paraId="52031A29" w14:textId="77777777" w:rsidTr="00170E49">
        <w:trPr>
          <w:trHeight w:val="151"/>
          <w:tblHeader/>
          <w:jc w:val="center"/>
        </w:trPr>
        <w:tc>
          <w:tcPr>
            <w:tcW w:w="10065" w:type="dxa"/>
            <w:gridSpan w:val="7"/>
            <w:tcBorders>
              <w:top w:val="nil"/>
              <w:left w:val="single" w:sz="4" w:space="0" w:color="auto"/>
              <w:bottom w:val="nil"/>
              <w:right w:val="single" w:sz="4" w:space="0" w:color="000000"/>
            </w:tcBorders>
            <w:shd w:val="clear" w:color="auto" w:fill="A6A6A6"/>
            <w:vAlign w:val="bottom"/>
            <w:hideMark/>
          </w:tcPr>
          <w:p w14:paraId="60CA754E" w14:textId="648E9352" w:rsidR="00170E49" w:rsidRPr="00491DCB" w:rsidRDefault="00170E49" w:rsidP="00491DCB">
            <w:pPr>
              <w:jc w:val="center"/>
              <w:rPr>
                <w:rFonts w:ascii="Montserrat Medium" w:eastAsia="Times New Roman" w:hAnsi="Montserrat Medium" w:cs="Futura Medium"/>
                <w:sz w:val="16"/>
                <w:szCs w:val="17"/>
                <w:lang w:val="es-MX" w:eastAsia="es-MX"/>
              </w:rPr>
            </w:pPr>
            <w:r w:rsidRPr="00491DCB">
              <w:rPr>
                <w:rFonts w:ascii="Montserrat Medium" w:eastAsia="Times New Roman" w:hAnsi="Montserrat Medium" w:cs="Futura Medium"/>
                <w:sz w:val="16"/>
                <w:szCs w:val="17"/>
                <w:lang w:val="es-MX" w:eastAsia="es-MX"/>
              </w:rPr>
              <w:t>Al 3</w:t>
            </w:r>
            <w:r w:rsidR="00491DCB">
              <w:rPr>
                <w:rFonts w:ascii="Montserrat Medium" w:eastAsia="Times New Roman" w:hAnsi="Montserrat Medium" w:cs="Futura Medium"/>
                <w:sz w:val="16"/>
                <w:szCs w:val="17"/>
                <w:lang w:val="es-MX" w:eastAsia="es-MX"/>
              </w:rPr>
              <w:t>0</w:t>
            </w:r>
            <w:r w:rsidRPr="00491DCB">
              <w:rPr>
                <w:rFonts w:ascii="Montserrat Medium" w:eastAsia="Times New Roman" w:hAnsi="Montserrat Medium" w:cs="Futura Medium"/>
                <w:sz w:val="16"/>
                <w:szCs w:val="17"/>
                <w:lang w:val="es-MX" w:eastAsia="es-MX"/>
              </w:rPr>
              <w:t xml:space="preserve"> de </w:t>
            </w:r>
            <w:r w:rsidR="00491DCB">
              <w:rPr>
                <w:rFonts w:ascii="Montserrat Medium" w:eastAsia="Times New Roman" w:hAnsi="Montserrat Medium" w:cs="Futura Medium"/>
                <w:sz w:val="16"/>
                <w:szCs w:val="17"/>
                <w:lang w:val="es-MX" w:eastAsia="es-MX"/>
              </w:rPr>
              <w:t>junio</w:t>
            </w:r>
            <w:r w:rsidRPr="00491DCB">
              <w:rPr>
                <w:rFonts w:ascii="Montserrat Medium" w:eastAsia="Times New Roman" w:hAnsi="Montserrat Medium" w:cs="Futura Medium"/>
                <w:sz w:val="16"/>
                <w:szCs w:val="17"/>
                <w:lang w:val="es-MX" w:eastAsia="es-MX"/>
              </w:rPr>
              <w:t xml:space="preserve"> de 2025 y al 31 de diciembre de 2024</w:t>
            </w:r>
          </w:p>
        </w:tc>
      </w:tr>
      <w:tr w:rsidR="00170E49" w:rsidRPr="00491DCB" w14:paraId="580E4656" w14:textId="77777777" w:rsidTr="00170E49">
        <w:trPr>
          <w:trHeight w:val="151"/>
          <w:tblHeader/>
          <w:jc w:val="center"/>
        </w:trPr>
        <w:tc>
          <w:tcPr>
            <w:tcW w:w="10065" w:type="dxa"/>
            <w:gridSpan w:val="7"/>
            <w:tcBorders>
              <w:top w:val="nil"/>
              <w:left w:val="single" w:sz="4" w:space="0" w:color="auto"/>
              <w:bottom w:val="single" w:sz="4" w:space="0" w:color="auto"/>
              <w:right w:val="single" w:sz="4" w:space="0" w:color="000000"/>
            </w:tcBorders>
            <w:shd w:val="clear" w:color="auto" w:fill="A6A6A6"/>
            <w:vAlign w:val="bottom"/>
            <w:hideMark/>
          </w:tcPr>
          <w:p w14:paraId="5C0F7527" w14:textId="77777777" w:rsidR="00170E49" w:rsidRPr="00491DCB" w:rsidRDefault="00170E49" w:rsidP="002F131C">
            <w:pPr>
              <w:jc w:val="center"/>
              <w:rPr>
                <w:rFonts w:ascii="Montserrat Medium" w:eastAsia="Times New Roman" w:hAnsi="Montserrat Medium" w:cs="Futura Medium"/>
                <w:sz w:val="16"/>
                <w:szCs w:val="17"/>
                <w:lang w:val="es-MX" w:eastAsia="es-MX"/>
              </w:rPr>
            </w:pPr>
            <w:r w:rsidRPr="00491DCB">
              <w:rPr>
                <w:rFonts w:ascii="Montserrat Medium" w:eastAsia="Times New Roman" w:hAnsi="Montserrat Medium" w:cs="Futura Medium"/>
                <w:sz w:val="16"/>
                <w:szCs w:val="17"/>
                <w:lang w:val="es-MX" w:eastAsia="es-MX"/>
              </w:rPr>
              <w:t>(Cifras en pesos)</w:t>
            </w:r>
          </w:p>
        </w:tc>
      </w:tr>
      <w:tr w:rsidR="00170E49" w:rsidRPr="00491DCB" w14:paraId="79CACE87" w14:textId="77777777" w:rsidTr="00A60187">
        <w:trPr>
          <w:trHeight w:val="151"/>
          <w:tblHeader/>
          <w:jc w:val="center"/>
        </w:trPr>
        <w:tc>
          <w:tcPr>
            <w:tcW w:w="1169" w:type="dxa"/>
            <w:vMerge w:val="restart"/>
            <w:tcBorders>
              <w:top w:val="nil"/>
              <w:left w:val="single" w:sz="4" w:space="0" w:color="auto"/>
              <w:bottom w:val="single" w:sz="4" w:space="0" w:color="000000"/>
              <w:right w:val="single" w:sz="4" w:space="0" w:color="auto"/>
            </w:tcBorders>
            <w:shd w:val="clear" w:color="auto" w:fill="D9D9D9"/>
            <w:vAlign w:val="center"/>
            <w:hideMark/>
          </w:tcPr>
          <w:p w14:paraId="36AD4409" w14:textId="77777777" w:rsidR="00170E49" w:rsidRPr="00491DCB" w:rsidRDefault="00170E49" w:rsidP="002F131C">
            <w:pPr>
              <w:jc w:val="center"/>
              <w:rPr>
                <w:rFonts w:ascii="Montserrat Medium" w:eastAsia="Times New Roman" w:hAnsi="Montserrat Medium" w:cs="Futura Medium"/>
                <w:bCs/>
                <w:sz w:val="16"/>
                <w:szCs w:val="17"/>
                <w:lang w:val="es-MX" w:eastAsia="es-MX"/>
              </w:rPr>
            </w:pPr>
            <w:r w:rsidRPr="00491DCB">
              <w:rPr>
                <w:rFonts w:ascii="Montserrat Medium" w:eastAsia="Times New Roman" w:hAnsi="Montserrat Medium" w:cs="Futura Medium"/>
                <w:bCs/>
                <w:sz w:val="16"/>
                <w:szCs w:val="17"/>
                <w:lang w:val="es-MX" w:eastAsia="es-MX"/>
              </w:rPr>
              <w:t>Institución bancaria</w:t>
            </w:r>
          </w:p>
        </w:tc>
        <w:tc>
          <w:tcPr>
            <w:tcW w:w="4351" w:type="dxa"/>
            <w:gridSpan w:val="3"/>
            <w:tcBorders>
              <w:top w:val="single" w:sz="4" w:space="0" w:color="auto"/>
              <w:left w:val="nil"/>
              <w:bottom w:val="single" w:sz="4" w:space="0" w:color="auto"/>
              <w:right w:val="single" w:sz="4" w:space="0" w:color="auto"/>
            </w:tcBorders>
            <w:shd w:val="clear" w:color="auto" w:fill="D9D9D9"/>
            <w:vAlign w:val="center"/>
            <w:hideMark/>
          </w:tcPr>
          <w:p w14:paraId="3017CB3D" w14:textId="77777777" w:rsidR="00170E49" w:rsidRPr="00491DCB" w:rsidRDefault="00170E49" w:rsidP="002F131C">
            <w:pPr>
              <w:jc w:val="center"/>
              <w:rPr>
                <w:rFonts w:ascii="Montserrat Medium" w:eastAsia="Times New Roman" w:hAnsi="Montserrat Medium" w:cs="Futura Medium"/>
                <w:bCs/>
                <w:sz w:val="16"/>
                <w:szCs w:val="17"/>
                <w:lang w:val="es-MX" w:eastAsia="es-MX"/>
              </w:rPr>
            </w:pPr>
            <w:r w:rsidRPr="00491DCB">
              <w:rPr>
                <w:rFonts w:ascii="Montserrat Medium" w:eastAsia="Times New Roman" w:hAnsi="Montserrat Medium" w:cs="Futura Medium"/>
                <w:bCs/>
                <w:sz w:val="16"/>
                <w:szCs w:val="17"/>
                <w:lang w:val="es-MX" w:eastAsia="es-MX"/>
              </w:rPr>
              <w:t>2025</w:t>
            </w:r>
          </w:p>
        </w:tc>
        <w:tc>
          <w:tcPr>
            <w:tcW w:w="4545" w:type="dxa"/>
            <w:gridSpan w:val="3"/>
            <w:tcBorders>
              <w:top w:val="single" w:sz="4" w:space="0" w:color="auto"/>
              <w:left w:val="nil"/>
              <w:bottom w:val="single" w:sz="4" w:space="0" w:color="auto"/>
              <w:right w:val="single" w:sz="4" w:space="0" w:color="auto"/>
            </w:tcBorders>
            <w:shd w:val="clear" w:color="auto" w:fill="D9D9D9"/>
            <w:vAlign w:val="center"/>
            <w:hideMark/>
          </w:tcPr>
          <w:p w14:paraId="1BDC9EF5" w14:textId="77777777" w:rsidR="00170E49" w:rsidRPr="00491DCB" w:rsidRDefault="00170E49" w:rsidP="002F131C">
            <w:pPr>
              <w:jc w:val="center"/>
              <w:rPr>
                <w:rFonts w:ascii="Montserrat Medium" w:eastAsia="Times New Roman" w:hAnsi="Montserrat Medium" w:cs="Futura Medium"/>
                <w:bCs/>
                <w:sz w:val="16"/>
                <w:szCs w:val="17"/>
                <w:lang w:val="es-MX" w:eastAsia="es-MX"/>
              </w:rPr>
            </w:pPr>
            <w:r w:rsidRPr="00491DCB">
              <w:rPr>
                <w:rFonts w:ascii="Montserrat Medium" w:eastAsia="Times New Roman" w:hAnsi="Montserrat Medium" w:cs="Futura Medium"/>
                <w:bCs/>
                <w:sz w:val="16"/>
                <w:szCs w:val="17"/>
                <w:lang w:val="es-MX" w:eastAsia="es-MX"/>
              </w:rPr>
              <w:t>2024</w:t>
            </w:r>
          </w:p>
        </w:tc>
      </w:tr>
      <w:tr w:rsidR="00170E49" w:rsidRPr="00491DCB" w14:paraId="5F26BD83" w14:textId="77777777" w:rsidTr="00A60187">
        <w:trPr>
          <w:trHeight w:val="481"/>
          <w:tblHeader/>
          <w:jc w:val="center"/>
        </w:trPr>
        <w:tc>
          <w:tcPr>
            <w:tcW w:w="1169" w:type="dxa"/>
            <w:vMerge/>
            <w:tcBorders>
              <w:top w:val="nil"/>
              <w:left w:val="single" w:sz="4" w:space="0" w:color="auto"/>
              <w:bottom w:val="single" w:sz="4" w:space="0" w:color="000000"/>
              <w:right w:val="single" w:sz="4" w:space="0" w:color="auto"/>
            </w:tcBorders>
            <w:shd w:val="clear" w:color="auto" w:fill="D9D9D9"/>
            <w:vAlign w:val="center"/>
            <w:hideMark/>
          </w:tcPr>
          <w:p w14:paraId="746213B7" w14:textId="77777777" w:rsidR="00170E49" w:rsidRPr="00491DCB" w:rsidRDefault="00170E49" w:rsidP="002F131C">
            <w:pPr>
              <w:rPr>
                <w:rFonts w:ascii="Montserrat Medium" w:eastAsia="Times New Roman" w:hAnsi="Montserrat Medium" w:cs="Futura Medium"/>
                <w:bCs/>
                <w:sz w:val="16"/>
                <w:szCs w:val="17"/>
                <w:lang w:val="es-MX" w:eastAsia="es-MX"/>
              </w:rPr>
            </w:pPr>
          </w:p>
        </w:tc>
        <w:tc>
          <w:tcPr>
            <w:tcW w:w="1217" w:type="dxa"/>
            <w:tcBorders>
              <w:top w:val="nil"/>
              <w:left w:val="nil"/>
              <w:bottom w:val="single" w:sz="4" w:space="0" w:color="auto"/>
              <w:right w:val="single" w:sz="4" w:space="0" w:color="auto"/>
            </w:tcBorders>
            <w:shd w:val="clear" w:color="auto" w:fill="D9D9D9"/>
            <w:vAlign w:val="center"/>
            <w:hideMark/>
          </w:tcPr>
          <w:p w14:paraId="719B4B4A" w14:textId="77777777" w:rsidR="00170E49" w:rsidRPr="00491DCB" w:rsidRDefault="00170E49" w:rsidP="002F131C">
            <w:pPr>
              <w:jc w:val="center"/>
              <w:rPr>
                <w:rFonts w:ascii="Montserrat Medium" w:eastAsia="Times New Roman" w:hAnsi="Montserrat Medium" w:cs="Futura Medium"/>
                <w:bCs/>
                <w:sz w:val="16"/>
                <w:szCs w:val="17"/>
                <w:lang w:val="es-MX" w:eastAsia="es-MX"/>
              </w:rPr>
            </w:pPr>
            <w:r w:rsidRPr="00491DCB">
              <w:rPr>
                <w:rFonts w:ascii="Montserrat Medium" w:eastAsia="Times New Roman" w:hAnsi="Montserrat Medium" w:cs="Futura Medium"/>
                <w:bCs/>
                <w:sz w:val="16"/>
                <w:szCs w:val="17"/>
                <w:lang w:val="es-MX" w:eastAsia="es-MX"/>
              </w:rPr>
              <w:t>Porción circulante de la deuda pública a largo plazo</w:t>
            </w:r>
          </w:p>
        </w:tc>
        <w:tc>
          <w:tcPr>
            <w:tcW w:w="1563" w:type="dxa"/>
            <w:tcBorders>
              <w:top w:val="nil"/>
              <w:left w:val="nil"/>
              <w:bottom w:val="single" w:sz="4" w:space="0" w:color="auto"/>
              <w:right w:val="single" w:sz="4" w:space="0" w:color="auto"/>
            </w:tcBorders>
            <w:shd w:val="clear" w:color="auto" w:fill="D9D9D9"/>
            <w:vAlign w:val="center"/>
            <w:hideMark/>
          </w:tcPr>
          <w:p w14:paraId="6DA440CE" w14:textId="77777777" w:rsidR="00170E49" w:rsidRPr="00491DCB" w:rsidRDefault="00170E49" w:rsidP="002F131C">
            <w:pPr>
              <w:jc w:val="center"/>
              <w:rPr>
                <w:rFonts w:ascii="Montserrat Medium" w:eastAsia="Times New Roman" w:hAnsi="Montserrat Medium" w:cs="Futura Medium"/>
                <w:bCs/>
                <w:sz w:val="16"/>
                <w:szCs w:val="17"/>
                <w:lang w:val="es-MX" w:eastAsia="es-MX"/>
              </w:rPr>
            </w:pPr>
            <w:r w:rsidRPr="00491DCB">
              <w:rPr>
                <w:rFonts w:ascii="Montserrat Medium" w:eastAsia="Times New Roman" w:hAnsi="Montserrat Medium" w:cs="Futura Medium"/>
                <w:bCs/>
                <w:sz w:val="16"/>
                <w:szCs w:val="17"/>
                <w:lang w:val="es-MX" w:eastAsia="es-MX"/>
              </w:rPr>
              <w:t>Deuda pública a largo plazo</w:t>
            </w:r>
          </w:p>
        </w:tc>
        <w:tc>
          <w:tcPr>
            <w:tcW w:w="1571" w:type="dxa"/>
            <w:tcBorders>
              <w:top w:val="nil"/>
              <w:left w:val="nil"/>
              <w:bottom w:val="single" w:sz="4" w:space="0" w:color="auto"/>
              <w:right w:val="single" w:sz="4" w:space="0" w:color="auto"/>
            </w:tcBorders>
            <w:shd w:val="clear" w:color="auto" w:fill="D9D9D9"/>
            <w:vAlign w:val="center"/>
            <w:hideMark/>
          </w:tcPr>
          <w:p w14:paraId="51570077" w14:textId="77777777" w:rsidR="00170E49" w:rsidRPr="00491DCB" w:rsidRDefault="00170E49" w:rsidP="002F131C">
            <w:pPr>
              <w:jc w:val="center"/>
              <w:rPr>
                <w:rFonts w:ascii="Montserrat Medium" w:eastAsia="Times New Roman" w:hAnsi="Montserrat Medium" w:cs="Futura Medium"/>
                <w:bCs/>
                <w:sz w:val="16"/>
                <w:szCs w:val="17"/>
                <w:lang w:val="es-MX" w:eastAsia="es-MX"/>
              </w:rPr>
            </w:pPr>
            <w:r w:rsidRPr="00491DCB">
              <w:rPr>
                <w:rFonts w:ascii="Montserrat Medium" w:eastAsia="Times New Roman" w:hAnsi="Montserrat Medium" w:cs="Futura Medium"/>
                <w:bCs/>
                <w:sz w:val="16"/>
                <w:szCs w:val="17"/>
                <w:lang w:val="es-MX" w:eastAsia="es-MX"/>
              </w:rPr>
              <w:t>Total de la deuda pública contratada a largo plazo</w:t>
            </w:r>
          </w:p>
        </w:tc>
        <w:tc>
          <w:tcPr>
            <w:tcW w:w="1279" w:type="dxa"/>
            <w:tcBorders>
              <w:top w:val="nil"/>
              <w:left w:val="nil"/>
              <w:bottom w:val="single" w:sz="4" w:space="0" w:color="auto"/>
              <w:right w:val="single" w:sz="4" w:space="0" w:color="auto"/>
            </w:tcBorders>
            <w:shd w:val="clear" w:color="auto" w:fill="D9D9D9"/>
            <w:vAlign w:val="center"/>
            <w:hideMark/>
          </w:tcPr>
          <w:p w14:paraId="11B9C926" w14:textId="77777777" w:rsidR="00170E49" w:rsidRPr="00491DCB" w:rsidRDefault="00170E49" w:rsidP="002F131C">
            <w:pPr>
              <w:jc w:val="center"/>
              <w:rPr>
                <w:rFonts w:ascii="Montserrat Medium" w:eastAsia="Times New Roman" w:hAnsi="Montserrat Medium" w:cs="Futura Medium"/>
                <w:bCs/>
                <w:sz w:val="16"/>
                <w:szCs w:val="17"/>
                <w:lang w:val="es-MX" w:eastAsia="es-MX"/>
              </w:rPr>
            </w:pPr>
            <w:r w:rsidRPr="00491DCB">
              <w:rPr>
                <w:rFonts w:ascii="Montserrat Medium" w:eastAsia="Times New Roman" w:hAnsi="Montserrat Medium" w:cs="Futura Medium"/>
                <w:bCs/>
                <w:sz w:val="16"/>
                <w:szCs w:val="17"/>
                <w:lang w:val="es-MX" w:eastAsia="es-MX"/>
              </w:rPr>
              <w:t>Porción circulante de la deuda pública a largo plazo</w:t>
            </w:r>
          </w:p>
        </w:tc>
        <w:tc>
          <w:tcPr>
            <w:tcW w:w="1589" w:type="dxa"/>
            <w:tcBorders>
              <w:top w:val="nil"/>
              <w:left w:val="nil"/>
              <w:bottom w:val="single" w:sz="4" w:space="0" w:color="auto"/>
              <w:right w:val="single" w:sz="4" w:space="0" w:color="auto"/>
            </w:tcBorders>
            <w:shd w:val="clear" w:color="auto" w:fill="D9D9D9"/>
            <w:vAlign w:val="center"/>
            <w:hideMark/>
          </w:tcPr>
          <w:p w14:paraId="1F666A35" w14:textId="77777777" w:rsidR="00170E49" w:rsidRPr="00491DCB" w:rsidRDefault="00170E49" w:rsidP="002F131C">
            <w:pPr>
              <w:jc w:val="center"/>
              <w:rPr>
                <w:rFonts w:ascii="Montserrat Medium" w:eastAsia="Times New Roman" w:hAnsi="Montserrat Medium" w:cs="Futura Medium"/>
                <w:bCs/>
                <w:sz w:val="16"/>
                <w:szCs w:val="17"/>
                <w:lang w:val="es-MX" w:eastAsia="es-MX"/>
              </w:rPr>
            </w:pPr>
            <w:r w:rsidRPr="00491DCB">
              <w:rPr>
                <w:rFonts w:ascii="Montserrat Medium" w:eastAsia="Times New Roman" w:hAnsi="Montserrat Medium" w:cs="Futura Medium"/>
                <w:bCs/>
                <w:sz w:val="16"/>
                <w:szCs w:val="17"/>
                <w:lang w:val="es-MX" w:eastAsia="es-MX"/>
              </w:rPr>
              <w:t>Deuda pública a largo plazo</w:t>
            </w:r>
          </w:p>
        </w:tc>
        <w:tc>
          <w:tcPr>
            <w:tcW w:w="1677" w:type="dxa"/>
            <w:tcBorders>
              <w:top w:val="nil"/>
              <w:left w:val="nil"/>
              <w:bottom w:val="single" w:sz="4" w:space="0" w:color="auto"/>
              <w:right w:val="single" w:sz="4" w:space="0" w:color="auto"/>
            </w:tcBorders>
            <w:shd w:val="clear" w:color="auto" w:fill="D9D9D9"/>
            <w:vAlign w:val="center"/>
            <w:hideMark/>
          </w:tcPr>
          <w:p w14:paraId="37053DF5" w14:textId="77777777" w:rsidR="00170E49" w:rsidRPr="00491DCB" w:rsidRDefault="00170E49" w:rsidP="002F131C">
            <w:pPr>
              <w:jc w:val="center"/>
              <w:rPr>
                <w:rFonts w:ascii="Montserrat Medium" w:eastAsia="Times New Roman" w:hAnsi="Montserrat Medium" w:cs="Futura Medium"/>
                <w:bCs/>
                <w:sz w:val="16"/>
                <w:szCs w:val="17"/>
                <w:lang w:val="es-MX" w:eastAsia="es-MX"/>
              </w:rPr>
            </w:pPr>
            <w:r w:rsidRPr="00491DCB">
              <w:rPr>
                <w:rFonts w:ascii="Montserrat Medium" w:eastAsia="Times New Roman" w:hAnsi="Montserrat Medium" w:cs="Futura Medium"/>
                <w:bCs/>
                <w:sz w:val="16"/>
                <w:szCs w:val="17"/>
                <w:lang w:val="es-MX" w:eastAsia="es-MX"/>
              </w:rPr>
              <w:t>Total de la deuda pública contratada a largo plazo</w:t>
            </w:r>
          </w:p>
        </w:tc>
      </w:tr>
      <w:tr w:rsidR="00491DCB" w:rsidRPr="00491DCB" w14:paraId="70E0672C" w14:textId="77777777" w:rsidTr="00A60187">
        <w:trPr>
          <w:trHeight w:val="151"/>
          <w:tblHeader/>
          <w:jc w:val="center"/>
        </w:trPr>
        <w:tc>
          <w:tcPr>
            <w:tcW w:w="1169" w:type="dxa"/>
            <w:tcBorders>
              <w:top w:val="nil"/>
              <w:left w:val="single" w:sz="4" w:space="0" w:color="auto"/>
              <w:bottom w:val="nil"/>
              <w:right w:val="nil"/>
            </w:tcBorders>
            <w:shd w:val="clear" w:color="auto" w:fill="auto"/>
            <w:vAlign w:val="bottom"/>
          </w:tcPr>
          <w:p w14:paraId="6C413ECD" w14:textId="77777777" w:rsidR="00491DCB" w:rsidRPr="00491DCB" w:rsidRDefault="00491DCB" w:rsidP="002F131C">
            <w:pPr>
              <w:rPr>
                <w:rFonts w:ascii="Montserrat Medium" w:eastAsia="Times New Roman" w:hAnsi="Montserrat Medium" w:cs="Futura Medium"/>
                <w:sz w:val="16"/>
                <w:szCs w:val="16"/>
                <w:lang w:val="es-MX" w:eastAsia="es-MX"/>
              </w:rPr>
            </w:pPr>
            <w:r w:rsidRPr="00491DCB">
              <w:rPr>
                <w:rFonts w:ascii="Montserrat Medium" w:eastAsia="Times New Roman" w:hAnsi="Montserrat Medium" w:cs="Futura Medium"/>
                <w:sz w:val="16"/>
                <w:szCs w:val="16"/>
                <w:lang w:val="es-MX" w:eastAsia="es-MX"/>
              </w:rPr>
              <w:t xml:space="preserve">Banco Mercantil del Norte, S.A. 3,000 </w:t>
            </w:r>
            <w:proofErr w:type="spellStart"/>
            <w:r w:rsidRPr="00491DCB">
              <w:rPr>
                <w:rFonts w:ascii="Montserrat Medium" w:eastAsia="Times New Roman" w:hAnsi="Montserrat Medium" w:cs="Futura Medium"/>
                <w:sz w:val="16"/>
                <w:szCs w:val="16"/>
                <w:lang w:val="es-MX" w:eastAsia="es-MX"/>
              </w:rPr>
              <w:t>Mdp</w:t>
            </w:r>
            <w:proofErr w:type="spellEnd"/>
            <w:r w:rsidRPr="00491DCB">
              <w:rPr>
                <w:rFonts w:ascii="Montserrat Medium" w:eastAsia="Times New Roman" w:hAnsi="Montserrat Medium" w:cs="Futura Medium"/>
                <w:sz w:val="16"/>
                <w:szCs w:val="15"/>
                <w:vertAlign w:val="superscript"/>
                <w:lang w:val="es-MX" w:eastAsia="es-MX"/>
              </w:rPr>
              <w:t>(1)</w:t>
            </w:r>
          </w:p>
        </w:tc>
        <w:tc>
          <w:tcPr>
            <w:tcW w:w="1217" w:type="dxa"/>
            <w:tcBorders>
              <w:top w:val="nil"/>
              <w:left w:val="single" w:sz="4" w:space="0" w:color="auto"/>
              <w:bottom w:val="nil"/>
              <w:right w:val="single" w:sz="4" w:space="0" w:color="auto"/>
            </w:tcBorders>
            <w:shd w:val="clear" w:color="auto" w:fill="auto"/>
          </w:tcPr>
          <w:p w14:paraId="1E13341D" w14:textId="19D6318D" w:rsidR="00491DCB" w:rsidRPr="00491DCB" w:rsidRDefault="00491DCB" w:rsidP="002F131C">
            <w:pPr>
              <w:jc w:val="right"/>
              <w:rPr>
                <w:rFonts w:ascii="Montserrat Medium" w:eastAsia="Times New Roman" w:hAnsi="Montserrat Medium" w:cs="Futura Medium"/>
                <w:sz w:val="16"/>
                <w:szCs w:val="16"/>
                <w:lang w:val="es-MX" w:eastAsia="es-MX"/>
              </w:rPr>
            </w:pPr>
            <w:r w:rsidRPr="00491DCB">
              <w:rPr>
                <w:rFonts w:ascii="Montserrat Medium" w:eastAsia="Times New Roman" w:hAnsi="Montserrat Medium" w:cs="Futura Medium"/>
                <w:sz w:val="16"/>
                <w:szCs w:val="16"/>
                <w:lang w:val="es-MX" w:eastAsia="es-MX"/>
              </w:rPr>
              <w:t>13,290,147.00</w:t>
            </w:r>
          </w:p>
        </w:tc>
        <w:tc>
          <w:tcPr>
            <w:tcW w:w="1563" w:type="dxa"/>
            <w:tcBorders>
              <w:top w:val="nil"/>
              <w:left w:val="nil"/>
              <w:bottom w:val="nil"/>
              <w:right w:val="single" w:sz="4" w:space="0" w:color="auto"/>
            </w:tcBorders>
            <w:shd w:val="clear" w:color="auto" w:fill="auto"/>
          </w:tcPr>
          <w:p w14:paraId="61C2F6E7" w14:textId="761243E5" w:rsidR="00491DCB" w:rsidRPr="00491DCB" w:rsidRDefault="00491DCB" w:rsidP="002F131C">
            <w:pPr>
              <w:jc w:val="right"/>
              <w:rPr>
                <w:rFonts w:ascii="Montserrat Medium" w:eastAsia="Times New Roman" w:hAnsi="Montserrat Medium" w:cs="Futura Medium"/>
                <w:sz w:val="16"/>
                <w:szCs w:val="16"/>
                <w:lang w:val="es-MX" w:eastAsia="es-MX"/>
              </w:rPr>
            </w:pPr>
            <w:r w:rsidRPr="00491DCB">
              <w:rPr>
                <w:rFonts w:ascii="Montserrat Medium" w:eastAsia="Times New Roman" w:hAnsi="Montserrat Medium" w:cs="Futura Medium"/>
                <w:sz w:val="16"/>
                <w:szCs w:val="16"/>
                <w:lang w:val="es-MX" w:eastAsia="es-MX"/>
              </w:rPr>
              <w:t>2,973,596,591.00</w:t>
            </w:r>
          </w:p>
        </w:tc>
        <w:tc>
          <w:tcPr>
            <w:tcW w:w="1571" w:type="dxa"/>
            <w:tcBorders>
              <w:top w:val="nil"/>
              <w:left w:val="nil"/>
              <w:bottom w:val="nil"/>
              <w:right w:val="single" w:sz="4" w:space="0" w:color="auto"/>
            </w:tcBorders>
            <w:shd w:val="clear" w:color="auto" w:fill="auto"/>
          </w:tcPr>
          <w:p w14:paraId="0F86E8DE" w14:textId="2D0EE8A7" w:rsidR="00491DCB" w:rsidRPr="00491DCB" w:rsidRDefault="00491DCB" w:rsidP="002F131C">
            <w:pPr>
              <w:jc w:val="right"/>
              <w:rPr>
                <w:rFonts w:ascii="Montserrat Medium" w:eastAsia="Times New Roman" w:hAnsi="Montserrat Medium" w:cs="Futura Medium"/>
                <w:sz w:val="16"/>
                <w:szCs w:val="16"/>
                <w:lang w:val="es-MX" w:eastAsia="es-MX"/>
              </w:rPr>
            </w:pPr>
            <w:r w:rsidRPr="00491DCB">
              <w:rPr>
                <w:rFonts w:ascii="Montserrat Medium" w:eastAsia="Times New Roman" w:hAnsi="Montserrat Medium" w:cs="Futura Medium"/>
                <w:sz w:val="16"/>
                <w:szCs w:val="16"/>
                <w:lang w:val="es-MX" w:eastAsia="es-MX"/>
              </w:rPr>
              <w:t>2,986,886,738.00</w:t>
            </w:r>
          </w:p>
        </w:tc>
        <w:tc>
          <w:tcPr>
            <w:tcW w:w="1279" w:type="dxa"/>
            <w:tcBorders>
              <w:top w:val="nil"/>
              <w:left w:val="nil"/>
              <w:bottom w:val="nil"/>
              <w:right w:val="single" w:sz="4" w:space="0" w:color="auto"/>
            </w:tcBorders>
            <w:shd w:val="clear" w:color="auto" w:fill="auto"/>
          </w:tcPr>
          <w:p w14:paraId="45A0442C" w14:textId="77777777" w:rsidR="00491DCB" w:rsidRPr="00491DCB" w:rsidRDefault="00491DCB" w:rsidP="002F131C">
            <w:pPr>
              <w:jc w:val="right"/>
              <w:rPr>
                <w:rFonts w:ascii="Montserrat Medium" w:eastAsia="Times New Roman" w:hAnsi="Montserrat Medium" w:cs="Futura Medium"/>
                <w:sz w:val="16"/>
                <w:szCs w:val="17"/>
                <w:lang w:val="es-MX" w:eastAsia="es-MX"/>
              </w:rPr>
            </w:pPr>
            <w:r w:rsidRPr="00491DCB">
              <w:rPr>
                <w:rFonts w:ascii="Montserrat Medium" w:eastAsia="Times New Roman" w:hAnsi="Montserrat Medium" w:cs="Futura Medium"/>
                <w:sz w:val="16"/>
                <w:szCs w:val="17"/>
                <w:lang w:val="es-MX" w:eastAsia="es-MX"/>
              </w:rPr>
              <w:t>12,299,093.00</w:t>
            </w:r>
          </w:p>
        </w:tc>
        <w:tc>
          <w:tcPr>
            <w:tcW w:w="1589" w:type="dxa"/>
            <w:tcBorders>
              <w:top w:val="nil"/>
              <w:left w:val="nil"/>
              <w:bottom w:val="nil"/>
              <w:right w:val="single" w:sz="4" w:space="0" w:color="auto"/>
            </w:tcBorders>
            <w:shd w:val="clear" w:color="auto" w:fill="auto"/>
          </w:tcPr>
          <w:p w14:paraId="30641651" w14:textId="77777777" w:rsidR="00491DCB" w:rsidRPr="00491DCB" w:rsidRDefault="00491DCB" w:rsidP="002F131C">
            <w:pPr>
              <w:jc w:val="right"/>
              <w:rPr>
                <w:rFonts w:ascii="Montserrat Medium" w:eastAsia="Times New Roman" w:hAnsi="Montserrat Medium" w:cs="Futura Medium"/>
                <w:sz w:val="16"/>
                <w:szCs w:val="17"/>
                <w:lang w:val="es-MX" w:eastAsia="es-MX"/>
              </w:rPr>
            </w:pPr>
            <w:r w:rsidRPr="00491DCB">
              <w:rPr>
                <w:rFonts w:ascii="Montserrat Medium" w:eastAsia="Times New Roman" w:hAnsi="Montserrat Medium" w:cs="Futura Medium"/>
                <w:sz w:val="16"/>
                <w:szCs w:val="17"/>
                <w:lang w:val="es-MX" w:eastAsia="es-MX"/>
              </w:rPr>
              <w:t>2,980,499,024.00</w:t>
            </w:r>
          </w:p>
        </w:tc>
        <w:tc>
          <w:tcPr>
            <w:tcW w:w="1677" w:type="dxa"/>
            <w:tcBorders>
              <w:top w:val="nil"/>
              <w:left w:val="nil"/>
              <w:bottom w:val="nil"/>
              <w:right w:val="single" w:sz="4" w:space="0" w:color="auto"/>
            </w:tcBorders>
            <w:shd w:val="clear" w:color="auto" w:fill="auto"/>
          </w:tcPr>
          <w:p w14:paraId="0AB8DC19" w14:textId="77777777" w:rsidR="00491DCB" w:rsidRPr="00491DCB" w:rsidRDefault="00491DCB" w:rsidP="002F131C">
            <w:pPr>
              <w:jc w:val="right"/>
              <w:rPr>
                <w:rFonts w:ascii="Montserrat Medium" w:eastAsia="Times New Roman" w:hAnsi="Montserrat Medium" w:cs="Futura Medium"/>
                <w:sz w:val="16"/>
                <w:szCs w:val="17"/>
                <w:lang w:val="es-MX" w:eastAsia="es-MX"/>
              </w:rPr>
            </w:pPr>
            <w:r w:rsidRPr="00491DCB">
              <w:rPr>
                <w:rFonts w:ascii="Montserrat Medium" w:eastAsia="Times New Roman" w:hAnsi="Montserrat Medium" w:cs="Futura Medium"/>
                <w:sz w:val="16"/>
                <w:szCs w:val="17"/>
                <w:lang w:val="es-MX" w:eastAsia="es-MX"/>
              </w:rPr>
              <w:t>2,992,798,117.00</w:t>
            </w:r>
          </w:p>
        </w:tc>
      </w:tr>
      <w:tr w:rsidR="00491DCB" w:rsidRPr="00491DCB" w14:paraId="190FB3A2" w14:textId="77777777" w:rsidTr="00A60187">
        <w:trPr>
          <w:trHeight w:val="151"/>
          <w:tblHeader/>
          <w:jc w:val="center"/>
        </w:trPr>
        <w:tc>
          <w:tcPr>
            <w:tcW w:w="1169" w:type="dxa"/>
            <w:tcBorders>
              <w:top w:val="nil"/>
              <w:left w:val="single" w:sz="4" w:space="0" w:color="auto"/>
              <w:bottom w:val="nil"/>
              <w:right w:val="nil"/>
            </w:tcBorders>
            <w:shd w:val="clear" w:color="auto" w:fill="auto"/>
            <w:vAlign w:val="bottom"/>
          </w:tcPr>
          <w:p w14:paraId="6BE2F6BF" w14:textId="77777777" w:rsidR="00491DCB" w:rsidRPr="00491DCB" w:rsidRDefault="00491DCB" w:rsidP="002F131C">
            <w:pPr>
              <w:rPr>
                <w:rFonts w:ascii="Montserrat Medium" w:eastAsia="Times New Roman" w:hAnsi="Montserrat Medium" w:cs="Futura Medium"/>
                <w:sz w:val="16"/>
                <w:szCs w:val="16"/>
                <w:lang w:val="es-MX" w:eastAsia="es-MX"/>
              </w:rPr>
            </w:pPr>
            <w:r w:rsidRPr="00491DCB">
              <w:rPr>
                <w:rFonts w:ascii="Montserrat Medium" w:eastAsia="Times New Roman" w:hAnsi="Montserrat Medium" w:cs="Futura Medium"/>
                <w:sz w:val="16"/>
                <w:szCs w:val="16"/>
                <w:lang w:val="es-MX" w:eastAsia="es-MX"/>
              </w:rPr>
              <w:t xml:space="preserve">Banco Mercantil del Norte, S.A. 3,300 </w:t>
            </w:r>
            <w:proofErr w:type="spellStart"/>
            <w:r w:rsidRPr="00491DCB">
              <w:rPr>
                <w:rFonts w:ascii="Montserrat Medium" w:eastAsia="Times New Roman" w:hAnsi="Montserrat Medium" w:cs="Futura Medium"/>
                <w:sz w:val="16"/>
                <w:szCs w:val="16"/>
                <w:lang w:val="es-MX" w:eastAsia="es-MX"/>
              </w:rPr>
              <w:t>Mdp</w:t>
            </w:r>
            <w:proofErr w:type="spellEnd"/>
            <w:r w:rsidRPr="00491DCB">
              <w:rPr>
                <w:rFonts w:ascii="Montserrat Medium" w:eastAsia="Times New Roman" w:hAnsi="Montserrat Medium" w:cs="Futura Medium"/>
                <w:sz w:val="16"/>
                <w:szCs w:val="15"/>
                <w:vertAlign w:val="superscript"/>
                <w:lang w:val="es-MX" w:eastAsia="es-MX"/>
              </w:rPr>
              <w:t>(2)</w:t>
            </w:r>
          </w:p>
        </w:tc>
        <w:tc>
          <w:tcPr>
            <w:tcW w:w="1217" w:type="dxa"/>
            <w:tcBorders>
              <w:top w:val="nil"/>
              <w:left w:val="single" w:sz="4" w:space="0" w:color="auto"/>
              <w:bottom w:val="nil"/>
              <w:right w:val="single" w:sz="4" w:space="0" w:color="auto"/>
            </w:tcBorders>
            <w:shd w:val="clear" w:color="auto" w:fill="auto"/>
          </w:tcPr>
          <w:p w14:paraId="7D20EFA6" w14:textId="0C7BAA50" w:rsidR="00491DCB" w:rsidRPr="00491DCB" w:rsidRDefault="00491DCB" w:rsidP="002F131C">
            <w:pPr>
              <w:jc w:val="right"/>
              <w:rPr>
                <w:rFonts w:ascii="Montserrat Medium" w:eastAsia="Times New Roman" w:hAnsi="Montserrat Medium" w:cs="Futura Medium"/>
                <w:sz w:val="16"/>
                <w:szCs w:val="16"/>
                <w:lang w:val="es-MX" w:eastAsia="es-MX"/>
              </w:rPr>
            </w:pPr>
            <w:r w:rsidRPr="00491DCB">
              <w:rPr>
                <w:rFonts w:ascii="Montserrat Medium" w:eastAsia="Times New Roman" w:hAnsi="Montserrat Medium" w:cs="Futura Medium"/>
                <w:sz w:val="16"/>
                <w:szCs w:val="16"/>
                <w:lang w:val="es-MX" w:eastAsia="es-MX"/>
              </w:rPr>
              <w:t>14,619,162.00</w:t>
            </w:r>
          </w:p>
        </w:tc>
        <w:tc>
          <w:tcPr>
            <w:tcW w:w="1563" w:type="dxa"/>
            <w:tcBorders>
              <w:top w:val="nil"/>
              <w:left w:val="nil"/>
              <w:bottom w:val="nil"/>
              <w:right w:val="single" w:sz="4" w:space="0" w:color="auto"/>
            </w:tcBorders>
            <w:shd w:val="clear" w:color="auto" w:fill="auto"/>
          </w:tcPr>
          <w:p w14:paraId="7396B3A7" w14:textId="0EDC3266" w:rsidR="00491DCB" w:rsidRPr="00491DCB" w:rsidRDefault="00491DCB" w:rsidP="002F131C">
            <w:pPr>
              <w:jc w:val="right"/>
              <w:rPr>
                <w:rFonts w:ascii="Montserrat Medium" w:eastAsia="Times New Roman" w:hAnsi="Montserrat Medium" w:cs="Futura Medium"/>
                <w:sz w:val="16"/>
                <w:szCs w:val="16"/>
                <w:lang w:val="es-MX" w:eastAsia="es-MX"/>
              </w:rPr>
            </w:pPr>
            <w:r w:rsidRPr="00491DCB">
              <w:rPr>
                <w:rFonts w:ascii="Montserrat Medium" w:eastAsia="Times New Roman" w:hAnsi="Montserrat Medium" w:cs="Futura Medium"/>
                <w:sz w:val="16"/>
                <w:szCs w:val="16"/>
                <w:lang w:val="es-MX" w:eastAsia="es-MX"/>
              </w:rPr>
              <w:t>3,270,956,250.00</w:t>
            </w:r>
          </w:p>
        </w:tc>
        <w:tc>
          <w:tcPr>
            <w:tcW w:w="1571" w:type="dxa"/>
            <w:tcBorders>
              <w:top w:val="nil"/>
              <w:left w:val="nil"/>
              <w:bottom w:val="nil"/>
              <w:right w:val="single" w:sz="4" w:space="0" w:color="auto"/>
            </w:tcBorders>
            <w:shd w:val="clear" w:color="auto" w:fill="auto"/>
          </w:tcPr>
          <w:p w14:paraId="777713B6" w14:textId="28A5DCDE" w:rsidR="00491DCB" w:rsidRPr="00491DCB" w:rsidRDefault="00491DCB" w:rsidP="002F131C">
            <w:pPr>
              <w:jc w:val="right"/>
              <w:rPr>
                <w:rFonts w:ascii="Montserrat Medium" w:eastAsia="Times New Roman" w:hAnsi="Montserrat Medium" w:cs="Futura Medium"/>
                <w:sz w:val="16"/>
                <w:szCs w:val="16"/>
                <w:lang w:val="es-MX" w:eastAsia="es-MX"/>
              </w:rPr>
            </w:pPr>
            <w:r w:rsidRPr="00491DCB">
              <w:rPr>
                <w:rFonts w:ascii="Montserrat Medium" w:eastAsia="Times New Roman" w:hAnsi="Montserrat Medium" w:cs="Futura Medium"/>
                <w:sz w:val="16"/>
                <w:szCs w:val="16"/>
                <w:lang w:val="es-MX" w:eastAsia="es-MX"/>
              </w:rPr>
              <w:t>3,285,575,412.00</w:t>
            </w:r>
          </w:p>
        </w:tc>
        <w:tc>
          <w:tcPr>
            <w:tcW w:w="1279" w:type="dxa"/>
            <w:tcBorders>
              <w:top w:val="nil"/>
              <w:left w:val="nil"/>
              <w:bottom w:val="nil"/>
              <w:right w:val="single" w:sz="4" w:space="0" w:color="auto"/>
            </w:tcBorders>
            <w:shd w:val="clear" w:color="auto" w:fill="auto"/>
          </w:tcPr>
          <w:p w14:paraId="2E3C2BAC" w14:textId="77777777" w:rsidR="00491DCB" w:rsidRPr="00491DCB" w:rsidRDefault="00491DCB" w:rsidP="002F131C">
            <w:pPr>
              <w:jc w:val="right"/>
              <w:rPr>
                <w:rFonts w:ascii="Montserrat Medium" w:eastAsia="Times New Roman" w:hAnsi="Montserrat Medium" w:cs="Futura Medium"/>
                <w:sz w:val="16"/>
                <w:szCs w:val="17"/>
                <w:lang w:val="es-MX" w:eastAsia="es-MX"/>
              </w:rPr>
            </w:pPr>
            <w:r w:rsidRPr="00491DCB">
              <w:rPr>
                <w:rFonts w:ascii="Montserrat Medium" w:eastAsia="Times New Roman" w:hAnsi="Montserrat Medium" w:cs="Futura Medium"/>
                <w:sz w:val="16"/>
                <w:szCs w:val="17"/>
                <w:lang w:val="es-MX" w:eastAsia="es-MX"/>
              </w:rPr>
              <w:t>13,529,004.00</w:t>
            </w:r>
          </w:p>
        </w:tc>
        <w:tc>
          <w:tcPr>
            <w:tcW w:w="1589" w:type="dxa"/>
            <w:tcBorders>
              <w:top w:val="nil"/>
              <w:left w:val="nil"/>
              <w:bottom w:val="nil"/>
              <w:right w:val="single" w:sz="4" w:space="0" w:color="auto"/>
            </w:tcBorders>
            <w:shd w:val="clear" w:color="auto" w:fill="auto"/>
          </w:tcPr>
          <w:p w14:paraId="55643761" w14:textId="77777777" w:rsidR="00491DCB" w:rsidRPr="00491DCB" w:rsidRDefault="00491DCB" w:rsidP="002F131C">
            <w:pPr>
              <w:jc w:val="right"/>
              <w:rPr>
                <w:rFonts w:ascii="Montserrat Medium" w:eastAsia="Times New Roman" w:hAnsi="Montserrat Medium" w:cs="Futura Medium"/>
                <w:sz w:val="16"/>
                <w:szCs w:val="17"/>
                <w:lang w:val="es-MX" w:eastAsia="es-MX"/>
              </w:rPr>
            </w:pPr>
            <w:r w:rsidRPr="00491DCB">
              <w:rPr>
                <w:rFonts w:ascii="Montserrat Medium" w:eastAsia="Times New Roman" w:hAnsi="Montserrat Medium" w:cs="Futura Medium"/>
                <w:sz w:val="16"/>
                <w:szCs w:val="17"/>
                <w:lang w:val="es-MX" w:eastAsia="es-MX"/>
              </w:rPr>
              <w:t>3,278,548,926.00</w:t>
            </w:r>
          </w:p>
        </w:tc>
        <w:tc>
          <w:tcPr>
            <w:tcW w:w="1677" w:type="dxa"/>
            <w:tcBorders>
              <w:top w:val="nil"/>
              <w:left w:val="nil"/>
              <w:bottom w:val="nil"/>
              <w:right w:val="single" w:sz="4" w:space="0" w:color="auto"/>
            </w:tcBorders>
            <w:shd w:val="clear" w:color="auto" w:fill="auto"/>
          </w:tcPr>
          <w:p w14:paraId="00AD7289" w14:textId="77777777" w:rsidR="00491DCB" w:rsidRPr="00491DCB" w:rsidRDefault="00491DCB" w:rsidP="002F131C">
            <w:pPr>
              <w:jc w:val="right"/>
              <w:rPr>
                <w:rFonts w:ascii="Montserrat Medium" w:eastAsia="Times New Roman" w:hAnsi="Montserrat Medium" w:cs="Futura Medium"/>
                <w:sz w:val="16"/>
                <w:szCs w:val="17"/>
                <w:lang w:val="es-MX" w:eastAsia="es-MX"/>
              </w:rPr>
            </w:pPr>
            <w:r w:rsidRPr="00491DCB">
              <w:rPr>
                <w:rFonts w:ascii="Montserrat Medium" w:eastAsia="Times New Roman" w:hAnsi="Montserrat Medium" w:cs="Futura Medium"/>
                <w:sz w:val="16"/>
                <w:szCs w:val="17"/>
                <w:lang w:val="es-MX" w:eastAsia="es-MX"/>
              </w:rPr>
              <w:t>3,292,077,930.00</w:t>
            </w:r>
          </w:p>
        </w:tc>
      </w:tr>
      <w:tr w:rsidR="00491DCB" w:rsidRPr="00491DCB" w14:paraId="0782FE55" w14:textId="77777777" w:rsidTr="00A60187">
        <w:trPr>
          <w:trHeight w:val="151"/>
          <w:tblHeader/>
          <w:jc w:val="center"/>
        </w:trPr>
        <w:tc>
          <w:tcPr>
            <w:tcW w:w="1169" w:type="dxa"/>
            <w:tcBorders>
              <w:top w:val="nil"/>
              <w:left w:val="single" w:sz="4" w:space="0" w:color="auto"/>
              <w:bottom w:val="nil"/>
              <w:right w:val="nil"/>
            </w:tcBorders>
            <w:shd w:val="clear" w:color="auto" w:fill="auto"/>
            <w:vAlign w:val="bottom"/>
          </w:tcPr>
          <w:p w14:paraId="0A6B1ABC" w14:textId="49D46201" w:rsidR="00491DCB" w:rsidRPr="00491DCB" w:rsidRDefault="00C00037" w:rsidP="002F131C">
            <w:pPr>
              <w:rPr>
                <w:rFonts w:ascii="Montserrat Medium" w:eastAsia="Times New Roman" w:hAnsi="Montserrat Medium" w:cs="Futura Medium"/>
                <w:sz w:val="16"/>
                <w:szCs w:val="16"/>
                <w:lang w:val="es-MX" w:eastAsia="es-MX"/>
              </w:rPr>
            </w:pPr>
            <w:r>
              <w:rPr>
                <w:rFonts w:ascii="Montserrat Medium" w:eastAsia="Times New Roman" w:hAnsi="Montserrat Medium" w:cs="Futura Medium"/>
                <w:sz w:val="16"/>
                <w:szCs w:val="16"/>
                <w:lang w:val="es-MX" w:eastAsia="es-MX"/>
              </w:rPr>
              <w:t xml:space="preserve">BBVA México, S.A. 737 </w:t>
            </w:r>
            <w:proofErr w:type="spellStart"/>
            <w:r>
              <w:rPr>
                <w:rFonts w:ascii="Montserrat Medium" w:eastAsia="Times New Roman" w:hAnsi="Montserrat Medium" w:cs="Futura Medium"/>
                <w:sz w:val="16"/>
                <w:szCs w:val="16"/>
                <w:lang w:val="es-MX" w:eastAsia="es-MX"/>
              </w:rPr>
              <w:t>M</w:t>
            </w:r>
            <w:r w:rsidR="00491DCB" w:rsidRPr="00491DCB">
              <w:rPr>
                <w:rFonts w:ascii="Montserrat Medium" w:eastAsia="Times New Roman" w:hAnsi="Montserrat Medium" w:cs="Futura Medium"/>
                <w:sz w:val="16"/>
                <w:szCs w:val="16"/>
                <w:lang w:val="es-MX" w:eastAsia="es-MX"/>
              </w:rPr>
              <w:t>dp</w:t>
            </w:r>
            <w:proofErr w:type="spellEnd"/>
            <w:r w:rsidR="00491DCB" w:rsidRPr="00491DCB">
              <w:rPr>
                <w:rFonts w:ascii="Montserrat Medium" w:eastAsia="Times New Roman" w:hAnsi="Montserrat Medium" w:cs="Futura Medium"/>
                <w:sz w:val="16"/>
                <w:szCs w:val="16"/>
                <w:lang w:val="es-MX" w:eastAsia="es-MX"/>
              </w:rPr>
              <w:t xml:space="preserve"> *</w:t>
            </w:r>
            <w:r w:rsidR="00491DCB" w:rsidRPr="00491DCB">
              <w:rPr>
                <w:rFonts w:ascii="Montserrat Medium" w:eastAsia="Times New Roman" w:hAnsi="Montserrat Medium" w:cs="Futura Medium"/>
                <w:sz w:val="16"/>
                <w:szCs w:val="15"/>
                <w:vertAlign w:val="superscript"/>
                <w:lang w:val="es-MX" w:eastAsia="es-MX"/>
              </w:rPr>
              <w:t>(3)</w:t>
            </w:r>
          </w:p>
        </w:tc>
        <w:tc>
          <w:tcPr>
            <w:tcW w:w="1217" w:type="dxa"/>
            <w:tcBorders>
              <w:top w:val="nil"/>
              <w:left w:val="single" w:sz="4" w:space="0" w:color="auto"/>
              <w:bottom w:val="nil"/>
              <w:right w:val="single" w:sz="4" w:space="0" w:color="auto"/>
            </w:tcBorders>
            <w:shd w:val="clear" w:color="auto" w:fill="auto"/>
          </w:tcPr>
          <w:p w14:paraId="49ED44D9" w14:textId="5475F508" w:rsidR="00491DCB" w:rsidRPr="00491DCB" w:rsidRDefault="00491DCB" w:rsidP="002F131C">
            <w:pPr>
              <w:jc w:val="right"/>
              <w:rPr>
                <w:rFonts w:ascii="Montserrat Medium" w:eastAsia="Times New Roman" w:hAnsi="Montserrat Medium" w:cs="Futura Medium"/>
                <w:sz w:val="16"/>
                <w:szCs w:val="16"/>
                <w:lang w:val="es-MX" w:eastAsia="es-MX"/>
              </w:rPr>
            </w:pPr>
            <w:r w:rsidRPr="00491DCB">
              <w:rPr>
                <w:rFonts w:ascii="Montserrat Medium" w:eastAsia="Times New Roman" w:hAnsi="Montserrat Medium" w:cs="Futura Medium"/>
                <w:sz w:val="16"/>
                <w:szCs w:val="16"/>
                <w:lang w:val="es-MX" w:eastAsia="es-MX"/>
              </w:rPr>
              <w:t>3,265,561.19</w:t>
            </w:r>
          </w:p>
        </w:tc>
        <w:tc>
          <w:tcPr>
            <w:tcW w:w="1563" w:type="dxa"/>
            <w:tcBorders>
              <w:top w:val="nil"/>
              <w:left w:val="nil"/>
              <w:bottom w:val="nil"/>
              <w:right w:val="single" w:sz="4" w:space="0" w:color="auto"/>
            </w:tcBorders>
            <w:shd w:val="clear" w:color="auto" w:fill="auto"/>
          </w:tcPr>
          <w:p w14:paraId="2E7710E9" w14:textId="3622AEB7" w:rsidR="00491DCB" w:rsidRPr="00491DCB" w:rsidRDefault="00491DCB" w:rsidP="002F131C">
            <w:pPr>
              <w:jc w:val="right"/>
              <w:rPr>
                <w:rFonts w:ascii="Montserrat Medium" w:eastAsia="Times New Roman" w:hAnsi="Montserrat Medium" w:cs="Futura Medium"/>
                <w:sz w:val="16"/>
                <w:szCs w:val="16"/>
                <w:lang w:val="es-MX" w:eastAsia="es-MX"/>
              </w:rPr>
            </w:pPr>
            <w:r w:rsidRPr="00491DCB">
              <w:rPr>
                <w:rFonts w:ascii="Montserrat Medium" w:eastAsia="Times New Roman" w:hAnsi="Montserrat Medium" w:cs="Futura Medium"/>
                <w:sz w:val="16"/>
                <w:szCs w:val="16"/>
                <w:lang w:val="es-MX" w:eastAsia="es-MX"/>
              </w:rPr>
              <w:t>730,651,150.91</w:t>
            </w:r>
          </w:p>
        </w:tc>
        <w:tc>
          <w:tcPr>
            <w:tcW w:w="1571" w:type="dxa"/>
            <w:tcBorders>
              <w:top w:val="nil"/>
              <w:left w:val="nil"/>
              <w:bottom w:val="nil"/>
              <w:right w:val="single" w:sz="4" w:space="0" w:color="auto"/>
            </w:tcBorders>
            <w:shd w:val="clear" w:color="auto" w:fill="auto"/>
          </w:tcPr>
          <w:p w14:paraId="28D09529" w14:textId="5FFA7108" w:rsidR="00491DCB" w:rsidRPr="00491DCB" w:rsidRDefault="00491DCB" w:rsidP="002F131C">
            <w:pPr>
              <w:jc w:val="right"/>
              <w:rPr>
                <w:rFonts w:ascii="Montserrat Medium" w:eastAsia="Times New Roman" w:hAnsi="Montserrat Medium" w:cs="Futura Medium"/>
                <w:sz w:val="16"/>
                <w:szCs w:val="16"/>
                <w:lang w:val="es-MX" w:eastAsia="es-MX"/>
              </w:rPr>
            </w:pPr>
            <w:r w:rsidRPr="00491DCB">
              <w:rPr>
                <w:rFonts w:ascii="Montserrat Medium" w:eastAsia="Times New Roman" w:hAnsi="Montserrat Medium" w:cs="Futura Medium"/>
                <w:sz w:val="16"/>
                <w:szCs w:val="16"/>
                <w:lang w:val="es-MX" w:eastAsia="es-MX"/>
              </w:rPr>
              <w:t>733,916,712.10</w:t>
            </w:r>
          </w:p>
        </w:tc>
        <w:tc>
          <w:tcPr>
            <w:tcW w:w="1279" w:type="dxa"/>
            <w:tcBorders>
              <w:top w:val="nil"/>
              <w:left w:val="nil"/>
              <w:bottom w:val="nil"/>
              <w:right w:val="single" w:sz="4" w:space="0" w:color="auto"/>
            </w:tcBorders>
            <w:shd w:val="clear" w:color="auto" w:fill="auto"/>
          </w:tcPr>
          <w:p w14:paraId="64F7098E" w14:textId="77777777" w:rsidR="00491DCB" w:rsidRPr="00491DCB" w:rsidRDefault="00491DCB" w:rsidP="002F131C">
            <w:pPr>
              <w:jc w:val="right"/>
              <w:rPr>
                <w:rFonts w:ascii="Montserrat Medium" w:eastAsia="Times New Roman" w:hAnsi="Montserrat Medium" w:cs="Futura Medium"/>
                <w:sz w:val="16"/>
                <w:szCs w:val="17"/>
                <w:lang w:val="es-MX" w:eastAsia="es-MX"/>
              </w:rPr>
            </w:pPr>
            <w:r w:rsidRPr="00491DCB">
              <w:rPr>
                <w:rFonts w:ascii="Montserrat Medium" w:eastAsia="Times New Roman" w:hAnsi="Montserrat Medium" w:cs="Futura Medium"/>
                <w:sz w:val="16"/>
                <w:szCs w:val="17"/>
                <w:lang w:val="es-MX" w:eastAsia="es-MX"/>
              </w:rPr>
              <w:t>3,022,046.58</w:t>
            </w:r>
          </w:p>
        </w:tc>
        <w:tc>
          <w:tcPr>
            <w:tcW w:w="1589" w:type="dxa"/>
            <w:tcBorders>
              <w:top w:val="nil"/>
              <w:left w:val="nil"/>
              <w:bottom w:val="nil"/>
              <w:right w:val="single" w:sz="4" w:space="0" w:color="auto"/>
            </w:tcBorders>
            <w:shd w:val="clear" w:color="auto" w:fill="auto"/>
          </w:tcPr>
          <w:p w14:paraId="7436673F" w14:textId="77777777" w:rsidR="00491DCB" w:rsidRPr="00491DCB" w:rsidRDefault="00491DCB" w:rsidP="002F131C">
            <w:pPr>
              <w:jc w:val="right"/>
              <w:rPr>
                <w:rFonts w:ascii="Montserrat Medium" w:eastAsia="Times New Roman" w:hAnsi="Montserrat Medium" w:cs="Futura Medium"/>
                <w:sz w:val="16"/>
                <w:szCs w:val="17"/>
                <w:lang w:val="es-MX" w:eastAsia="es-MX"/>
              </w:rPr>
            </w:pPr>
            <w:r w:rsidRPr="00491DCB">
              <w:rPr>
                <w:rFonts w:ascii="Montserrat Medium" w:eastAsia="Times New Roman" w:hAnsi="Montserrat Medium" w:cs="Futura Medium"/>
                <w:sz w:val="16"/>
                <w:szCs w:val="17"/>
                <w:lang w:val="es-MX" w:eastAsia="es-MX"/>
              </w:rPr>
              <w:t>732,347,167.94</w:t>
            </w:r>
          </w:p>
        </w:tc>
        <w:tc>
          <w:tcPr>
            <w:tcW w:w="1677" w:type="dxa"/>
            <w:tcBorders>
              <w:top w:val="nil"/>
              <w:left w:val="nil"/>
              <w:bottom w:val="nil"/>
              <w:right w:val="single" w:sz="4" w:space="0" w:color="auto"/>
            </w:tcBorders>
            <w:shd w:val="clear" w:color="auto" w:fill="auto"/>
          </w:tcPr>
          <w:p w14:paraId="6623D3D8" w14:textId="77777777" w:rsidR="00491DCB" w:rsidRPr="00491DCB" w:rsidRDefault="00491DCB" w:rsidP="002F131C">
            <w:pPr>
              <w:jc w:val="right"/>
              <w:rPr>
                <w:rFonts w:ascii="Montserrat Medium" w:eastAsia="Times New Roman" w:hAnsi="Montserrat Medium" w:cs="Futura Medium"/>
                <w:sz w:val="16"/>
                <w:szCs w:val="17"/>
                <w:lang w:val="es-MX" w:eastAsia="es-MX"/>
              </w:rPr>
            </w:pPr>
            <w:r w:rsidRPr="00491DCB">
              <w:rPr>
                <w:rFonts w:ascii="Montserrat Medium" w:eastAsia="Times New Roman" w:hAnsi="Montserrat Medium" w:cs="Futura Medium"/>
                <w:sz w:val="16"/>
                <w:szCs w:val="17"/>
                <w:lang w:val="es-MX" w:eastAsia="es-MX"/>
              </w:rPr>
              <w:t>735,369,214.52</w:t>
            </w:r>
          </w:p>
        </w:tc>
      </w:tr>
      <w:tr w:rsidR="00491DCB" w:rsidRPr="00491DCB" w14:paraId="2D767D69" w14:textId="77777777" w:rsidTr="00A60187">
        <w:trPr>
          <w:trHeight w:val="151"/>
          <w:tblHeader/>
          <w:jc w:val="center"/>
        </w:trPr>
        <w:tc>
          <w:tcPr>
            <w:tcW w:w="1169" w:type="dxa"/>
            <w:tcBorders>
              <w:top w:val="nil"/>
              <w:left w:val="single" w:sz="4" w:space="0" w:color="auto"/>
              <w:bottom w:val="nil"/>
              <w:right w:val="nil"/>
            </w:tcBorders>
            <w:shd w:val="clear" w:color="auto" w:fill="auto"/>
            <w:vAlign w:val="bottom"/>
          </w:tcPr>
          <w:p w14:paraId="4763B5D4" w14:textId="77777777" w:rsidR="00491DCB" w:rsidRPr="00491DCB" w:rsidRDefault="00491DCB" w:rsidP="002F131C">
            <w:pPr>
              <w:rPr>
                <w:rFonts w:ascii="Montserrat Medium" w:eastAsia="Times New Roman" w:hAnsi="Montserrat Medium" w:cs="Futura Medium"/>
                <w:sz w:val="16"/>
                <w:szCs w:val="16"/>
                <w:lang w:val="es-MX" w:eastAsia="es-MX"/>
              </w:rPr>
            </w:pPr>
            <w:r w:rsidRPr="00491DCB">
              <w:rPr>
                <w:rFonts w:ascii="Montserrat Medium" w:eastAsia="Times New Roman" w:hAnsi="Montserrat Medium" w:cs="Futura Medium"/>
                <w:sz w:val="16"/>
                <w:szCs w:val="16"/>
                <w:lang w:val="es-MX" w:eastAsia="es-MX"/>
              </w:rPr>
              <w:t xml:space="preserve">Santander México, S.A. 1,500 </w:t>
            </w:r>
            <w:proofErr w:type="spellStart"/>
            <w:r w:rsidRPr="00491DCB">
              <w:rPr>
                <w:rFonts w:ascii="Montserrat Medium" w:eastAsia="Times New Roman" w:hAnsi="Montserrat Medium" w:cs="Futura Medium"/>
                <w:sz w:val="16"/>
                <w:szCs w:val="16"/>
                <w:lang w:val="es-MX" w:eastAsia="es-MX"/>
              </w:rPr>
              <w:t>Mdp</w:t>
            </w:r>
            <w:proofErr w:type="spellEnd"/>
            <w:r w:rsidRPr="00491DCB">
              <w:rPr>
                <w:rFonts w:ascii="Montserrat Medium" w:eastAsia="Times New Roman" w:hAnsi="Montserrat Medium" w:cs="Futura Medium"/>
                <w:sz w:val="16"/>
                <w:szCs w:val="15"/>
                <w:vertAlign w:val="superscript"/>
                <w:lang w:val="es-MX" w:eastAsia="es-MX"/>
              </w:rPr>
              <w:t>(4)</w:t>
            </w:r>
          </w:p>
        </w:tc>
        <w:tc>
          <w:tcPr>
            <w:tcW w:w="1217" w:type="dxa"/>
            <w:tcBorders>
              <w:top w:val="nil"/>
              <w:left w:val="single" w:sz="4" w:space="0" w:color="auto"/>
              <w:bottom w:val="nil"/>
              <w:right w:val="single" w:sz="4" w:space="0" w:color="auto"/>
            </w:tcBorders>
            <w:shd w:val="clear" w:color="auto" w:fill="auto"/>
          </w:tcPr>
          <w:p w14:paraId="574373A2" w14:textId="14BF8A33" w:rsidR="00491DCB" w:rsidRPr="00491DCB" w:rsidRDefault="00491DCB" w:rsidP="002F131C">
            <w:pPr>
              <w:jc w:val="right"/>
              <w:rPr>
                <w:rFonts w:ascii="Montserrat Medium" w:eastAsia="Times New Roman" w:hAnsi="Montserrat Medium" w:cs="Futura Medium"/>
                <w:sz w:val="16"/>
                <w:szCs w:val="16"/>
                <w:lang w:val="es-MX" w:eastAsia="es-MX"/>
              </w:rPr>
            </w:pPr>
            <w:r w:rsidRPr="00491DCB">
              <w:rPr>
                <w:rFonts w:ascii="Montserrat Medium" w:eastAsia="Times New Roman" w:hAnsi="Montserrat Medium" w:cs="Futura Medium"/>
                <w:sz w:val="16"/>
                <w:szCs w:val="16"/>
                <w:lang w:val="es-MX" w:eastAsia="es-MX"/>
              </w:rPr>
              <w:t>6,559,502.47</w:t>
            </w:r>
          </w:p>
        </w:tc>
        <w:tc>
          <w:tcPr>
            <w:tcW w:w="1563" w:type="dxa"/>
            <w:tcBorders>
              <w:top w:val="nil"/>
              <w:left w:val="nil"/>
              <w:bottom w:val="nil"/>
              <w:right w:val="single" w:sz="4" w:space="0" w:color="auto"/>
            </w:tcBorders>
            <w:shd w:val="clear" w:color="auto" w:fill="auto"/>
          </w:tcPr>
          <w:p w14:paraId="51B80416" w14:textId="2238EDD8" w:rsidR="00491DCB" w:rsidRPr="00491DCB" w:rsidRDefault="00491DCB" w:rsidP="002F131C">
            <w:pPr>
              <w:jc w:val="right"/>
              <w:rPr>
                <w:rFonts w:ascii="Montserrat Medium" w:eastAsia="Times New Roman" w:hAnsi="Montserrat Medium" w:cs="Futura Medium"/>
                <w:sz w:val="16"/>
                <w:szCs w:val="16"/>
                <w:lang w:val="es-MX" w:eastAsia="es-MX"/>
              </w:rPr>
            </w:pPr>
            <w:r w:rsidRPr="00491DCB">
              <w:rPr>
                <w:rFonts w:ascii="Montserrat Medium" w:eastAsia="Times New Roman" w:hAnsi="Montserrat Medium" w:cs="Futura Medium"/>
                <w:sz w:val="16"/>
                <w:szCs w:val="16"/>
                <w:lang w:val="es-MX" w:eastAsia="es-MX"/>
              </w:rPr>
              <w:t>1,448,231,271.38</w:t>
            </w:r>
          </w:p>
        </w:tc>
        <w:tc>
          <w:tcPr>
            <w:tcW w:w="1571" w:type="dxa"/>
            <w:tcBorders>
              <w:top w:val="nil"/>
              <w:left w:val="nil"/>
              <w:bottom w:val="nil"/>
              <w:right w:val="single" w:sz="4" w:space="0" w:color="auto"/>
            </w:tcBorders>
            <w:shd w:val="clear" w:color="auto" w:fill="auto"/>
          </w:tcPr>
          <w:p w14:paraId="1B81B1F6" w14:textId="6708B1D2" w:rsidR="00491DCB" w:rsidRPr="00491DCB" w:rsidRDefault="00491DCB" w:rsidP="002F131C">
            <w:pPr>
              <w:jc w:val="right"/>
              <w:rPr>
                <w:rFonts w:ascii="Montserrat Medium" w:eastAsia="Times New Roman" w:hAnsi="Montserrat Medium" w:cs="Futura Medium"/>
                <w:sz w:val="16"/>
                <w:szCs w:val="16"/>
                <w:lang w:val="es-MX" w:eastAsia="es-MX"/>
              </w:rPr>
            </w:pPr>
            <w:r w:rsidRPr="00491DCB">
              <w:rPr>
                <w:rFonts w:ascii="Montserrat Medium" w:eastAsia="Times New Roman" w:hAnsi="Montserrat Medium" w:cs="Futura Medium"/>
                <w:sz w:val="16"/>
                <w:szCs w:val="16"/>
                <w:lang w:val="es-MX" w:eastAsia="es-MX"/>
              </w:rPr>
              <w:t>1,454,790,773.85</w:t>
            </w:r>
          </w:p>
        </w:tc>
        <w:tc>
          <w:tcPr>
            <w:tcW w:w="1279" w:type="dxa"/>
            <w:tcBorders>
              <w:top w:val="nil"/>
              <w:left w:val="nil"/>
              <w:bottom w:val="nil"/>
              <w:right w:val="single" w:sz="4" w:space="0" w:color="auto"/>
            </w:tcBorders>
            <w:shd w:val="clear" w:color="auto" w:fill="auto"/>
          </w:tcPr>
          <w:p w14:paraId="5994E868" w14:textId="77777777" w:rsidR="00491DCB" w:rsidRPr="00491DCB" w:rsidRDefault="00491DCB" w:rsidP="002F131C">
            <w:pPr>
              <w:jc w:val="right"/>
              <w:rPr>
                <w:rFonts w:ascii="Montserrat Medium" w:eastAsia="Times New Roman" w:hAnsi="Montserrat Medium" w:cs="Futura Medium"/>
                <w:sz w:val="16"/>
                <w:szCs w:val="17"/>
                <w:lang w:val="es-MX" w:eastAsia="es-MX"/>
              </w:rPr>
            </w:pPr>
            <w:r w:rsidRPr="00491DCB">
              <w:rPr>
                <w:rFonts w:ascii="Montserrat Medium" w:eastAsia="Times New Roman" w:hAnsi="Montserrat Medium" w:cs="Futura Medium"/>
                <w:sz w:val="16"/>
                <w:szCs w:val="17"/>
                <w:lang w:val="es-MX" w:eastAsia="es-MX"/>
              </w:rPr>
              <w:t>6,070,356.93</w:t>
            </w:r>
          </w:p>
        </w:tc>
        <w:tc>
          <w:tcPr>
            <w:tcW w:w="1589" w:type="dxa"/>
            <w:tcBorders>
              <w:top w:val="nil"/>
              <w:left w:val="nil"/>
              <w:bottom w:val="nil"/>
              <w:right w:val="single" w:sz="4" w:space="0" w:color="auto"/>
            </w:tcBorders>
            <w:shd w:val="clear" w:color="auto" w:fill="auto"/>
          </w:tcPr>
          <w:p w14:paraId="40A4C6E8" w14:textId="77777777" w:rsidR="00491DCB" w:rsidRPr="00491DCB" w:rsidRDefault="00491DCB" w:rsidP="002F131C">
            <w:pPr>
              <w:jc w:val="right"/>
              <w:rPr>
                <w:rFonts w:ascii="Montserrat Medium" w:eastAsia="Times New Roman" w:hAnsi="Montserrat Medium" w:cs="Futura Medium"/>
                <w:sz w:val="16"/>
                <w:szCs w:val="17"/>
                <w:lang w:val="es-MX" w:eastAsia="es-MX"/>
              </w:rPr>
            </w:pPr>
            <w:r w:rsidRPr="00491DCB">
              <w:rPr>
                <w:rFonts w:ascii="Montserrat Medium" w:eastAsia="Times New Roman" w:hAnsi="Montserrat Medium" w:cs="Futura Medium"/>
                <w:sz w:val="16"/>
                <w:szCs w:val="17"/>
                <w:lang w:val="es-MX" w:eastAsia="es-MX"/>
              </w:rPr>
              <w:t>1,451,638,045.06</w:t>
            </w:r>
          </w:p>
        </w:tc>
        <w:tc>
          <w:tcPr>
            <w:tcW w:w="1677" w:type="dxa"/>
            <w:tcBorders>
              <w:top w:val="nil"/>
              <w:left w:val="nil"/>
              <w:bottom w:val="nil"/>
              <w:right w:val="single" w:sz="4" w:space="0" w:color="auto"/>
            </w:tcBorders>
            <w:shd w:val="clear" w:color="auto" w:fill="auto"/>
          </w:tcPr>
          <w:p w14:paraId="0C6F860E" w14:textId="77777777" w:rsidR="00491DCB" w:rsidRPr="00491DCB" w:rsidRDefault="00491DCB" w:rsidP="002F131C">
            <w:pPr>
              <w:jc w:val="right"/>
              <w:rPr>
                <w:rFonts w:ascii="Montserrat Medium" w:eastAsia="Times New Roman" w:hAnsi="Montserrat Medium" w:cs="Futura Medium"/>
                <w:sz w:val="16"/>
                <w:szCs w:val="17"/>
                <w:lang w:val="es-MX" w:eastAsia="es-MX"/>
              </w:rPr>
            </w:pPr>
            <w:r w:rsidRPr="00491DCB">
              <w:rPr>
                <w:rFonts w:ascii="Montserrat Medium" w:eastAsia="Times New Roman" w:hAnsi="Montserrat Medium" w:cs="Futura Medium"/>
                <w:sz w:val="16"/>
                <w:szCs w:val="17"/>
                <w:lang w:val="es-MX" w:eastAsia="es-MX"/>
              </w:rPr>
              <w:t>1,457,708,401.99</w:t>
            </w:r>
          </w:p>
        </w:tc>
      </w:tr>
      <w:tr w:rsidR="00491DCB" w:rsidRPr="00491DCB" w14:paraId="26D1754E" w14:textId="77777777" w:rsidTr="00A60187">
        <w:trPr>
          <w:trHeight w:val="151"/>
          <w:tblHeader/>
          <w:jc w:val="center"/>
        </w:trPr>
        <w:tc>
          <w:tcPr>
            <w:tcW w:w="1169" w:type="dxa"/>
            <w:tcBorders>
              <w:top w:val="nil"/>
              <w:left w:val="single" w:sz="4" w:space="0" w:color="auto"/>
              <w:bottom w:val="nil"/>
              <w:right w:val="nil"/>
            </w:tcBorders>
            <w:shd w:val="clear" w:color="auto" w:fill="auto"/>
            <w:vAlign w:val="bottom"/>
          </w:tcPr>
          <w:p w14:paraId="35B5F312" w14:textId="77777777" w:rsidR="00491DCB" w:rsidRPr="00491DCB" w:rsidRDefault="00491DCB" w:rsidP="002F131C">
            <w:pPr>
              <w:rPr>
                <w:rFonts w:ascii="Montserrat Medium" w:eastAsia="Times New Roman" w:hAnsi="Montserrat Medium" w:cs="Futura Medium"/>
                <w:sz w:val="16"/>
                <w:szCs w:val="16"/>
                <w:lang w:val="es-MX" w:eastAsia="es-MX"/>
              </w:rPr>
            </w:pPr>
            <w:proofErr w:type="spellStart"/>
            <w:r w:rsidRPr="00491DCB">
              <w:rPr>
                <w:rFonts w:ascii="Montserrat Medium" w:eastAsia="Times New Roman" w:hAnsi="Montserrat Medium" w:cs="Futura Medium"/>
                <w:sz w:val="16"/>
                <w:szCs w:val="16"/>
                <w:lang w:val="es-MX" w:eastAsia="es-MX"/>
              </w:rPr>
              <w:t>Banobras</w:t>
            </w:r>
            <w:proofErr w:type="spellEnd"/>
            <w:r w:rsidRPr="00491DCB">
              <w:rPr>
                <w:rFonts w:ascii="Montserrat Medium" w:eastAsia="Times New Roman" w:hAnsi="Montserrat Medium" w:cs="Futura Medium"/>
                <w:sz w:val="16"/>
                <w:szCs w:val="16"/>
                <w:lang w:val="es-MX" w:eastAsia="es-MX"/>
              </w:rPr>
              <w:t xml:space="preserve">, S.N.C. 5,000 </w:t>
            </w:r>
            <w:proofErr w:type="spellStart"/>
            <w:r w:rsidRPr="00491DCB">
              <w:rPr>
                <w:rFonts w:ascii="Montserrat Medium" w:eastAsia="Times New Roman" w:hAnsi="Montserrat Medium" w:cs="Futura Medium"/>
                <w:sz w:val="16"/>
                <w:szCs w:val="16"/>
                <w:lang w:val="es-MX" w:eastAsia="es-MX"/>
              </w:rPr>
              <w:t>Mdp</w:t>
            </w:r>
            <w:proofErr w:type="spellEnd"/>
            <w:r w:rsidRPr="00491DCB">
              <w:rPr>
                <w:rFonts w:ascii="Montserrat Medium" w:eastAsia="Times New Roman" w:hAnsi="Montserrat Medium" w:cs="Futura Medium"/>
                <w:sz w:val="16"/>
                <w:szCs w:val="15"/>
                <w:vertAlign w:val="superscript"/>
                <w:lang w:val="es-MX" w:eastAsia="es-MX"/>
              </w:rPr>
              <w:t>(5)</w:t>
            </w:r>
          </w:p>
        </w:tc>
        <w:tc>
          <w:tcPr>
            <w:tcW w:w="1217" w:type="dxa"/>
            <w:tcBorders>
              <w:top w:val="nil"/>
              <w:left w:val="single" w:sz="4" w:space="0" w:color="auto"/>
              <w:bottom w:val="nil"/>
              <w:right w:val="single" w:sz="4" w:space="0" w:color="auto"/>
            </w:tcBorders>
            <w:shd w:val="clear" w:color="auto" w:fill="auto"/>
          </w:tcPr>
          <w:p w14:paraId="203ACFC9" w14:textId="716F5D46" w:rsidR="00491DCB" w:rsidRPr="00491DCB" w:rsidRDefault="00491DCB" w:rsidP="002F131C">
            <w:pPr>
              <w:jc w:val="right"/>
              <w:rPr>
                <w:rFonts w:ascii="Montserrat Medium" w:eastAsia="Times New Roman" w:hAnsi="Montserrat Medium" w:cs="Futura Medium"/>
                <w:sz w:val="16"/>
                <w:szCs w:val="16"/>
                <w:lang w:val="es-MX" w:eastAsia="es-MX"/>
              </w:rPr>
            </w:pPr>
            <w:r w:rsidRPr="00491DCB">
              <w:rPr>
                <w:rFonts w:ascii="Montserrat Medium" w:eastAsia="Times New Roman" w:hAnsi="Montserrat Medium" w:cs="Futura Medium"/>
                <w:sz w:val="16"/>
                <w:szCs w:val="16"/>
                <w:lang w:val="es-MX" w:eastAsia="es-MX"/>
              </w:rPr>
              <w:t>10,216,138.06</w:t>
            </w:r>
          </w:p>
        </w:tc>
        <w:tc>
          <w:tcPr>
            <w:tcW w:w="1563" w:type="dxa"/>
            <w:tcBorders>
              <w:top w:val="nil"/>
              <w:left w:val="nil"/>
              <w:bottom w:val="nil"/>
              <w:right w:val="single" w:sz="4" w:space="0" w:color="auto"/>
            </w:tcBorders>
            <w:shd w:val="clear" w:color="auto" w:fill="auto"/>
          </w:tcPr>
          <w:p w14:paraId="0B42081F" w14:textId="181B6035" w:rsidR="00491DCB" w:rsidRPr="00491DCB" w:rsidRDefault="00491DCB" w:rsidP="002F131C">
            <w:pPr>
              <w:jc w:val="right"/>
              <w:rPr>
                <w:rFonts w:ascii="Montserrat Medium" w:eastAsia="Times New Roman" w:hAnsi="Montserrat Medium" w:cs="Futura Medium"/>
                <w:sz w:val="16"/>
                <w:szCs w:val="16"/>
                <w:lang w:val="es-MX" w:eastAsia="es-MX"/>
              </w:rPr>
            </w:pPr>
            <w:r w:rsidRPr="00491DCB">
              <w:rPr>
                <w:rFonts w:ascii="Montserrat Medium" w:eastAsia="Times New Roman" w:hAnsi="Montserrat Medium" w:cs="Futura Medium"/>
                <w:sz w:val="16"/>
                <w:szCs w:val="16"/>
                <w:lang w:val="es-MX" w:eastAsia="es-MX"/>
              </w:rPr>
              <w:t>4,979,051,046.61</w:t>
            </w:r>
          </w:p>
        </w:tc>
        <w:tc>
          <w:tcPr>
            <w:tcW w:w="1571" w:type="dxa"/>
            <w:tcBorders>
              <w:top w:val="nil"/>
              <w:left w:val="nil"/>
              <w:bottom w:val="nil"/>
              <w:right w:val="single" w:sz="4" w:space="0" w:color="auto"/>
            </w:tcBorders>
            <w:shd w:val="clear" w:color="auto" w:fill="auto"/>
          </w:tcPr>
          <w:p w14:paraId="7F3E4647" w14:textId="47E58E82" w:rsidR="00491DCB" w:rsidRPr="00491DCB" w:rsidRDefault="00491DCB" w:rsidP="002F131C">
            <w:pPr>
              <w:jc w:val="right"/>
              <w:rPr>
                <w:rFonts w:ascii="Montserrat Medium" w:eastAsia="Times New Roman" w:hAnsi="Montserrat Medium" w:cs="Futura Medium"/>
                <w:sz w:val="16"/>
                <w:szCs w:val="16"/>
                <w:lang w:val="es-MX" w:eastAsia="es-MX"/>
              </w:rPr>
            </w:pPr>
            <w:r w:rsidRPr="00491DCB">
              <w:rPr>
                <w:rFonts w:ascii="Montserrat Medium" w:eastAsia="Times New Roman" w:hAnsi="Montserrat Medium" w:cs="Futura Medium"/>
                <w:sz w:val="16"/>
                <w:szCs w:val="16"/>
                <w:lang w:val="es-MX" w:eastAsia="es-MX"/>
              </w:rPr>
              <w:t>4,989,267,184.67</w:t>
            </w:r>
          </w:p>
        </w:tc>
        <w:tc>
          <w:tcPr>
            <w:tcW w:w="1279" w:type="dxa"/>
            <w:tcBorders>
              <w:top w:val="nil"/>
              <w:left w:val="nil"/>
              <w:bottom w:val="nil"/>
              <w:right w:val="single" w:sz="4" w:space="0" w:color="auto"/>
            </w:tcBorders>
            <w:shd w:val="clear" w:color="auto" w:fill="auto"/>
          </w:tcPr>
          <w:p w14:paraId="131B1AC4" w14:textId="77777777" w:rsidR="00491DCB" w:rsidRPr="00491DCB" w:rsidRDefault="00491DCB" w:rsidP="002F131C">
            <w:pPr>
              <w:jc w:val="right"/>
              <w:rPr>
                <w:rFonts w:ascii="Montserrat Medium" w:eastAsia="Times New Roman" w:hAnsi="Montserrat Medium" w:cs="Futura Medium"/>
                <w:sz w:val="16"/>
                <w:szCs w:val="17"/>
                <w:lang w:val="es-MX" w:eastAsia="es-MX"/>
              </w:rPr>
            </w:pPr>
            <w:r w:rsidRPr="00491DCB">
              <w:rPr>
                <w:rFonts w:ascii="Montserrat Medium" w:eastAsia="Times New Roman" w:hAnsi="Montserrat Medium" w:cs="Futura Medium"/>
                <w:sz w:val="16"/>
                <w:szCs w:val="17"/>
                <w:lang w:val="es-MX" w:eastAsia="es-MX"/>
              </w:rPr>
              <w:t>9,454,315.28</w:t>
            </w:r>
          </w:p>
        </w:tc>
        <w:tc>
          <w:tcPr>
            <w:tcW w:w="1589" w:type="dxa"/>
            <w:tcBorders>
              <w:top w:val="nil"/>
              <w:left w:val="nil"/>
              <w:bottom w:val="nil"/>
              <w:right w:val="single" w:sz="4" w:space="0" w:color="auto"/>
            </w:tcBorders>
            <w:shd w:val="clear" w:color="auto" w:fill="auto"/>
          </w:tcPr>
          <w:p w14:paraId="11DE862E" w14:textId="77777777" w:rsidR="00491DCB" w:rsidRPr="00491DCB" w:rsidRDefault="00491DCB" w:rsidP="002F131C">
            <w:pPr>
              <w:jc w:val="right"/>
              <w:rPr>
                <w:rFonts w:ascii="Montserrat Medium" w:eastAsia="Times New Roman" w:hAnsi="Montserrat Medium" w:cs="Futura Medium"/>
                <w:sz w:val="16"/>
                <w:szCs w:val="17"/>
                <w:lang w:val="es-MX" w:eastAsia="es-MX"/>
              </w:rPr>
            </w:pPr>
            <w:r w:rsidRPr="00491DCB">
              <w:rPr>
                <w:rFonts w:ascii="Montserrat Medium" w:eastAsia="Times New Roman" w:hAnsi="Montserrat Medium" w:cs="Futura Medium"/>
                <w:sz w:val="16"/>
                <w:szCs w:val="17"/>
                <w:lang w:val="es-MX" w:eastAsia="es-MX"/>
              </w:rPr>
              <w:t>4,984,356,947.55</w:t>
            </w:r>
          </w:p>
        </w:tc>
        <w:tc>
          <w:tcPr>
            <w:tcW w:w="1677" w:type="dxa"/>
            <w:tcBorders>
              <w:top w:val="nil"/>
              <w:left w:val="nil"/>
              <w:bottom w:val="nil"/>
              <w:right w:val="single" w:sz="4" w:space="0" w:color="auto"/>
            </w:tcBorders>
            <w:shd w:val="clear" w:color="auto" w:fill="auto"/>
          </w:tcPr>
          <w:p w14:paraId="20CE564C" w14:textId="77777777" w:rsidR="00491DCB" w:rsidRPr="00491DCB" w:rsidRDefault="00491DCB" w:rsidP="002F131C">
            <w:pPr>
              <w:jc w:val="right"/>
              <w:rPr>
                <w:rFonts w:ascii="Montserrat Medium" w:eastAsia="Times New Roman" w:hAnsi="Montserrat Medium" w:cs="Futura Medium"/>
                <w:sz w:val="16"/>
                <w:szCs w:val="17"/>
                <w:lang w:val="es-MX" w:eastAsia="es-MX"/>
              </w:rPr>
            </w:pPr>
            <w:r w:rsidRPr="00491DCB">
              <w:rPr>
                <w:rFonts w:ascii="Montserrat Medium" w:eastAsia="Times New Roman" w:hAnsi="Montserrat Medium" w:cs="Futura Medium"/>
                <w:sz w:val="16"/>
                <w:szCs w:val="17"/>
                <w:lang w:val="es-MX" w:eastAsia="es-MX"/>
              </w:rPr>
              <w:t>4,993,811,262.83</w:t>
            </w:r>
          </w:p>
        </w:tc>
      </w:tr>
      <w:tr w:rsidR="00491DCB" w:rsidRPr="00491DCB" w14:paraId="2F6D8311" w14:textId="77777777" w:rsidTr="00A60187">
        <w:trPr>
          <w:trHeight w:val="151"/>
          <w:tblHeader/>
          <w:jc w:val="center"/>
        </w:trPr>
        <w:tc>
          <w:tcPr>
            <w:tcW w:w="1169" w:type="dxa"/>
            <w:tcBorders>
              <w:top w:val="nil"/>
              <w:left w:val="single" w:sz="4" w:space="0" w:color="auto"/>
              <w:bottom w:val="nil"/>
              <w:right w:val="nil"/>
            </w:tcBorders>
            <w:shd w:val="clear" w:color="auto" w:fill="auto"/>
            <w:vAlign w:val="bottom"/>
          </w:tcPr>
          <w:p w14:paraId="4C8E070E" w14:textId="77777777" w:rsidR="00491DCB" w:rsidRPr="00491DCB" w:rsidRDefault="00491DCB" w:rsidP="002F131C">
            <w:pPr>
              <w:rPr>
                <w:rFonts w:ascii="Montserrat Medium" w:eastAsia="Times New Roman" w:hAnsi="Montserrat Medium" w:cs="Futura Medium"/>
                <w:sz w:val="16"/>
                <w:szCs w:val="16"/>
                <w:lang w:val="es-MX" w:eastAsia="es-MX"/>
              </w:rPr>
            </w:pPr>
            <w:proofErr w:type="spellStart"/>
            <w:r w:rsidRPr="00491DCB">
              <w:rPr>
                <w:rFonts w:ascii="Montserrat Medium" w:eastAsia="Times New Roman" w:hAnsi="Montserrat Medium" w:cs="Futura Medium"/>
                <w:sz w:val="16"/>
                <w:szCs w:val="16"/>
                <w:lang w:val="es-MX" w:eastAsia="es-MX"/>
              </w:rPr>
              <w:t>Banobras</w:t>
            </w:r>
            <w:proofErr w:type="spellEnd"/>
            <w:r w:rsidRPr="00491DCB">
              <w:rPr>
                <w:rFonts w:ascii="Montserrat Medium" w:eastAsia="Times New Roman" w:hAnsi="Montserrat Medium" w:cs="Futura Medium"/>
                <w:sz w:val="16"/>
                <w:szCs w:val="16"/>
                <w:lang w:val="es-MX" w:eastAsia="es-MX"/>
              </w:rPr>
              <w:t xml:space="preserve">, S.N.C. 3,000 </w:t>
            </w:r>
            <w:proofErr w:type="spellStart"/>
            <w:r w:rsidRPr="00491DCB">
              <w:rPr>
                <w:rFonts w:ascii="Montserrat Medium" w:eastAsia="Times New Roman" w:hAnsi="Montserrat Medium" w:cs="Futura Medium"/>
                <w:sz w:val="16"/>
                <w:szCs w:val="16"/>
                <w:lang w:val="es-MX" w:eastAsia="es-MX"/>
              </w:rPr>
              <w:t>Mdp</w:t>
            </w:r>
            <w:proofErr w:type="spellEnd"/>
            <w:r w:rsidRPr="00491DCB">
              <w:rPr>
                <w:rFonts w:ascii="Montserrat Medium" w:eastAsia="Times New Roman" w:hAnsi="Montserrat Medium" w:cs="Futura Medium"/>
                <w:sz w:val="16"/>
                <w:szCs w:val="15"/>
                <w:vertAlign w:val="superscript"/>
                <w:lang w:val="es-MX" w:eastAsia="es-MX"/>
              </w:rPr>
              <w:t>(6)</w:t>
            </w:r>
          </w:p>
        </w:tc>
        <w:tc>
          <w:tcPr>
            <w:tcW w:w="1217" w:type="dxa"/>
            <w:tcBorders>
              <w:top w:val="nil"/>
              <w:left w:val="single" w:sz="4" w:space="0" w:color="auto"/>
              <w:bottom w:val="nil"/>
              <w:right w:val="single" w:sz="4" w:space="0" w:color="auto"/>
            </w:tcBorders>
            <w:shd w:val="clear" w:color="auto" w:fill="auto"/>
          </w:tcPr>
          <w:p w14:paraId="7FB17621" w14:textId="207648BF" w:rsidR="00491DCB" w:rsidRPr="00491DCB" w:rsidRDefault="00491DCB" w:rsidP="002F131C">
            <w:pPr>
              <w:jc w:val="right"/>
              <w:rPr>
                <w:rFonts w:ascii="Montserrat Medium" w:eastAsia="Times New Roman" w:hAnsi="Montserrat Medium" w:cs="Futura Medium"/>
                <w:sz w:val="16"/>
                <w:szCs w:val="16"/>
                <w:lang w:val="es-MX" w:eastAsia="es-MX"/>
              </w:rPr>
            </w:pPr>
            <w:r w:rsidRPr="00491DCB">
              <w:rPr>
                <w:rFonts w:ascii="Montserrat Medium" w:eastAsia="Times New Roman" w:hAnsi="Montserrat Medium" w:cs="Futura Medium"/>
                <w:sz w:val="16"/>
                <w:szCs w:val="16"/>
                <w:lang w:val="es-MX" w:eastAsia="es-MX"/>
              </w:rPr>
              <w:t>13,462,919.52</w:t>
            </w:r>
          </w:p>
        </w:tc>
        <w:tc>
          <w:tcPr>
            <w:tcW w:w="1563" w:type="dxa"/>
            <w:tcBorders>
              <w:top w:val="nil"/>
              <w:left w:val="nil"/>
              <w:bottom w:val="nil"/>
              <w:right w:val="single" w:sz="4" w:space="0" w:color="auto"/>
            </w:tcBorders>
            <w:shd w:val="clear" w:color="auto" w:fill="auto"/>
          </w:tcPr>
          <w:p w14:paraId="560DCC38" w14:textId="28654848" w:rsidR="00491DCB" w:rsidRPr="00491DCB" w:rsidRDefault="00491DCB" w:rsidP="002F131C">
            <w:pPr>
              <w:jc w:val="right"/>
              <w:rPr>
                <w:rFonts w:ascii="Montserrat Medium" w:eastAsia="Times New Roman" w:hAnsi="Montserrat Medium" w:cs="Futura Medium"/>
                <w:sz w:val="16"/>
                <w:szCs w:val="16"/>
                <w:lang w:val="es-MX" w:eastAsia="es-MX"/>
              </w:rPr>
            </w:pPr>
            <w:r w:rsidRPr="00491DCB">
              <w:rPr>
                <w:rFonts w:ascii="Montserrat Medium" w:eastAsia="Times New Roman" w:hAnsi="Montserrat Medium" w:cs="Futura Medium"/>
                <w:sz w:val="16"/>
                <w:szCs w:val="16"/>
                <w:lang w:val="es-MX" w:eastAsia="es-MX"/>
              </w:rPr>
              <w:t>2,972,393,278.94</w:t>
            </w:r>
          </w:p>
        </w:tc>
        <w:tc>
          <w:tcPr>
            <w:tcW w:w="1571" w:type="dxa"/>
            <w:tcBorders>
              <w:top w:val="nil"/>
              <w:left w:val="nil"/>
              <w:bottom w:val="nil"/>
              <w:right w:val="single" w:sz="4" w:space="0" w:color="auto"/>
            </w:tcBorders>
            <w:shd w:val="clear" w:color="auto" w:fill="auto"/>
          </w:tcPr>
          <w:p w14:paraId="6A606079" w14:textId="255C045A" w:rsidR="00491DCB" w:rsidRPr="00491DCB" w:rsidRDefault="00491DCB" w:rsidP="002F131C">
            <w:pPr>
              <w:jc w:val="right"/>
              <w:rPr>
                <w:rFonts w:ascii="Montserrat Medium" w:eastAsia="Times New Roman" w:hAnsi="Montserrat Medium" w:cs="Futura Medium"/>
                <w:sz w:val="16"/>
                <w:szCs w:val="16"/>
                <w:lang w:val="es-MX" w:eastAsia="es-MX"/>
              </w:rPr>
            </w:pPr>
            <w:r w:rsidRPr="00491DCB">
              <w:rPr>
                <w:rFonts w:ascii="Montserrat Medium" w:eastAsia="Times New Roman" w:hAnsi="Montserrat Medium" w:cs="Futura Medium"/>
                <w:sz w:val="16"/>
                <w:szCs w:val="16"/>
                <w:lang w:val="es-MX" w:eastAsia="es-MX"/>
              </w:rPr>
              <w:t>2,985,856,198.46</w:t>
            </w:r>
          </w:p>
        </w:tc>
        <w:tc>
          <w:tcPr>
            <w:tcW w:w="1279" w:type="dxa"/>
            <w:tcBorders>
              <w:top w:val="nil"/>
              <w:left w:val="nil"/>
              <w:bottom w:val="nil"/>
              <w:right w:val="single" w:sz="4" w:space="0" w:color="auto"/>
            </w:tcBorders>
            <w:shd w:val="clear" w:color="auto" w:fill="auto"/>
          </w:tcPr>
          <w:p w14:paraId="0E6203E3" w14:textId="77777777" w:rsidR="00491DCB" w:rsidRPr="00491DCB" w:rsidRDefault="00491DCB" w:rsidP="002F131C">
            <w:pPr>
              <w:jc w:val="right"/>
              <w:rPr>
                <w:rFonts w:ascii="Montserrat Medium" w:eastAsia="Times New Roman" w:hAnsi="Montserrat Medium" w:cs="Futura Medium"/>
                <w:sz w:val="16"/>
                <w:szCs w:val="17"/>
                <w:lang w:val="es-MX" w:eastAsia="es-MX"/>
              </w:rPr>
            </w:pPr>
            <w:r w:rsidRPr="00491DCB">
              <w:rPr>
                <w:rFonts w:ascii="Montserrat Medium" w:eastAsia="Times New Roman" w:hAnsi="Montserrat Medium" w:cs="Futura Medium"/>
                <w:sz w:val="16"/>
                <w:szCs w:val="17"/>
                <w:lang w:val="es-MX" w:eastAsia="es-MX"/>
              </w:rPr>
              <w:t>12,458,982.55</w:t>
            </w:r>
          </w:p>
        </w:tc>
        <w:tc>
          <w:tcPr>
            <w:tcW w:w="1589" w:type="dxa"/>
            <w:tcBorders>
              <w:top w:val="nil"/>
              <w:left w:val="nil"/>
              <w:bottom w:val="nil"/>
              <w:right w:val="single" w:sz="4" w:space="0" w:color="auto"/>
            </w:tcBorders>
            <w:shd w:val="clear" w:color="auto" w:fill="auto"/>
          </w:tcPr>
          <w:p w14:paraId="613BCD97" w14:textId="77777777" w:rsidR="00491DCB" w:rsidRPr="00491DCB" w:rsidRDefault="00491DCB" w:rsidP="002F131C">
            <w:pPr>
              <w:jc w:val="right"/>
              <w:rPr>
                <w:rFonts w:ascii="Montserrat Medium" w:eastAsia="Times New Roman" w:hAnsi="Montserrat Medium" w:cs="Futura Medium"/>
                <w:sz w:val="16"/>
                <w:szCs w:val="17"/>
                <w:lang w:val="es-MX" w:eastAsia="es-MX"/>
              </w:rPr>
            </w:pPr>
            <w:r w:rsidRPr="00491DCB">
              <w:rPr>
                <w:rFonts w:ascii="Montserrat Medium" w:eastAsia="Times New Roman" w:hAnsi="Montserrat Medium" w:cs="Futura Medium"/>
                <w:sz w:val="16"/>
                <w:szCs w:val="17"/>
                <w:lang w:val="es-MX" w:eastAsia="es-MX"/>
              </w:rPr>
              <w:t>2,979,385,443.39</w:t>
            </w:r>
          </w:p>
        </w:tc>
        <w:tc>
          <w:tcPr>
            <w:tcW w:w="1677" w:type="dxa"/>
            <w:tcBorders>
              <w:top w:val="nil"/>
              <w:left w:val="nil"/>
              <w:bottom w:val="nil"/>
              <w:right w:val="single" w:sz="4" w:space="0" w:color="auto"/>
            </w:tcBorders>
            <w:shd w:val="clear" w:color="auto" w:fill="auto"/>
          </w:tcPr>
          <w:p w14:paraId="4E4B078D" w14:textId="77777777" w:rsidR="00491DCB" w:rsidRPr="00491DCB" w:rsidRDefault="00491DCB" w:rsidP="002F131C">
            <w:pPr>
              <w:jc w:val="right"/>
              <w:rPr>
                <w:rFonts w:ascii="Montserrat Medium" w:eastAsia="Times New Roman" w:hAnsi="Montserrat Medium" w:cs="Futura Medium"/>
                <w:sz w:val="16"/>
                <w:szCs w:val="17"/>
                <w:lang w:val="es-MX" w:eastAsia="es-MX"/>
              </w:rPr>
            </w:pPr>
            <w:r w:rsidRPr="00491DCB">
              <w:rPr>
                <w:rFonts w:ascii="Montserrat Medium" w:eastAsia="Times New Roman" w:hAnsi="Montserrat Medium" w:cs="Futura Medium"/>
                <w:sz w:val="16"/>
                <w:szCs w:val="17"/>
                <w:lang w:val="es-MX" w:eastAsia="es-MX"/>
              </w:rPr>
              <w:t>2,991,844,425.94</w:t>
            </w:r>
          </w:p>
        </w:tc>
      </w:tr>
      <w:tr w:rsidR="00491DCB" w:rsidRPr="00491DCB" w14:paraId="6815AC92" w14:textId="77777777" w:rsidTr="00A60187">
        <w:trPr>
          <w:trHeight w:val="151"/>
          <w:tblHeader/>
          <w:jc w:val="center"/>
        </w:trPr>
        <w:tc>
          <w:tcPr>
            <w:tcW w:w="1169" w:type="dxa"/>
            <w:tcBorders>
              <w:top w:val="nil"/>
              <w:left w:val="single" w:sz="4" w:space="0" w:color="auto"/>
              <w:bottom w:val="single" w:sz="4" w:space="0" w:color="auto"/>
              <w:right w:val="nil"/>
            </w:tcBorders>
            <w:shd w:val="clear" w:color="auto" w:fill="auto"/>
            <w:vAlign w:val="bottom"/>
          </w:tcPr>
          <w:p w14:paraId="1749EAA9" w14:textId="77777777" w:rsidR="00491DCB" w:rsidRPr="00491DCB" w:rsidRDefault="00491DCB" w:rsidP="002F131C">
            <w:pPr>
              <w:rPr>
                <w:rFonts w:ascii="Montserrat Medium" w:eastAsia="Times New Roman" w:hAnsi="Montserrat Medium" w:cs="Futura Medium"/>
                <w:sz w:val="16"/>
                <w:szCs w:val="16"/>
                <w:lang w:val="es-MX" w:eastAsia="es-MX"/>
              </w:rPr>
            </w:pPr>
            <w:proofErr w:type="spellStart"/>
            <w:r w:rsidRPr="00491DCB">
              <w:rPr>
                <w:rFonts w:ascii="Montserrat Medium" w:eastAsia="Times New Roman" w:hAnsi="Montserrat Medium" w:cs="Futura Medium"/>
                <w:sz w:val="16"/>
                <w:szCs w:val="16"/>
                <w:lang w:val="es-MX" w:eastAsia="es-MX"/>
              </w:rPr>
              <w:t>Banobras</w:t>
            </w:r>
            <w:proofErr w:type="spellEnd"/>
            <w:r w:rsidRPr="00491DCB">
              <w:rPr>
                <w:rFonts w:ascii="Montserrat Medium" w:eastAsia="Times New Roman" w:hAnsi="Montserrat Medium" w:cs="Futura Medium"/>
                <w:sz w:val="16"/>
                <w:szCs w:val="16"/>
                <w:lang w:val="es-MX" w:eastAsia="es-MX"/>
              </w:rPr>
              <w:t xml:space="preserve">, S.N.C. 2,808 </w:t>
            </w:r>
            <w:proofErr w:type="spellStart"/>
            <w:r w:rsidRPr="00491DCB">
              <w:rPr>
                <w:rFonts w:ascii="Montserrat Medium" w:eastAsia="Times New Roman" w:hAnsi="Montserrat Medium" w:cs="Futura Medium"/>
                <w:sz w:val="16"/>
                <w:szCs w:val="16"/>
                <w:lang w:val="es-MX" w:eastAsia="es-MX"/>
              </w:rPr>
              <w:t>Mdp</w:t>
            </w:r>
            <w:proofErr w:type="spellEnd"/>
            <w:r w:rsidRPr="00491DCB">
              <w:rPr>
                <w:rFonts w:ascii="Montserrat Medium" w:eastAsia="Times New Roman" w:hAnsi="Montserrat Medium" w:cs="Futura Medium"/>
                <w:sz w:val="16"/>
                <w:szCs w:val="15"/>
                <w:vertAlign w:val="superscript"/>
                <w:lang w:val="es-MX" w:eastAsia="es-MX"/>
              </w:rPr>
              <w:t>(7)</w:t>
            </w:r>
          </w:p>
        </w:tc>
        <w:tc>
          <w:tcPr>
            <w:tcW w:w="1217" w:type="dxa"/>
            <w:tcBorders>
              <w:top w:val="nil"/>
              <w:left w:val="single" w:sz="4" w:space="0" w:color="auto"/>
              <w:bottom w:val="nil"/>
              <w:right w:val="single" w:sz="4" w:space="0" w:color="auto"/>
            </w:tcBorders>
            <w:shd w:val="clear" w:color="auto" w:fill="auto"/>
          </w:tcPr>
          <w:p w14:paraId="09BC13D0" w14:textId="1AE38FE1" w:rsidR="00491DCB" w:rsidRPr="00491DCB" w:rsidRDefault="00491DCB" w:rsidP="002F131C">
            <w:pPr>
              <w:jc w:val="right"/>
              <w:rPr>
                <w:rFonts w:ascii="Montserrat Medium" w:eastAsia="Times New Roman" w:hAnsi="Montserrat Medium" w:cs="Futura Medium"/>
                <w:sz w:val="16"/>
                <w:szCs w:val="16"/>
                <w:lang w:val="es-MX" w:eastAsia="es-MX"/>
              </w:rPr>
            </w:pPr>
            <w:r w:rsidRPr="00491DCB">
              <w:rPr>
                <w:rFonts w:ascii="Montserrat Medium" w:eastAsia="Times New Roman" w:hAnsi="Montserrat Medium" w:cs="Futura Medium"/>
                <w:sz w:val="16"/>
                <w:szCs w:val="16"/>
                <w:lang w:val="es-MX" w:eastAsia="es-MX"/>
              </w:rPr>
              <w:t>12,602,926.31</w:t>
            </w:r>
          </w:p>
        </w:tc>
        <w:tc>
          <w:tcPr>
            <w:tcW w:w="1563" w:type="dxa"/>
            <w:tcBorders>
              <w:top w:val="nil"/>
              <w:left w:val="nil"/>
              <w:bottom w:val="nil"/>
              <w:right w:val="single" w:sz="4" w:space="0" w:color="auto"/>
            </w:tcBorders>
            <w:shd w:val="clear" w:color="auto" w:fill="auto"/>
          </w:tcPr>
          <w:p w14:paraId="0F50D1CE" w14:textId="2CD8B83E" w:rsidR="00491DCB" w:rsidRPr="00491DCB" w:rsidRDefault="00491DCB" w:rsidP="002F131C">
            <w:pPr>
              <w:jc w:val="right"/>
              <w:rPr>
                <w:rFonts w:ascii="Montserrat Medium" w:eastAsia="Times New Roman" w:hAnsi="Montserrat Medium" w:cs="Futura Medium"/>
                <w:sz w:val="16"/>
                <w:szCs w:val="16"/>
                <w:lang w:val="es-MX" w:eastAsia="es-MX"/>
              </w:rPr>
            </w:pPr>
            <w:r w:rsidRPr="00491DCB">
              <w:rPr>
                <w:rFonts w:ascii="Montserrat Medium" w:eastAsia="Times New Roman" w:hAnsi="Montserrat Medium" w:cs="Futura Medium"/>
                <w:sz w:val="16"/>
                <w:szCs w:val="16"/>
                <w:lang w:val="es-MX" w:eastAsia="es-MX"/>
              </w:rPr>
              <w:t>2,782,520,788.20</w:t>
            </w:r>
          </w:p>
        </w:tc>
        <w:tc>
          <w:tcPr>
            <w:tcW w:w="1571" w:type="dxa"/>
            <w:tcBorders>
              <w:top w:val="nil"/>
              <w:left w:val="nil"/>
              <w:bottom w:val="nil"/>
              <w:right w:val="single" w:sz="4" w:space="0" w:color="auto"/>
            </w:tcBorders>
            <w:shd w:val="clear" w:color="auto" w:fill="auto"/>
          </w:tcPr>
          <w:p w14:paraId="2A8D8B01" w14:textId="3487C69F" w:rsidR="00491DCB" w:rsidRPr="00491DCB" w:rsidRDefault="00491DCB" w:rsidP="002F131C">
            <w:pPr>
              <w:jc w:val="right"/>
              <w:rPr>
                <w:rFonts w:ascii="Montserrat Medium" w:eastAsia="Times New Roman" w:hAnsi="Montserrat Medium" w:cs="Futura Medium"/>
                <w:sz w:val="16"/>
                <w:szCs w:val="16"/>
                <w:lang w:val="es-MX" w:eastAsia="es-MX"/>
              </w:rPr>
            </w:pPr>
            <w:r w:rsidRPr="00491DCB">
              <w:rPr>
                <w:rFonts w:ascii="Montserrat Medium" w:eastAsia="Times New Roman" w:hAnsi="Montserrat Medium" w:cs="Futura Medium"/>
                <w:sz w:val="16"/>
                <w:szCs w:val="16"/>
                <w:lang w:val="es-MX" w:eastAsia="es-MX"/>
              </w:rPr>
              <w:t>2,795,123,714.51</w:t>
            </w:r>
          </w:p>
        </w:tc>
        <w:tc>
          <w:tcPr>
            <w:tcW w:w="1279" w:type="dxa"/>
            <w:tcBorders>
              <w:top w:val="nil"/>
              <w:left w:val="nil"/>
              <w:bottom w:val="nil"/>
              <w:right w:val="single" w:sz="4" w:space="0" w:color="auto"/>
            </w:tcBorders>
            <w:shd w:val="clear" w:color="auto" w:fill="auto"/>
          </w:tcPr>
          <w:p w14:paraId="131A5D90" w14:textId="77777777" w:rsidR="00491DCB" w:rsidRPr="00491DCB" w:rsidRDefault="00491DCB" w:rsidP="002F131C">
            <w:pPr>
              <w:jc w:val="right"/>
              <w:rPr>
                <w:rFonts w:ascii="Montserrat Medium" w:eastAsia="Times New Roman" w:hAnsi="Montserrat Medium" w:cs="Futura Medium"/>
                <w:sz w:val="16"/>
                <w:szCs w:val="17"/>
                <w:lang w:val="es-MX" w:eastAsia="es-MX"/>
              </w:rPr>
            </w:pPr>
            <w:r w:rsidRPr="00491DCB">
              <w:rPr>
                <w:rFonts w:ascii="Montserrat Medium" w:eastAsia="Times New Roman" w:hAnsi="Montserrat Medium" w:cs="Futura Medium"/>
                <w:sz w:val="16"/>
                <w:szCs w:val="17"/>
                <w:lang w:val="es-MX" w:eastAsia="es-MX"/>
              </w:rPr>
              <w:t>11,663,119.48</w:t>
            </w:r>
          </w:p>
        </w:tc>
        <w:tc>
          <w:tcPr>
            <w:tcW w:w="1589" w:type="dxa"/>
            <w:tcBorders>
              <w:top w:val="nil"/>
              <w:left w:val="nil"/>
              <w:bottom w:val="nil"/>
              <w:right w:val="single" w:sz="4" w:space="0" w:color="auto"/>
            </w:tcBorders>
            <w:shd w:val="clear" w:color="auto" w:fill="auto"/>
          </w:tcPr>
          <w:p w14:paraId="758419A0" w14:textId="77777777" w:rsidR="00491DCB" w:rsidRPr="00491DCB" w:rsidRDefault="00491DCB" w:rsidP="002F131C">
            <w:pPr>
              <w:jc w:val="right"/>
              <w:rPr>
                <w:rFonts w:ascii="Montserrat Medium" w:eastAsia="Times New Roman" w:hAnsi="Montserrat Medium" w:cs="Futura Medium"/>
                <w:sz w:val="16"/>
                <w:szCs w:val="17"/>
                <w:lang w:val="es-MX" w:eastAsia="es-MX"/>
              </w:rPr>
            </w:pPr>
            <w:r w:rsidRPr="00491DCB">
              <w:rPr>
                <w:rFonts w:ascii="Montserrat Medium" w:eastAsia="Times New Roman" w:hAnsi="Montserrat Medium" w:cs="Futura Medium"/>
                <w:sz w:val="16"/>
                <w:szCs w:val="17"/>
                <w:lang w:val="es-MX" w:eastAsia="es-MX"/>
              </w:rPr>
              <w:t>2,789,066,302.57</w:t>
            </w:r>
          </w:p>
        </w:tc>
        <w:tc>
          <w:tcPr>
            <w:tcW w:w="1677" w:type="dxa"/>
            <w:tcBorders>
              <w:top w:val="nil"/>
              <w:left w:val="nil"/>
              <w:bottom w:val="nil"/>
              <w:right w:val="single" w:sz="4" w:space="0" w:color="auto"/>
            </w:tcBorders>
            <w:shd w:val="clear" w:color="auto" w:fill="auto"/>
          </w:tcPr>
          <w:p w14:paraId="67D817CB" w14:textId="77777777" w:rsidR="00491DCB" w:rsidRPr="00491DCB" w:rsidRDefault="00491DCB" w:rsidP="002F131C">
            <w:pPr>
              <w:jc w:val="center"/>
              <w:rPr>
                <w:rFonts w:ascii="Montserrat Medium" w:eastAsia="Times New Roman" w:hAnsi="Montserrat Medium" w:cs="Futura Medium"/>
                <w:sz w:val="16"/>
                <w:szCs w:val="17"/>
                <w:lang w:val="es-MX" w:eastAsia="es-MX"/>
              </w:rPr>
            </w:pPr>
            <w:r w:rsidRPr="00491DCB">
              <w:rPr>
                <w:rFonts w:ascii="Montserrat Medium" w:eastAsia="Times New Roman" w:hAnsi="Montserrat Medium" w:cs="Futura Medium"/>
                <w:sz w:val="16"/>
                <w:szCs w:val="17"/>
                <w:lang w:val="es-MX" w:eastAsia="es-MX"/>
              </w:rPr>
              <w:t>2,800,729,422.05</w:t>
            </w:r>
          </w:p>
        </w:tc>
      </w:tr>
      <w:tr w:rsidR="00491DCB" w:rsidRPr="009C26EF" w14:paraId="5B58F269" w14:textId="77777777" w:rsidTr="00A60187">
        <w:trPr>
          <w:trHeight w:val="151"/>
          <w:tblHeader/>
          <w:jc w:val="center"/>
        </w:trPr>
        <w:tc>
          <w:tcPr>
            <w:tcW w:w="11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8A5779" w14:textId="77777777" w:rsidR="00491DCB" w:rsidRPr="00491DCB" w:rsidRDefault="00491DCB" w:rsidP="002F131C">
            <w:pPr>
              <w:jc w:val="center"/>
              <w:rPr>
                <w:rFonts w:ascii="Montserrat Medium" w:eastAsia="Times New Roman" w:hAnsi="Montserrat Medium" w:cs="Futura Medium"/>
                <w:b/>
                <w:bCs/>
                <w:sz w:val="16"/>
                <w:szCs w:val="17"/>
                <w:lang w:val="es-MX" w:eastAsia="es-MX"/>
              </w:rPr>
            </w:pPr>
            <w:r w:rsidRPr="00491DCB">
              <w:rPr>
                <w:rFonts w:ascii="Montserrat Medium" w:eastAsia="Times New Roman" w:hAnsi="Montserrat Medium" w:cs="Futura Medium"/>
                <w:b/>
                <w:bCs/>
                <w:sz w:val="16"/>
                <w:szCs w:val="17"/>
                <w:lang w:val="es-MX" w:eastAsia="es-MX"/>
              </w:rPr>
              <w:t>Suma</w:t>
            </w:r>
          </w:p>
        </w:tc>
        <w:tc>
          <w:tcPr>
            <w:tcW w:w="1217" w:type="dxa"/>
            <w:tcBorders>
              <w:top w:val="single" w:sz="4" w:space="0" w:color="auto"/>
              <w:left w:val="nil"/>
              <w:bottom w:val="single" w:sz="4" w:space="0" w:color="auto"/>
              <w:right w:val="single" w:sz="4" w:space="0" w:color="auto"/>
            </w:tcBorders>
            <w:shd w:val="clear" w:color="auto" w:fill="auto"/>
            <w:vAlign w:val="bottom"/>
          </w:tcPr>
          <w:p w14:paraId="304A8F28" w14:textId="1BDF57CC" w:rsidR="00491DCB" w:rsidRPr="00491DCB" w:rsidRDefault="00491DCB" w:rsidP="002F131C">
            <w:pPr>
              <w:jc w:val="right"/>
              <w:rPr>
                <w:rFonts w:ascii="Montserrat Medium" w:eastAsia="Times New Roman" w:hAnsi="Montserrat Medium" w:cs="Futura Medium"/>
                <w:b/>
                <w:bCs/>
                <w:noProof/>
                <w:sz w:val="16"/>
                <w:szCs w:val="17"/>
                <w:lang w:val="es-MX" w:eastAsia="es-MX"/>
              </w:rPr>
            </w:pPr>
            <w:r w:rsidRPr="00491DCB">
              <w:rPr>
                <w:rFonts w:ascii="Montserrat Medium" w:eastAsia="Times New Roman" w:hAnsi="Montserrat Medium" w:cs="Futura Medium"/>
                <w:b/>
                <w:bCs/>
                <w:noProof/>
                <w:sz w:val="16"/>
                <w:szCs w:val="17"/>
                <w:lang w:val="es-MX" w:eastAsia="es-MX"/>
              </w:rPr>
              <w:fldChar w:fldCharType="begin"/>
            </w:r>
            <w:r w:rsidRPr="00491DCB">
              <w:rPr>
                <w:rFonts w:ascii="Montserrat Medium" w:eastAsia="Times New Roman" w:hAnsi="Montserrat Medium" w:cs="Futura Medium"/>
                <w:b/>
                <w:bCs/>
                <w:noProof/>
                <w:sz w:val="16"/>
                <w:szCs w:val="17"/>
                <w:lang w:val="es-MX" w:eastAsia="es-MX"/>
              </w:rPr>
              <w:instrText xml:space="preserve"> =SUM(ABOVE) </w:instrText>
            </w:r>
            <w:r w:rsidRPr="00491DCB">
              <w:rPr>
                <w:rFonts w:ascii="Montserrat Medium" w:eastAsia="Times New Roman" w:hAnsi="Montserrat Medium" w:cs="Futura Medium"/>
                <w:b/>
                <w:bCs/>
                <w:noProof/>
                <w:sz w:val="16"/>
                <w:szCs w:val="17"/>
                <w:lang w:val="es-MX" w:eastAsia="es-MX"/>
              </w:rPr>
              <w:fldChar w:fldCharType="separate"/>
            </w:r>
            <w:r w:rsidRPr="00491DCB">
              <w:rPr>
                <w:rFonts w:ascii="Montserrat Medium" w:eastAsia="Times New Roman" w:hAnsi="Montserrat Medium" w:cs="Futura Medium"/>
                <w:b/>
                <w:bCs/>
                <w:noProof/>
                <w:sz w:val="16"/>
                <w:szCs w:val="17"/>
                <w:lang w:val="es-MX" w:eastAsia="es-MX"/>
              </w:rPr>
              <w:t>74,016,356.55</w:t>
            </w:r>
            <w:r w:rsidRPr="00491DCB">
              <w:rPr>
                <w:rFonts w:ascii="Montserrat Medium" w:eastAsia="Times New Roman" w:hAnsi="Montserrat Medium" w:cs="Futura Medium"/>
                <w:b/>
                <w:bCs/>
                <w:noProof/>
                <w:sz w:val="16"/>
                <w:szCs w:val="17"/>
                <w:lang w:val="es-MX" w:eastAsia="es-MX"/>
              </w:rPr>
              <w:fldChar w:fldCharType="end"/>
            </w:r>
          </w:p>
        </w:tc>
        <w:tc>
          <w:tcPr>
            <w:tcW w:w="1563" w:type="dxa"/>
            <w:tcBorders>
              <w:top w:val="single" w:sz="4" w:space="0" w:color="auto"/>
              <w:left w:val="nil"/>
              <w:bottom w:val="single" w:sz="4" w:space="0" w:color="auto"/>
              <w:right w:val="single" w:sz="4" w:space="0" w:color="auto"/>
            </w:tcBorders>
            <w:shd w:val="clear" w:color="auto" w:fill="auto"/>
            <w:vAlign w:val="bottom"/>
          </w:tcPr>
          <w:p w14:paraId="3762AEF9" w14:textId="15E05E75" w:rsidR="00491DCB" w:rsidRPr="00491DCB" w:rsidRDefault="00491DCB" w:rsidP="002F131C">
            <w:pPr>
              <w:jc w:val="right"/>
              <w:rPr>
                <w:rFonts w:ascii="Montserrat Medium" w:eastAsia="Times New Roman" w:hAnsi="Montserrat Medium" w:cs="Futura Medium"/>
                <w:b/>
                <w:bCs/>
                <w:noProof/>
                <w:sz w:val="16"/>
                <w:szCs w:val="17"/>
                <w:lang w:val="es-MX" w:eastAsia="es-MX"/>
              </w:rPr>
            </w:pPr>
            <w:r w:rsidRPr="00491DCB">
              <w:rPr>
                <w:rFonts w:ascii="Montserrat Medium" w:eastAsia="Times New Roman" w:hAnsi="Montserrat Medium" w:cs="Futura Medium"/>
                <w:b/>
                <w:bCs/>
                <w:noProof/>
                <w:sz w:val="16"/>
                <w:szCs w:val="17"/>
                <w:lang w:val="es-MX" w:eastAsia="es-MX"/>
              </w:rPr>
              <w:fldChar w:fldCharType="begin"/>
            </w:r>
            <w:r w:rsidRPr="00491DCB">
              <w:rPr>
                <w:rFonts w:ascii="Montserrat Medium" w:eastAsia="Times New Roman" w:hAnsi="Montserrat Medium" w:cs="Futura Medium"/>
                <w:b/>
                <w:bCs/>
                <w:noProof/>
                <w:sz w:val="16"/>
                <w:szCs w:val="17"/>
                <w:lang w:val="es-MX" w:eastAsia="es-MX"/>
              </w:rPr>
              <w:instrText xml:space="preserve"> =SUM(ABOVE) </w:instrText>
            </w:r>
            <w:r w:rsidRPr="00491DCB">
              <w:rPr>
                <w:rFonts w:ascii="Montserrat Medium" w:eastAsia="Times New Roman" w:hAnsi="Montserrat Medium" w:cs="Futura Medium"/>
                <w:b/>
                <w:bCs/>
                <w:noProof/>
                <w:sz w:val="16"/>
                <w:szCs w:val="17"/>
                <w:lang w:val="es-MX" w:eastAsia="es-MX"/>
              </w:rPr>
              <w:fldChar w:fldCharType="separate"/>
            </w:r>
            <w:r w:rsidRPr="00491DCB">
              <w:rPr>
                <w:rFonts w:ascii="Montserrat Medium" w:eastAsia="Times New Roman" w:hAnsi="Montserrat Medium" w:cs="Futura Medium"/>
                <w:b/>
                <w:bCs/>
                <w:noProof/>
                <w:sz w:val="16"/>
                <w:szCs w:val="17"/>
                <w:lang w:val="es-MX" w:eastAsia="es-MX"/>
              </w:rPr>
              <w:t>19,157,400,377.04</w:t>
            </w:r>
            <w:r w:rsidRPr="00491DCB">
              <w:rPr>
                <w:rFonts w:ascii="Montserrat Medium" w:eastAsia="Times New Roman" w:hAnsi="Montserrat Medium" w:cs="Futura Medium"/>
                <w:b/>
                <w:bCs/>
                <w:noProof/>
                <w:sz w:val="16"/>
                <w:szCs w:val="17"/>
                <w:lang w:val="es-MX" w:eastAsia="es-MX"/>
              </w:rPr>
              <w:fldChar w:fldCharType="end"/>
            </w:r>
          </w:p>
        </w:tc>
        <w:tc>
          <w:tcPr>
            <w:tcW w:w="1571" w:type="dxa"/>
            <w:tcBorders>
              <w:top w:val="single" w:sz="4" w:space="0" w:color="auto"/>
              <w:left w:val="nil"/>
              <w:bottom w:val="single" w:sz="4" w:space="0" w:color="auto"/>
              <w:right w:val="single" w:sz="4" w:space="0" w:color="auto"/>
            </w:tcBorders>
            <w:shd w:val="clear" w:color="auto" w:fill="auto"/>
            <w:vAlign w:val="bottom"/>
          </w:tcPr>
          <w:p w14:paraId="5FDF5E32" w14:textId="69F50405" w:rsidR="00491DCB" w:rsidRPr="00491DCB" w:rsidRDefault="00491DCB" w:rsidP="002F131C">
            <w:pPr>
              <w:jc w:val="right"/>
              <w:rPr>
                <w:rFonts w:ascii="Montserrat Medium" w:eastAsia="Times New Roman" w:hAnsi="Montserrat Medium" w:cs="Futura Medium"/>
                <w:b/>
                <w:bCs/>
                <w:noProof/>
                <w:sz w:val="16"/>
                <w:szCs w:val="17"/>
                <w:lang w:val="es-MX" w:eastAsia="es-MX"/>
              </w:rPr>
            </w:pPr>
            <w:r w:rsidRPr="00491DCB">
              <w:rPr>
                <w:rFonts w:ascii="Montserrat Medium" w:eastAsia="Times New Roman" w:hAnsi="Montserrat Medium" w:cs="Futura Medium"/>
                <w:b/>
                <w:bCs/>
                <w:noProof/>
                <w:sz w:val="16"/>
                <w:szCs w:val="17"/>
                <w:lang w:val="es-MX" w:eastAsia="es-MX"/>
              </w:rPr>
              <w:fldChar w:fldCharType="begin"/>
            </w:r>
            <w:r w:rsidRPr="00491DCB">
              <w:rPr>
                <w:rFonts w:ascii="Montserrat Medium" w:eastAsia="Times New Roman" w:hAnsi="Montserrat Medium" w:cs="Futura Medium"/>
                <w:b/>
                <w:bCs/>
                <w:noProof/>
                <w:sz w:val="16"/>
                <w:szCs w:val="17"/>
                <w:lang w:val="es-MX" w:eastAsia="es-MX"/>
              </w:rPr>
              <w:instrText xml:space="preserve"> =SUM(ABOVE) </w:instrText>
            </w:r>
            <w:r w:rsidRPr="00491DCB">
              <w:rPr>
                <w:rFonts w:ascii="Montserrat Medium" w:eastAsia="Times New Roman" w:hAnsi="Montserrat Medium" w:cs="Futura Medium"/>
                <w:b/>
                <w:bCs/>
                <w:noProof/>
                <w:sz w:val="16"/>
                <w:szCs w:val="17"/>
                <w:lang w:val="es-MX" w:eastAsia="es-MX"/>
              </w:rPr>
              <w:fldChar w:fldCharType="separate"/>
            </w:r>
            <w:r w:rsidRPr="00491DCB">
              <w:rPr>
                <w:rFonts w:ascii="Montserrat Medium" w:eastAsia="Times New Roman" w:hAnsi="Montserrat Medium" w:cs="Futura Medium"/>
                <w:b/>
                <w:bCs/>
                <w:noProof/>
                <w:sz w:val="16"/>
                <w:szCs w:val="17"/>
                <w:lang w:val="es-MX" w:eastAsia="es-MX"/>
              </w:rPr>
              <w:t>19,231,416,733.59</w:t>
            </w:r>
            <w:r w:rsidRPr="00491DCB">
              <w:rPr>
                <w:rFonts w:ascii="Montserrat Medium" w:eastAsia="Times New Roman" w:hAnsi="Montserrat Medium" w:cs="Futura Medium"/>
                <w:b/>
                <w:bCs/>
                <w:noProof/>
                <w:sz w:val="16"/>
                <w:szCs w:val="17"/>
                <w:lang w:val="es-MX" w:eastAsia="es-MX"/>
              </w:rPr>
              <w:fldChar w:fldCharType="end"/>
            </w:r>
          </w:p>
        </w:tc>
        <w:tc>
          <w:tcPr>
            <w:tcW w:w="1279" w:type="dxa"/>
            <w:tcBorders>
              <w:top w:val="single" w:sz="4" w:space="0" w:color="auto"/>
              <w:left w:val="nil"/>
              <w:bottom w:val="single" w:sz="4" w:space="0" w:color="auto"/>
              <w:right w:val="single" w:sz="4" w:space="0" w:color="auto"/>
            </w:tcBorders>
            <w:shd w:val="clear" w:color="auto" w:fill="auto"/>
            <w:vAlign w:val="bottom"/>
          </w:tcPr>
          <w:p w14:paraId="172D98E8" w14:textId="77777777" w:rsidR="00491DCB" w:rsidRPr="00491DCB" w:rsidRDefault="00491DCB" w:rsidP="002F131C">
            <w:pPr>
              <w:jc w:val="right"/>
              <w:rPr>
                <w:rFonts w:ascii="Montserrat Medium" w:eastAsia="Times New Roman" w:hAnsi="Montserrat Medium" w:cs="Futura Medium"/>
                <w:b/>
                <w:bCs/>
                <w:sz w:val="16"/>
                <w:szCs w:val="17"/>
                <w:lang w:val="es-MX" w:eastAsia="es-MX"/>
              </w:rPr>
            </w:pPr>
            <w:r w:rsidRPr="00491DCB">
              <w:rPr>
                <w:rFonts w:ascii="Montserrat Medium" w:eastAsia="Times New Roman" w:hAnsi="Montserrat Medium" w:cs="Futura Medium"/>
                <w:b/>
                <w:bCs/>
                <w:sz w:val="16"/>
                <w:szCs w:val="17"/>
                <w:lang w:val="es-MX" w:eastAsia="es-MX"/>
              </w:rPr>
              <w:fldChar w:fldCharType="begin"/>
            </w:r>
            <w:r w:rsidRPr="00491DCB">
              <w:rPr>
                <w:rFonts w:ascii="Montserrat Medium" w:eastAsia="Times New Roman" w:hAnsi="Montserrat Medium" w:cs="Futura Medium"/>
                <w:b/>
                <w:bCs/>
                <w:sz w:val="16"/>
                <w:szCs w:val="17"/>
                <w:lang w:val="es-MX" w:eastAsia="es-MX"/>
              </w:rPr>
              <w:instrText xml:space="preserve"> =SUM(ABOVE) </w:instrText>
            </w:r>
            <w:r w:rsidRPr="00491DCB">
              <w:rPr>
                <w:rFonts w:ascii="Montserrat Medium" w:eastAsia="Times New Roman" w:hAnsi="Montserrat Medium" w:cs="Futura Medium"/>
                <w:b/>
                <w:bCs/>
                <w:sz w:val="16"/>
                <w:szCs w:val="17"/>
                <w:lang w:val="es-MX" w:eastAsia="es-MX"/>
              </w:rPr>
              <w:fldChar w:fldCharType="separate"/>
            </w:r>
            <w:r w:rsidRPr="00491DCB">
              <w:rPr>
                <w:rFonts w:ascii="Montserrat Medium" w:eastAsia="Times New Roman" w:hAnsi="Montserrat Medium" w:cs="Futura Medium"/>
                <w:b/>
                <w:bCs/>
                <w:noProof/>
                <w:sz w:val="16"/>
                <w:szCs w:val="17"/>
                <w:lang w:val="es-MX" w:eastAsia="es-MX"/>
              </w:rPr>
              <w:t>68,496,917.82</w:t>
            </w:r>
            <w:r w:rsidRPr="00491DCB">
              <w:rPr>
                <w:rFonts w:ascii="Montserrat Medium" w:eastAsia="Times New Roman" w:hAnsi="Montserrat Medium" w:cs="Futura Medium"/>
                <w:b/>
                <w:bCs/>
                <w:sz w:val="16"/>
                <w:szCs w:val="17"/>
                <w:lang w:val="es-MX" w:eastAsia="es-MX"/>
              </w:rPr>
              <w:fldChar w:fldCharType="end"/>
            </w:r>
          </w:p>
        </w:tc>
        <w:tc>
          <w:tcPr>
            <w:tcW w:w="1589" w:type="dxa"/>
            <w:tcBorders>
              <w:top w:val="single" w:sz="4" w:space="0" w:color="auto"/>
              <w:left w:val="nil"/>
              <w:bottom w:val="single" w:sz="4" w:space="0" w:color="auto"/>
              <w:right w:val="single" w:sz="4" w:space="0" w:color="auto"/>
            </w:tcBorders>
            <w:shd w:val="clear" w:color="auto" w:fill="auto"/>
            <w:vAlign w:val="bottom"/>
          </w:tcPr>
          <w:p w14:paraId="4B4FAF9B" w14:textId="77777777" w:rsidR="00491DCB" w:rsidRPr="00491DCB" w:rsidRDefault="00491DCB" w:rsidP="002F131C">
            <w:pPr>
              <w:jc w:val="right"/>
              <w:rPr>
                <w:rFonts w:ascii="Montserrat Medium" w:eastAsia="Times New Roman" w:hAnsi="Montserrat Medium" w:cs="Futura Medium"/>
                <w:b/>
                <w:bCs/>
                <w:sz w:val="16"/>
                <w:szCs w:val="17"/>
                <w:lang w:val="es-MX" w:eastAsia="es-MX"/>
              </w:rPr>
            </w:pPr>
            <w:r w:rsidRPr="00491DCB">
              <w:rPr>
                <w:rFonts w:ascii="Montserrat Medium" w:eastAsia="Times New Roman" w:hAnsi="Montserrat Medium" w:cs="Futura Medium"/>
                <w:b/>
                <w:bCs/>
                <w:sz w:val="16"/>
                <w:szCs w:val="17"/>
                <w:lang w:val="es-MX" w:eastAsia="es-MX"/>
              </w:rPr>
              <w:fldChar w:fldCharType="begin"/>
            </w:r>
            <w:r w:rsidRPr="00491DCB">
              <w:rPr>
                <w:rFonts w:ascii="Montserrat Medium" w:eastAsia="Times New Roman" w:hAnsi="Montserrat Medium" w:cs="Futura Medium"/>
                <w:b/>
                <w:bCs/>
                <w:sz w:val="16"/>
                <w:szCs w:val="17"/>
                <w:lang w:val="es-MX" w:eastAsia="es-MX"/>
              </w:rPr>
              <w:instrText xml:space="preserve"> =SUM(ABOVE) </w:instrText>
            </w:r>
            <w:r w:rsidRPr="00491DCB">
              <w:rPr>
                <w:rFonts w:ascii="Montserrat Medium" w:eastAsia="Times New Roman" w:hAnsi="Montserrat Medium" w:cs="Futura Medium"/>
                <w:b/>
                <w:bCs/>
                <w:sz w:val="16"/>
                <w:szCs w:val="17"/>
                <w:lang w:val="es-MX" w:eastAsia="es-MX"/>
              </w:rPr>
              <w:fldChar w:fldCharType="separate"/>
            </w:r>
            <w:r w:rsidRPr="00491DCB">
              <w:rPr>
                <w:rFonts w:ascii="Montserrat Medium" w:eastAsia="Times New Roman" w:hAnsi="Montserrat Medium" w:cs="Futura Medium"/>
                <w:b/>
                <w:bCs/>
                <w:noProof/>
                <w:sz w:val="16"/>
                <w:szCs w:val="17"/>
                <w:lang w:val="es-MX" w:eastAsia="es-MX"/>
              </w:rPr>
              <w:t>19,195,841,856.51</w:t>
            </w:r>
            <w:r w:rsidRPr="00491DCB">
              <w:rPr>
                <w:rFonts w:ascii="Montserrat Medium" w:eastAsia="Times New Roman" w:hAnsi="Montserrat Medium" w:cs="Futura Medium"/>
                <w:b/>
                <w:bCs/>
                <w:sz w:val="16"/>
                <w:szCs w:val="17"/>
                <w:lang w:val="es-MX" w:eastAsia="es-MX"/>
              </w:rPr>
              <w:fldChar w:fldCharType="end"/>
            </w:r>
          </w:p>
        </w:tc>
        <w:tc>
          <w:tcPr>
            <w:tcW w:w="1677" w:type="dxa"/>
            <w:tcBorders>
              <w:top w:val="single" w:sz="4" w:space="0" w:color="auto"/>
              <w:left w:val="nil"/>
              <w:bottom w:val="single" w:sz="4" w:space="0" w:color="auto"/>
              <w:right w:val="single" w:sz="4" w:space="0" w:color="auto"/>
            </w:tcBorders>
            <w:shd w:val="clear" w:color="auto" w:fill="auto"/>
            <w:vAlign w:val="bottom"/>
          </w:tcPr>
          <w:p w14:paraId="4B10B768" w14:textId="77777777" w:rsidR="00491DCB" w:rsidRPr="00491DCB" w:rsidRDefault="00491DCB" w:rsidP="002F131C">
            <w:pPr>
              <w:jc w:val="right"/>
              <w:rPr>
                <w:rFonts w:ascii="Montserrat Medium" w:eastAsia="Times New Roman" w:hAnsi="Montserrat Medium" w:cs="Futura Medium"/>
                <w:b/>
                <w:bCs/>
                <w:sz w:val="16"/>
                <w:szCs w:val="17"/>
                <w:lang w:val="es-MX" w:eastAsia="es-MX"/>
              </w:rPr>
            </w:pPr>
            <w:r w:rsidRPr="00491DCB">
              <w:rPr>
                <w:rFonts w:ascii="Montserrat Medium" w:eastAsia="Times New Roman" w:hAnsi="Montserrat Medium" w:cs="Futura Medium"/>
                <w:b/>
                <w:bCs/>
                <w:sz w:val="16"/>
                <w:szCs w:val="17"/>
                <w:lang w:val="es-MX" w:eastAsia="es-MX"/>
              </w:rPr>
              <w:fldChar w:fldCharType="begin"/>
            </w:r>
            <w:r w:rsidRPr="00491DCB">
              <w:rPr>
                <w:rFonts w:ascii="Montserrat Medium" w:eastAsia="Times New Roman" w:hAnsi="Montserrat Medium" w:cs="Futura Medium"/>
                <w:b/>
                <w:bCs/>
                <w:sz w:val="16"/>
                <w:szCs w:val="17"/>
                <w:lang w:val="es-MX" w:eastAsia="es-MX"/>
              </w:rPr>
              <w:instrText xml:space="preserve"> =SUM(ABOVE) </w:instrText>
            </w:r>
            <w:r w:rsidRPr="00491DCB">
              <w:rPr>
                <w:rFonts w:ascii="Montserrat Medium" w:eastAsia="Times New Roman" w:hAnsi="Montserrat Medium" w:cs="Futura Medium"/>
                <w:b/>
                <w:bCs/>
                <w:sz w:val="16"/>
                <w:szCs w:val="17"/>
                <w:lang w:val="es-MX" w:eastAsia="es-MX"/>
              </w:rPr>
              <w:fldChar w:fldCharType="separate"/>
            </w:r>
            <w:r w:rsidRPr="00491DCB">
              <w:rPr>
                <w:rFonts w:ascii="Montserrat Medium" w:eastAsia="Times New Roman" w:hAnsi="Montserrat Medium" w:cs="Futura Medium"/>
                <w:b/>
                <w:bCs/>
                <w:noProof/>
                <w:sz w:val="16"/>
                <w:szCs w:val="17"/>
                <w:lang w:val="es-MX" w:eastAsia="es-MX"/>
              </w:rPr>
              <w:t>19,264,338,774.33</w:t>
            </w:r>
            <w:r w:rsidRPr="00491DCB">
              <w:rPr>
                <w:rFonts w:ascii="Montserrat Medium" w:eastAsia="Times New Roman" w:hAnsi="Montserrat Medium" w:cs="Futura Medium"/>
                <w:b/>
                <w:bCs/>
                <w:sz w:val="16"/>
                <w:szCs w:val="17"/>
                <w:lang w:val="es-MX" w:eastAsia="es-MX"/>
              </w:rPr>
              <w:fldChar w:fldCharType="end"/>
            </w:r>
          </w:p>
        </w:tc>
      </w:tr>
    </w:tbl>
    <w:p w14:paraId="5875042F" w14:textId="77777777" w:rsidR="00A60187" w:rsidRPr="00491DCB" w:rsidRDefault="00A60187" w:rsidP="002F131C">
      <w:pPr>
        <w:rPr>
          <w:rFonts w:ascii="Montserrat Medium" w:eastAsia="Times New Roman" w:hAnsi="Montserrat Medium" w:cs="Futura Medium"/>
          <w:sz w:val="16"/>
          <w:szCs w:val="14"/>
          <w:lang w:val="es-MX" w:eastAsia="es-MX"/>
        </w:rPr>
      </w:pPr>
      <w:r w:rsidRPr="00491DCB">
        <w:rPr>
          <w:rFonts w:ascii="Montserrat Medium" w:eastAsia="Times New Roman" w:hAnsi="Montserrat Medium" w:cs="Futura Medium"/>
          <w:sz w:val="16"/>
          <w:szCs w:val="14"/>
          <w:lang w:val="es-MX" w:eastAsia="es-MX"/>
        </w:rPr>
        <w:t>Nota: * El crédito de BBVA México, S.A. corresponde al importe contratado de $ 1,000,000,000.00  mismo que mediante el segundo convenio modificatorio de fecha 27 de febrero de 2024, quedo en $ 737,138,810.00</w:t>
      </w:r>
    </w:p>
    <w:p w14:paraId="5D88ACB1" w14:textId="77777777" w:rsidR="00BE5091" w:rsidRPr="009C26EF" w:rsidRDefault="00BE5091" w:rsidP="002F131C">
      <w:pPr>
        <w:jc w:val="both"/>
        <w:rPr>
          <w:rFonts w:ascii="Montserrat Medium" w:eastAsia="Times New Roman" w:hAnsi="Montserrat Medium" w:cs="Arial"/>
          <w:sz w:val="22"/>
          <w:highlight w:val="yellow"/>
          <w:lang w:eastAsia="en-US"/>
        </w:rPr>
      </w:pPr>
    </w:p>
    <w:p w14:paraId="3A82AD1D" w14:textId="77777777" w:rsidR="00A60187" w:rsidRPr="00491DCB" w:rsidRDefault="00A60187" w:rsidP="002F131C">
      <w:pPr>
        <w:jc w:val="both"/>
        <w:rPr>
          <w:rFonts w:ascii="Montserrat Medium" w:hAnsi="Montserrat Medium" w:cs="Futura Medium"/>
          <w:b/>
          <w:sz w:val="16"/>
          <w:szCs w:val="16"/>
        </w:rPr>
      </w:pPr>
      <w:r w:rsidRPr="00491DCB">
        <w:rPr>
          <w:rFonts w:ascii="Montserrat Medium" w:hAnsi="Montserrat Medium" w:cs="Futura Medium"/>
          <w:b/>
          <w:sz w:val="16"/>
          <w:szCs w:val="16"/>
          <w:vertAlign w:val="superscript"/>
        </w:rPr>
        <w:t xml:space="preserve">1 </w:t>
      </w:r>
      <w:r w:rsidRPr="00491DCB">
        <w:rPr>
          <w:rFonts w:ascii="Montserrat Medium" w:hAnsi="Montserrat Medium" w:cs="Futura Medium"/>
          <w:b/>
          <w:sz w:val="16"/>
          <w:szCs w:val="16"/>
        </w:rPr>
        <w:t xml:space="preserve">Condiciones contractuales del crédito simple celebrado con Banco Mercantil del Norte, S.A. </w:t>
      </w:r>
    </w:p>
    <w:p w14:paraId="4238078E" w14:textId="77777777" w:rsidR="00A60187" w:rsidRPr="00491DCB" w:rsidRDefault="00A60187" w:rsidP="002F131C">
      <w:pPr>
        <w:ind w:firstLine="567"/>
        <w:jc w:val="both"/>
        <w:rPr>
          <w:rFonts w:ascii="Montserrat Medium" w:hAnsi="Montserrat Medium" w:cs="Futura Medium"/>
          <w:color w:val="595959"/>
          <w:sz w:val="16"/>
          <w:szCs w:val="16"/>
        </w:rPr>
      </w:pPr>
    </w:p>
    <w:p w14:paraId="7A869A24" w14:textId="77777777" w:rsidR="00A60187" w:rsidRPr="00491DCB" w:rsidRDefault="00A60187" w:rsidP="002F131C">
      <w:pPr>
        <w:jc w:val="both"/>
        <w:rPr>
          <w:rFonts w:ascii="Montserrat Medium" w:hAnsi="Montserrat Medium" w:cs="Futura Medium"/>
          <w:color w:val="595959"/>
          <w:sz w:val="16"/>
          <w:szCs w:val="16"/>
        </w:rPr>
      </w:pPr>
      <w:r w:rsidRPr="00491DCB">
        <w:rPr>
          <w:rFonts w:ascii="Montserrat Medium" w:hAnsi="Montserrat Medium" w:cs="Futura Medium"/>
          <w:color w:val="595959"/>
          <w:sz w:val="16"/>
          <w:szCs w:val="16"/>
        </w:rPr>
        <w:t>Crédito simple celebrado el 12 de enero de 2024, entre el Estado de Quintana Roo (acreditado) y el Banco Mercantil del Norte, S.A. Institución de Banca Múltiple, Grupo Financiero BANORTE (BANORTE), como acreditante, hasta por la cantidad de $3,000,000,000.00 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mayo de 2024 se empezó a amortizar el crédito con base a la primera disposición. Las amortizaciones de capital son mensuales y crecientes.</w:t>
      </w:r>
    </w:p>
    <w:p w14:paraId="18D442D4" w14:textId="77777777" w:rsidR="00A60187" w:rsidRPr="00491DCB" w:rsidRDefault="00A60187" w:rsidP="002F131C">
      <w:pPr>
        <w:jc w:val="both"/>
        <w:rPr>
          <w:rFonts w:ascii="Montserrat Medium" w:hAnsi="Montserrat Medium" w:cs="Futura Medium"/>
          <w:color w:val="595959"/>
          <w:sz w:val="16"/>
          <w:szCs w:val="16"/>
        </w:rPr>
      </w:pPr>
    </w:p>
    <w:p w14:paraId="22147A49" w14:textId="77777777" w:rsidR="00A60187" w:rsidRPr="00491DCB" w:rsidRDefault="00A60187" w:rsidP="002F131C">
      <w:pPr>
        <w:jc w:val="both"/>
        <w:rPr>
          <w:rFonts w:ascii="Montserrat Medium" w:hAnsi="Montserrat Medium" w:cs="Futura Medium"/>
          <w:color w:val="595959"/>
          <w:sz w:val="16"/>
          <w:szCs w:val="16"/>
        </w:rPr>
      </w:pPr>
      <w:r w:rsidRPr="00491DCB">
        <w:rPr>
          <w:rFonts w:ascii="Montserrat Medium" w:hAnsi="Montserrat Medium" w:cs="Futura Medium"/>
          <w:color w:val="595959"/>
          <w:sz w:val="16"/>
          <w:szCs w:val="16"/>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0.45 a 2.76, según la calificación del crédito. </w:t>
      </w:r>
    </w:p>
    <w:p w14:paraId="06A41000" w14:textId="77777777" w:rsidR="00A60187" w:rsidRPr="00491DCB" w:rsidRDefault="00A60187" w:rsidP="002F131C">
      <w:pPr>
        <w:jc w:val="both"/>
        <w:rPr>
          <w:rFonts w:ascii="Montserrat Medium" w:hAnsi="Montserrat Medium" w:cs="Futura Medium"/>
          <w:color w:val="595959"/>
          <w:sz w:val="16"/>
          <w:szCs w:val="16"/>
        </w:rPr>
      </w:pPr>
    </w:p>
    <w:p w14:paraId="5F067C6E" w14:textId="77777777" w:rsidR="00A60187" w:rsidRPr="00491DCB" w:rsidRDefault="00A60187" w:rsidP="002F131C">
      <w:pPr>
        <w:jc w:val="both"/>
        <w:rPr>
          <w:rFonts w:ascii="Montserrat Medium" w:hAnsi="Montserrat Medium" w:cs="Futura Medium"/>
          <w:color w:val="595959"/>
          <w:sz w:val="16"/>
          <w:szCs w:val="16"/>
        </w:rPr>
      </w:pPr>
      <w:r w:rsidRPr="00491DCB">
        <w:rPr>
          <w:rFonts w:ascii="Montserrat Medium" w:hAnsi="Montserrat Medium" w:cs="Futura Medium"/>
          <w:color w:val="595959"/>
          <w:sz w:val="16"/>
          <w:szCs w:val="16"/>
        </w:rPr>
        <w:t xml:space="preserve">El acreditado deberá constituir, mantener y, en su caso, reconstituir un fondo de reserva para el pago de interés y capital, que deberá equivaler en todo momento, durante la vigencia del crédito, por un monto equivalente al Saldo Objetivo del </w:t>
      </w:r>
      <w:r w:rsidRPr="00491DCB">
        <w:rPr>
          <w:rFonts w:ascii="Montserrat Medium" w:hAnsi="Montserrat Medium" w:cs="Futura Medium"/>
          <w:color w:val="595959"/>
          <w:sz w:val="16"/>
          <w:szCs w:val="16"/>
        </w:rPr>
        <w:lastRenderedPageBreak/>
        <w:t>Fondo de Reserva cantidad a 2 (dos) meses del servicio de la deuda del Crédito del período inmediato siguiente que corresponda.</w:t>
      </w:r>
    </w:p>
    <w:p w14:paraId="16E07D27" w14:textId="77777777" w:rsidR="00A60187" w:rsidRPr="00491DCB" w:rsidRDefault="00A60187" w:rsidP="002F131C">
      <w:pPr>
        <w:ind w:left="1211"/>
        <w:jc w:val="both"/>
        <w:rPr>
          <w:rFonts w:ascii="Montserrat Medium" w:hAnsi="Montserrat Medium" w:cs="Futura Medium"/>
          <w:color w:val="595959"/>
          <w:sz w:val="16"/>
          <w:szCs w:val="16"/>
        </w:rPr>
      </w:pPr>
    </w:p>
    <w:p w14:paraId="5F8B6FE7" w14:textId="77777777" w:rsidR="0046184C" w:rsidRPr="0046184C" w:rsidRDefault="0046184C" w:rsidP="0046184C">
      <w:pPr>
        <w:spacing w:line="276" w:lineRule="auto"/>
        <w:jc w:val="both"/>
        <w:rPr>
          <w:rFonts w:ascii="Montserrat Medium" w:hAnsi="Montserrat Medium" w:cs="Futura Medium"/>
          <w:color w:val="595959"/>
          <w:sz w:val="16"/>
          <w:szCs w:val="16"/>
        </w:rPr>
      </w:pPr>
      <w:r w:rsidRPr="0046184C">
        <w:rPr>
          <w:rFonts w:ascii="Montserrat Medium" w:hAnsi="Montserrat Medium" w:cs="Futura Medium"/>
          <w:color w:val="595959"/>
          <w:sz w:val="16"/>
          <w:szCs w:val="16"/>
        </w:rPr>
        <w:t>Durante el año de 2025 se han efectuado amortizaciones al capital por $5</w:t>
      </w:r>
      <w:proofErr w:type="gramStart"/>
      <w:r w:rsidRPr="0046184C">
        <w:rPr>
          <w:rFonts w:ascii="Montserrat Medium" w:hAnsi="Montserrat Medium" w:cs="Futura Medium"/>
          <w:color w:val="595959"/>
          <w:sz w:val="16"/>
          <w:szCs w:val="16"/>
        </w:rPr>
        <w:t>,911,379.00</w:t>
      </w:r>
      <w:proofErr w:type="gramEnd"/>
      <w:r w:rsidRPr="0046184C">
        <w:rPr>
          <w:rFonts w:ascii="Montserrat Medium" w:hAnsi="Montserrat Medium" w:cs="Futura Medium"/>
          <w:color w:val="595959"/>
          <w:sz w:val="16"/>
          <w:szCs w:val="16"/>
        </w:rPr>
        <w:t>, con lo cual el saldo al 30 de junio de 2025 es de $ 2,986,886,738.00</w:t>
      </w:r>
    </w:p>
    <w:p w14:paraId="278DA9ED" w14:textId="77777777" w:rsidR="00A60187" w:rsidRPr="009C26EF" w:rsidRDefault="00A60187" w:rsidP="002F131C">
      <w:pPr>
        <w:jc w:val="both"/>
        <w:rPr>
          <w:rFonts w:ascii="Montserrat Medium" w:hAnsi="Montserrat Medium" w:cs="Futura Medium"/>
          <w:color w:val="595959"/>
          <w:sz w:val="16"/>
          <w:szCs w:val="16"/>
          <w:highlight w:val="yellow"/>
        </w:rPr>
      </w:pPr>
    </w:p>
    <w:p w14:paraId="6050B3BE" w14:textId="77777777" w:rsidR="00A60187" w:rsidRPr="0046184C" w:rsidRDefault="00A60187" w:rsidP="002F131C">
      <w:pPr>
        <w:jc w:val="both"/>
        <w:rPr>
          <w:rFonts w:ascii="Montserrat Medium" w:hAnsi="Montserrat Medium" w:cs="Futura Medium"/>
          <w:b/>
          <w:sz w:val="16"/>
          <w:szCs w:val="16"/>
        </w:rPr>
      </w:pPr>
      <w:r w:rsidRPr="0046184C">
        <w:rPr>
          <w:rFonts w:ascii="Montserrat Medium" w:hAnsi="Montserrat Medium" w:cs="Futura Medium"/>
          <w:b/>
          <w:sz w:val="16"/>
          <w:szCs w:val="16"/>
          <w:vertAlign w:val="superscript"/>
        </w:rPr>
        <w:t xml:space="preserve">2 </w:t>
      </w:r>
      <w:r w:rsidRPr="0046184C">
        <w:rPr>
          <w:rFonts w:ascii="Montserrat Medium" w:hAnsi="Montserrat Medium" w:cs="Futura Medium"/>
          <w:b/>
          <w:sz w:val="16"/>
          <w:szCs w:val="16"/>
        </w:rPr>
        <w:t xml:space="preserve">Condiciones contractuales del crédito simple celebrado con Banco Mercantil del Norte, S.A. </w:t>
      </w:r>
    </w:p>
    <w:p w14:paraId="130C70A5" w14:textId="77777777" w:rsidR="00A60187" w:rsidRPr="0046184C" w:rsidRDefault="00A60187" w:rsidP="002F131C">
      <w:pPr>
        <w:ind w:firstLine="567"/>
        <w:jc w:val="both"/>
        <w:rPr>
          <w:rFonts w:ascii="Montserrat Medium" w:hAnsi="Montserrat Medium" w:cs="Futura Medium"/>
          <w:color w:val="595959"/>
          <w:sz w:val="16"/>
          <w:szCs w:val="16"/>
        </w:rPr>
      </w:pPr>
    </w:p>
    <w:p w14:paraId="5F4A291B" w14:textId="42A2A9D8" w:rsidR="00A60187" w:rsidRPr="0046184C" w:rsidRDefault="00A60187" w:rsidP="002F131C">
      <w:pPr>
        <w:jc w:val="both"/>
        <w:rPr>
          <w:rFonts w:ascii="Montserrat Medium" w:hAnsi="Montserrat Medium" w:cs="Futura Medium"/>
          <w:color w:val="595959"/>
          <w:sz w:val="16"/>
          <w:szCs w:val="16"/>
        </w:rPr>
      </w:pPr>
      <w:r w:rsidRPr="0046184C">
        <w:rPr>
          <w:rFonts w:ascii="Montserrat Medium" w:hAnsi="Montserrat Medium" w:cs="Futura Medium"/>
          <w:color w:val="595959"/>
          <w:sz w:val="16"/>
          <w:szCs w:val="16"/>
        </w:rPr>
        <w:t>Crédito simple celebrado el 12 de enero de 2024, entre el Estado de Quintana Roo (acreditado) y el Banco Mercantil del Norte, S.A. Institución de Banca Múltiple, Grupo Financiero BANORTE (BANORTE), como acreditante, hasta por la</w:t>
      </w:r>
      <w:r w:rsidR="00C00037">
        <w:rPr>
          <w:rFonts w:ascii="Montserrat Medium" w:hAnsi="Montserrat Medium" w:cs="Futura Medium"/>
          <w:color w:val="595959"/>
          <w:sz w:val="16"/>
          <w:szCs w:val="16"/>
        </w:rPr>
        <w:t xml:space="preserve"> cantidad de $3,300,000,000.00 </w:t>
      </w:r>
      <w:r w:rsidRPr="0046184C">
        <w:rPr>
          <w:rFonts w:ascii="Montserrat Medium" w:hAnsi="Montserrat Medium" w:cs="Futura Medium"/>
          <w:color w:val="595959"/>
          <w:sz w:val="16"/>
          <w:szCs w:val="16"/>
        </w:rPr>
        <w:t>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mayo de 2024 se empezó a amortizar el crédito con base a la primera disposición. Las amortizaciones de capital son mensuales y crecientes.</w:t>
      </w:r>
    </w:p>
    <w:p w14:paraId="3B17CF5E" w14:textId="77777777" w:rsidR="00A60187" w:rsidRPr="0046184C" w:rsidRDefault="00A60187" w:rsidP="002F131C">
      <w:pPr>
        <w:jc w:val="both"/>
        <w:rPr>
          <w:rFonts w:ascii="Montserrat Medium" w:hAnsi="Montserrat Medium" w:cs="Futura Medium"/>
          <w:color w:val="595959"/>
          <w:sz w:val="16"/>
          <w:szCs w:val="16"/>
        </w:rPr>
      </w:pPr>
    </w:p>
    <w:p w14:paraId="1B7B2BD5" w14:textId="77777777" w:rsidR="00A60187" w:rsidRPr="0046184C" w:rsidRDefault="00A60187" w:rsidP="002F131C">
      <w:pPr>
        <w:jc w:val="both"/>
        <w:rPr>
          <w:rFonts w:ascii="Montserrat Medium" w:hAnsi="Montserrat Medium" w:cs="Futura Medium"/>
          <w:color w:val="595959"/>
          <w:sz w:val="16"/>
          <w:szCs w:val="16"/>
        </w:rPr>
      </w:pPr>
      <w:r w:rsidRPr="0046184C">
        <w:rPr>
          <w:rFonts w:ascii="Montserrat Medium" w:hAnsi="Montserrat Medium" w:cs="Futura Medium"/>
          <w:color w:val="595959"/>
          <w:sz w:val="16"/>
          <w:szCs w:val="16"/>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0.48 a 2.76, según la calificación del crédito. </w:t>
      </w:r>
    </w:p>
    <w:p w14:paraId="5F4D4652" w14:textId="77777777" w:rsidR="00A60187" w:rsidRPr="0046184C" w:rsidRDefault="00A60187" w:rsidP="002F131C">
      <w:pPr>
        <w:jc w:val="both"/>
        <w:rPr>
          <w:rFonts w:ascii="Montserrat Medium" w:hAnsi="Montserrat Medium" w:cs="Futura Medium"/>
          <w:color w:val="595959"/>
          <w:sz w:val="16"/>
          <w:szCs w:val="16"/>
        </w:rPr>
      </w:pPr>
    </w:p>
    <w:p w14:paraId="328F9D9E" w14:textId="77777777" w:rsidR="00A60187" w:rsidRDefault="00A60187" w:rsidP="002F131C">
      <w:pPr>
        <w:jc w:val="both"/>
        <w:rPr>
          <w:rFonts w:ascii="Montserrat Medium" w:hAnsi="Montserrat Medium" w:cs="Futura Medium"/>
          <w:color w:val="595959"/>
          <w:sz w:val="16"/>
          <w:szCs w:val="16"/>
        </w:rPr>
      </w:pPr>
      <w:r w:rsidRPr="0046184C">
        <w:rPr>
          <w:rFonts w:ascii="Montserrat Medium" w:hAnsi="Montserrat Medium" w:cs="Futura Medium"/>
          <w:color w:val="595959"/>
          <w:sz w:val="16"/>
          <w:szCs w:val="16"/>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47757D8B" w14:textId="77777777" w:rsidR="0046184C" w:rsidRPr="0046184C" w:rsidRDefault="0046184C" w:rsidP="002F131C">
      <w:pPr>
        <w:jc w:val="both"/>
        <w:rPr>
          <w:rFonts w:ascii="Montserrat Medium" w:hAnsi="Montserrat Medium" w:cs="Futura Medium"/>
          <w:color w:val="595959"/>
          <w:sz w:val="16"/>
          <w:szCs w:val="16"/>
        </w:rPr>
      </w:pPr>
    </w:p>
    <w:p w14:paraId="686FCAA8" w14:textId="77777777" w:rsidR="0046184C" w:rsidRPr="0046184C" w:rsidRDefault="0046184C" w:rsidP="0046184C">
      <w:pPr>
        <w:jc w:val="both"/>
        <w:rPr>
          <w:rFonts w:ascii="Montserrat Medium" w:hAnsi="Montserrat Medium" w:cs="Futura Medium"/>
          <w:color w:val="595959"/>
          <w:sz w:val="16"/>
          <w:szCs w:val="16"/>
        </w:rPr>
      </w:pPr>
      <w:r w:rsidRPr="0046184C">
        <w:rPr>
          <w:rFonts w:ascii="Montserrat Medium" w:hAnsi="Montserrat Medium" w:cs="Futura Medium"/>
          <w:color w:val="595959"/>
          <w:sz w:val="16"/>
          <w:szCs w:val="16"/>
        </w:rPr>
        <w:t>Durante el año de 2025 se han efectuado amortizaciones al capital por $6</w:t>
      </w:r>
      <w:proofErr w:type="gramStart"/>
      <w:r w:rsidRPr="0046184C">
        <w:rPr>
          <w:rFonts w:ascii="Montserrat Medium" w:hAnsi="Montserrat Medium" w:cs="Futura Medium"/>
          <w:color w:val="595959"/>
          <w:sz w:val="16"/>
          <w:szCs w:val="16"/>
        </w:rPr>
        <w:t>,502,518.00</w:t>
      </w:r>
      <w:proofErr w:type="gramEnd"/>
      <w:r w:rsidRPr="0046184C">
        <w:rPr>
          <w:rFonts w:ascii="Montserrat Medium" w:hAnsi="Montserrat Medium" w:cs="Futura Medium"/>
          <w:color w:val="595959"/>
          <w:sz w:val="16"/>
          <w:szCs w:val="16"/>
        </w:rPr>
        <w:t>, con lo cual el saldo al 30 de junio de 2025 es de $3,285,575,412.00</w:t>
      </w:r>
    </w:p>
    <w:p w14:paraId="2025FC31" w14:textId="77777777" w:rsidR="00A60187" w:rsidRPr="009C26EF" w:rsidRDefault="00A60187" w:rsidP="002F131C">
      <w:pPr>
        <w:jc w:val="both"/>
        <w:rPr>
          <w:rFonts w:ascii="Montserrat Medium" w:hAnsi="Montserrat Medium" w:cs="Futura Medium"/>
          <w:color w:val="595959"/>
          <w:sz w:val="16"/>
          <w:szCs w:val="16"/>
          <w:highlight w:val="yellow"/>
        </w:rPr>
      </w:pPr>
    </w:p>
    <w:p w14:paraId="6C48952D" w14:textId="77777777" w:rsidR="00A60187" w:rsidRPr="0046184C" w:rsidRDefault="00A60187" w:rsidP="002F131C">
      <w:pPr>
        <w:jc w:val="both"/>
        <w:rPr>
          <w:rFonts w:ascii="Montserrat Medium" w:hAnsi="Montserrat Medium" w:cs="Futura Medium"/>
          <w:b/>
          <w:color w:val="595959"/>
          <w:sz w:val="16"/>
          <w:szCs w:val="16"/>
        </w:rPr>
      </w:pPr>
      <w:r w:rsidRPr="0046184C">
        <w:rPr>
          <w:rFonts w:ascii="Montserrat Medium" w:hAnsi="Montserrat Medium" w:cs="Futura Medium"/>
          <w:b/>
          <w:sz w:val="16"/>
          <w:szCs w:val="16"/>
          <w:vertAlign w:val="superscript"/>
        </w:rPr>
        <w:t xml:space="preserve">3 </w:t>
      </w:r>
      <w:r w:rsidRPr="0046184C">
        <w:rPr>
          <w:rFonts w:ascii="Montserrat Medium" w:hAnsi="Montserrat Medium" w:cs="Futura Medium"/>
          <w:b/>
          <w:sz w:val="16"/>
          <w:szCs w:val="16"/>
        </w:rPr>
        <w:t>Condiciones contractuales del crédito simple celebrado con Banco BBVA México, S.A.</w:t>
      </w:r>
    </w:p>
    <w:p w14:paraId="378FD416" w14:textId="77777777" w:rsidR="00A60187" w:rsidRPr="0046184C" w:rsidRDefault="00A60187" w:rsidP="002F131C">
      <w:pPr>
        <w:ind w:firstLine="567"/>
        <w:jc w:val="both"/>
        <w:rPr>
          <w:rFonts w:ascii="Montserrat Medium" w:hAnsi="Montserrat Medium" w:cs="Futura Medium"/>
          <w:color w:val="595959"/>
          <w:sz w:val="16"/>
          <w:szCs w:val="16"/>
        </w:rPr>
      </w:pPr>
    </w:p>
    <w:p w14:paraId="23C829D5" w14:textId="77777777" w:rsidR="00A60187" w:rsidRPr="0046184C" w:rsidRDefault="00A60187" w:rsidP="002F131C">
      <w:pPr>
        <w:jc w:val="both"/>
        <w:rPr>
          <w:rFonts w:ascii="Montserrat Medium" w:hAnsi="Montserrat Medium" w:cs="Futura Medium"/>
          <w:color w:val="595959"/>
          <w:sz w:val="16"/>
          <w:szCs w:val="16"/>
        </w:rPr>
      </w:pPr>
      <w:r w:rsidRPr="0046184C">
        <w:rPr>
          <w:rFonts w:ascii="Montserrat Medium" w:hAnsi="Montserrat Medium" w:cs="Futura Medium"/>
          <w:color w:val="595959"/>
          <w:sz w:val="16"/>
          <w:szCs w:val="16"/>
        </w:rPr>
        <w:t>Crédito simple celebrado el 12 de enero de 2024, entre el Estado de Quintana Roo (acreditado) y el Banco BBVA México, S.A., como acreditante, hasta por la cantidad de $737</w:t>
      </w:r>
      <w:proofErr w:type="gramStart"/>
      <w:r w:rsidRPr="0046184C">
        <w:rPr>
          <w:rFonts w:ascii="Montserrat Medium" w:hAnsi="Montserrat Medium" w:cs="Futura Medium"/>
          <w:color w:val="595959"/>
          <w:sz w:val="16"/>
          <w:szCs w:val="16"/>
        </w:rPr>
        <w:t>,138,810.00</w:t>
      </w:r>
      <w:proofErr w:type="gramEnd"/>
      <w:r w:rsidRPr="0046184C">
        <w:rPr>
          <w:rFonts w:ascii="Montserrat Medium" w:hAnsi="Montserrat Medium" w:cs="Futura Medium"/>
          <w:color w:val="595959"/>
          <w:sz w:val="16"/>
          <w:szCs w:val="16"/>
        </w:rPr>
        <w:t xml:space="preserve"> 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mayo de 2024 se empezó a amortizar el crédito con base a la primera disposición. Las amortizaciones de capital son mensuales y crecientes.</w:t>
      </w:r>
    </w:p>
    <w:p w14:paraId="50F9A20D" w14:textId="77777777" w:rsidR="00A60187" w:rsidRPr="0046184C" w:rsidRDefault="00A60187" w:rsidP="002F131C">
      <w:pPr>
        <w:jc w:val="both"/>
        <w:rPr>
          <w:rFonts w:ascii="Montserrat Medium" w:hAnsi="Montserrat Medium" w:cs="Futura Medium"/>
          <w:color w:val="595959"/>
          <w:sz w:val="16"/>
          <w:szCs w:val="16"/>
        </w:rPr>
      </w:pPr>
    </w:p>
    <w:p w14:paraId="13CAA61D" w14:textId="77777777" w:rsidR="00A60187" w:rsidRPr="0046184C" w:rsidRDefault="00A60187" w:rsidP="002F131C">
      <w:pPr>
        <w:jc w:val="both"/>
        <w:rPr>
          <w:rFonts w:ascii="Montserrat Medium" w:hAnsi="Montserrat Medium" w:cs="Futura Medium"/>
          <w:color w:val="595959"/>
          <w:sz w:val="16"/>
          <w:szCs w:val="16"/>
        </w:rPr>
      </w:pPr>
      <w:r w:rsidRPr="0046184C">
        <w:rPr>
          <w:rFonts w:ascii="Montserrat Medium" w:hAnsi="Montserrat Medium" w:cs="Futura Medium"/>
          <w:color w:val="595959"/>
          <w:sz w:val="16"/>
          <w:szCs w:val="16"/>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0.46 a 4.13, según la calificación del crédito. </w:t>
      </w:r>
    </w:p>
    <w:p w14:paraId="605374C2" w14:textId="77777777" w:rsidR="00A60187" w:rsidRPr="0046184C" w:rsidRDefault="00A60187" w:rsidP="002F131C">
      <w:pPr>
        <w:jc w:val="both"/>
        <w:rPr>
          <w:rFonts w:ascii="Montserrat Medium" w:hAnsi="Montserrat Medium" w:cs="Futura Medium"/>
          <w:color w:val="595959"/>
          <w:sz w:val="16"/>
          <w:szCs w:val="16"/>
        </w:rPr>
      </w:pPr>
    </w:p>
    <w:p w14:paraId="7CB32897" w14:textId="77777777" w:rsidR="00A60187" w:rsidRDefault="00A60187" w:rsidP="002F131C">
      <w:pPr>
        <w:jc w:val="both"/>
        <w:rPr>
          <w:rFonts w:ascii="Montserrat Medium" w:hAnsi="Montserrat Medium" w:cs="Futura Medium"/>
          <w:color w:val="595959"/>
          <w:sz w:val="16"/>
          <w:szCs w:val="16"/>
        </w:rPr>
      </w:pPr>
      <w:r w:rsidRPr="0046184C">
        <w:rPr>
          <w:rFonts w:ascii="Montserrat Medium" w:hAnsi="Montserrat Medium" w:cs="Futura Medium"/>
          <w:color w:val="595959"/>
          <w:sz w:val="16"/>
          <w:szCs w:val="16"/>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3AD22617" w14:textId="77777777" w:rsidR="0046184C" w:rsidRPr="0046184C" w:rsidRDefault="0046184C" w:rsidP="002F131C">
      <w:pPr>
        <w:jc w:val="both"/>
        <w:rPr>
          <w:rFonts w:ascii="Montserrat Medium" w:hAnsi="Montserrat Medium" w:cs="Futura Medium"/>
          <w:color w:val="595959"/>
          <w:sz w:val="16"/>
          <w:szCs w:val="16"/>
        </w:rPr>
      </w:pPr>
    </w:p>
    <w:p w14:paraId="1255E88C" w14:textId="77777777" w:rsidR="0046184C" w:rsidRPr="0046184C" w:rsidRDefault="0046184C" w:rsidP="0046184C">
      <w:pPr>
        <w:jc w:val="both"/>
        <w:rPr>
          <w:rFonts w:ascii="Montserrat Medium" w:hAnsi="Montserrat Medium" w:cs="Futura Medium"/>
          <w:color w:val="595959"/>
          <w:sz w:val="16"/>
          <w:szCs w:val="16"/>
        </w:rPr>
      </w:pPr>
      <w:r w:rsidRPr="0046184C">
        <w:rPr>
          <w:rFonts w:ascii="Montserrat Medium" w:hAnsi="Montserrat Medium" w:cs="Futura Medium"/>
          <w:color w:val="595959"/>
          <w:sz w:val="16"/>
          <w:szCs w:val="16"/>
        </w:rPr>
        <w:t>Durante el año de 2025 se han efectuado amortizaciones al capital por $1</w:t>
      </w:r>
      <w:proofErr w:type="gramStart"/>
      <w:r w:rsidRPr="0046184C">
        <w:rPr>
          <w:rFonts w:ascii="Montserrat Medium" w:hAnsi="Montserrat Medium" w:cs="Futura Medium"/>
          <w:color w:val="595959"/>
          <w:sz w:val="16"/>
          <w:szCs w:val="16"/>
        </w:rPr>
        <w:t>,452,502.42</w:t>
      </w:r>
      <w:proofErr w:type="gramEnd"/>
      <w:r w:rsidRPr="0046184C">
        <w:rPr>
          <w:rFonts w:ascii="Montserrat Medium" w:hAnsi="Montserrat Medium" w:cs="Futura Medium"/>
          <w:color w:val="595959"/>
          <w:sz w:val="16"/>
          <w:szCs w:val="16"/>
        </w:rPr>
        <w:t xml:space="preserve"> con lo cual el saldo al 30 de junio de 2025 es de $733,916,712.10</w:t>
      </w:r>
    </w:p>
    <w:p w14:paraId="00291B33" w14:textId="77777777" w:rsidR="00A60187" w:rsidRPr="009C26EF" w:rsidRDefault="00A60187" w:rsidP="002F131C">
      <w:pPr>
        <w:ind w:left="1211"/>
        <w:jc w:val="both"/>
        <w:rPr>
          <w:rFonts w:ascii="Montserrat Medium" w:hAnsi="Montserrat Medium" w:cs="Futura Medium"/>
          <w:color w:val="595959"/>
          <w:sz w:val="16"/>
          <w:szCs w:val="16"/>
          <w:highlight w:val="yellow"/>
        </w:rPr>
      </w:pPr>
    </w:p>
    <w:p w14:paraId="04D2AD8E" w14:textId="77777777" w:rsidR="00A60187" w:rsidRPr="0046184C" w:rsidRDefault="00A60187" w:rsidP="002F131C">
      <w:pPr>
        <w:jc w:val="both"/>
        <w:rPr>
          <w:rFonts w:ascii="Montserrat Medium" w:hAnsi="Montserrat Medium" w:cs="Futura Medium"/>
          <w:b/>
          <w:sz w:val="16"/>
          <w:szCs w:val="16"/>
        </w:rPr>
      </w:pPr>
      <w:r w:rsidRPr="0046184C">
        <w:rPr>
          <w:rFonts w:ascii="Montserrat Medium" w:hAnsi="Montserrat Medium" w:cs="Futura Medium"/>
          <w:b/>
          <w:sz w:val="16"/>
          <w:szCs w:val="16"/>
          <w:vertAlign w:val="superscript"/>
        </w:rPr>
        <w:t xml:space="preserve">4 </w:t>
      </w:r>
      <w:r w:rsidRPr="0046184C">
        <w:rPr>
          <w:rFonts w:ascii="Montserrat Medium" w:hAnsi="Montserrat Medium" w:cs="Futura Medium"/>
          <w:b/>
          <w:sz w:val="16"/>
          <w:szCs w:val="16"/>
        </w:rPr>
        <w:t>Condiciones contractuales del crédito simple celebrado con Banco Santander México, S.A.</w:t>
      </w:r>
    </w:p>
    <w:p w14:paraId="2158C142" w14:textId="77777777" w:rsidR="00A60187" w:rsidRPr="0046184C" w:rsidRDefault="00A60187" w:rsidP="002F131C">
      <w:pPr>
        <w:ind w:firstLine="567"/>
        <w:jc w:val="both"/>
        <w:rPr>
          <w:rFonts w:ascii="Montserrat Medium" w:hAnsi="Montserrat Medium" w:cs="Futura Medium"/>
          <w:color w:val="595959"/>
          <w:sz w:val="16"/>
          <w:szCs w:val="16"/>
        </w:rPr>
      </w:pPr>
    </w:p>
    <w:p w14:paraId="64FABBF1" w14:textId="77777777" w:rsidR="00A60187" w:rsidRPr="0046184C" w:rsidRDefault="00A60187" w:rsidP="002F131C">
      <w:pPr>
        <w:jc w:val="both"/>
        <w:rPr>
          <w:rFonts w:ascii="Montserrat Medium" w:hAnsi="Montserrat Medium" w:cs="Futura Medium"/>
          <w:color w:val="595959"/>
          <w:sz w:val="16"/>
          <w:szCs w:val="16"/>
        </w:rPr>
      </w:pPr>
      <w:r w:rsidRPr="0046184C">
        <w:rPr>
          <w:rFonts w:ascii="Montserrat Medium" w:hAnsi="Montserrat Medium" w:cs="Futura Medium"/>
          <w:color w:val="595959"/>
          <w:sz w:val="16"/>
          <w:szCs w:val="16"/>
        </w:rPr>
        <w:t>Crédito simple celebrado el 12 de enero de 2024, entre el Estado de Quintana Roo (acreditado) y el Banco Santander México, S.A., como acreditante, hasta por la cantidad de $1</w:t>
      </w:r>
      <w:proofErr w:type="gramStart"/>
      <w:r w:rsidRPr="0046184C">
        <w:rPr>
          <w:rFonts w:ascii="Montserrat Medium" w:hAnsi="Montserrat Medium" w:cs="Futura Medium"/>
          <w:color w:val="595959"/>
          <w:sz w:val="16"/>
          <w:szCs w:val="16"/>
        </w:rPr>
        <w:t>,500,000,000.00</w:t>
      </w:r>
      <w:proofErr w:type="gramEnd"/>
      <w:r w:rsidRPr="0046184C">
        <w:rPr>
          <w:rFonts w:ascii="Montserrat Medium" w:hAnsi="Montserrat Medium" w:cs="Futura Medium"/>
          <w:color w:val="595959"/>
          <w:sz w:val="16"/>
          <w:szCs w:val="16"/>
        </w:rPr>
        <w:t xml:space="preserve"> 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mayo de 2024 se empezó a amortizar el crédito con base a la primera disposición. Las amortizaciones de capital son mensuales y crecientes.</w:t>
      </w:r>
    </w:p>
    <w:p w14:paraId="34EFECAB" w14:textId="77777777" w:rsidR="002E68B5" w:rsidRDefault="002E68B5" w:rsidP="002F131C">
      <w:pPr>
        <w:jc w:val="both"/>
        <w:rPr>
          <w:rFonts w:ascii="Montserrat Medium" w:hAnsi="Montserrat Medium" w:cs="Futura Medium"/>
          <w:color w:val="595959"/>
          <w:sz w:val="16"/>
          <w:szCs w:val="16"/>
        </w:rPr>
      </w:pPr>
    </w:p>
    <w:p w14:paraId="2FF33D05" w14:textId="77777777" w:rsidR="00A60187" w:rsidRPr="0046184C" w:rsidRDefault="00A60187" w:rsidP="002F131C">
      <w:pPr>
        <w:jc w:val="both"/>
        <w:rPr>
          <w:rFonts w:ascii="Montserrat Medium" w:hAnsi="Montserrat Medium" w:cs="Futura Medium"/>
          <w:color w:val="595959"/>
          <w:sz w:val="16"/>
          <w:szCs w:val="16"/>
        </w:rPr>
      </w:pPr>
      <w:r w:rsidRPr="0046184C">
        <w:rPr>
          <w:rFonts w:ascii="Montserrat Medium" w:hAnsi="Montserrat Medium" w:cs="Futura Medium"/>
          <w:color w:val="595959"/>
          <w:sz w:val="16"/>
          <w:szCs w:val="16"/>
        </w:rPr>
        <w:lastRenderedPageBreak/>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0.49 a 3.99, según la calificación del crédito. </w:t>
      </w:r>
    </w:p>
    <w:p w14:paraId="2178B626" w14:textId="77777777" w:rsidR="00A60187" w:rsidRPr="0046184C" w:rsidRDefault="00A60187" w:rsidP="002F131C">
      <w:pPr>
        <w:jc w:val="both"/>
        <w:rPr>
          <w:rFonts w:ascii="Montserrat Medium" w:hAnsi="Montserrat Medium" w:cs="Futura Medium"/>
          <w:color w:val="595959"/>
          <w:sz w:val="16"/>
          <w:szCs w:val="16"/>
        </w:rPr>
      </w:pPr>
    </w:p>
    <w:p w14:paraId="2EF0854E" w14:textId="77777777" w:rsidR="00A60187" w:rsidRDefault="00A60187" w:rsidP="002F131C">
      <w:pPr>
        <w:jc w:val="both"/>
        <w:rPr>
          <w:rFonts w:ascii="Montserrat Medium" w:hAnsi="Montserrat Medium" w:cs="Futura Medium"/>
          <w:color w:val="595959"/>
          <w:sz w:val="16"/>
          <w:szCs w:val="16"/>
        </w:rPr>
      </w:pPr>
      <w:r w:rsidRPr="0046184C">
        <w:rPr>
          <w:rFonts w:ascii="Montserrat Medium" w:hAnsi="Montserrat Medium" w:cs="Futura Medium"/>
          <w:color w:val="595959"/>
          <w:sz w:val="16"/>
          <w:szCs w:val="16"/>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55A4F9C1" w14:textId="77777777" w:rsidR="0046184C" w:rsidRPr="0046184C" w:rsidRDefault="0046184C" w:rsidP="002F131C">
      <w:pPr>
        <w:jc w:val="both"/>
        <w:rPr>
          <w:rFonts w:ascii="Montserrat Medium" w:hAnsi="Montserrat Medium" w:cs="Futura Medium"/>
          <w:color w:val="595959"/>
          <w:sz w:val="16"/>
          <w:szCs w:val="16"/>
        </w:rPr>
      </w:pPr>
    </w:p>
    <w:p w14:paraId="49282206" w14:textId="77777777" w:rsidR="0046184C" w:rsidRPr="0046184C" w:rsidRDefault="0046184C" w:rsidP="0046184C">
      <w:pPr>
        <w:jc w:val="both"/>
        <w:rPr>
          <w:rFonts w:ascii="Montserrat Medium" w:hAnsi="Montserrat Medium" w:cs="Futura Medium"/>
          <w:color w:val="595959"/>
          <w:sz w:val="16"/>
          <w:szCs w:val="16"/>
        </w:rPr>
      </w:pPr>
      <w:r w:rsidRPr="0046184C">
        <w:rPr>
          <w:rFonts w:ascii="Montserrat Medium" w:hAnsi="Montserrat Medium" w:cs="Futura Medium"/>
          <w:color w:val="595959"/>
          <w:sz w:val="16"/>
          <w:szCs w:val="16"/>
        </w:rPr>
        <w:t>Durante el año de 2025 se han efectuado amortizaciones al capital por $2</w:t>
      </w:r>
      <w:proofErr w:type="gramStart"/>
      <w:r w:rsidRPr="0046184C">
        <w:rPr>
          <w:rFonts w:ascii="Montserrat Medium" w:hAnsi="Montserrat Medium" w:cs="Futura Medium"/>
          <w:color w:val="595959"/>
          <w:sz w:val="16"/>
          <w:szCs w:val="16"/>
        </w:rPr>
        <w:t>,917,628.14</w:t>
      </w:r>
      <w:proofErr w:type="gramEnd"/>
      <w:r w:rsidRPr="0046184C">
        <w:rPr>
          <w:rFonts w:ascii="Montserrat Medium" w:hAnsi="Montserrat Medium" w:cs="Futura Medium"/>
          <w:color w:val="595959"/>
          <w:sz w:val="16"/>
          <w:szCs w:val="16"/>
        </w:rPr>
        <w:t>, con lo cual el saldo al 30 de junio de 2025 es de $1,454,790,773.85</w:t>
      </w:r>
    </w:p>
    <w:p w14:paraId="5C36CF56" w14:textId="77777777" w:rsidR="00A60187" w:rsidRPr="0046184C" w:rsidRDefault="00A60187" w:rsidP="0046184C">
      <w:pPr>
        <w:jc w:val="both"/>
        <w:rPr>
          <w:rFonts w:ascii="Montserrat Medium" w:hAnsi="Montserrat Medium" w:cs="Futura Medium"/>
          <w:color w:val="595959"/>
          <w:sz w:val="16"/>
          <w:szCs w:val="16"/>
        </w:rPr>
      </w:pPr>
    </w:p>
    <w:p w14:paraId="14D4817C" w14:textId="77777777" w:rsidR="00A60187" w:rsidRPr="0046184C" w:rsidRDefault="00A60187" w:rsidP="002F131C">
      <w:pPr>
        <w:ind w:firstLine="567"/>
        <w:jc w:val="both"/>
        <w:rPr>
          <w:rFonts w:ascii="Montserrat Medium" w:hAnsi="Montserrat Medium" w:cs="Futura Medium"/>
          <w:sz w:val="16"/>
          <w:szCs w:val="16"/>
        </w:rPr>
      </w:pPr>
    </w:p>
    <w:p w14:paraId="37782B71" w14:textId="77777777" w:rsidR="00A60187" w:rsidRPr="0046184C" w:rsidRDefault="00A60187" w:rsidP="002F131C">
      <w:pPr>
        <w:jc w:val="both"/>
        <w:rPr>
          <w:rFonts w:ascii="Montserrat Medium" w:hAnsi="Montserrat Medium" w:cs="Futura Medium"/>
          <w:b/>
          <w:color w:val="595959"/>
          <w:sz w:val="16"/>
          <w:szCs w:val="16"/>
        </w:rPr>
      </w:pPr>
      <w:r w:rsidRPr="0046184C">
        <w:rPr>
          <w:rFonts w:ascii="Montserrat Medium" w:hAnsi="Montserrat Medium" w:cs="Futura Medium"/>
          <w:b/>
          <w:sz w:val="16"/>
          <w:szCs w:val="16"/>
          <w:vertAlign w:val="superscript"/>
        </w:rPr>
        <w:t xml:space="preserve">5 </w:t>
      </w:r>
      <w:r w:rsidRPr="0046184C">
        <w:rPr>
          <w:rFonts w:ascii="Montserrat Medium" w:hAnsi="Montserrat Medium" w:cs="Futura Medium"/>
          <w:b/>
          <w:sz w:val="16"/>
          <w:szCs w:val="16"/>
        </w:rPr>
        <w:t xml:space="preserve">Condiciones contractuales del crédito simple celebrado con Banco </w:t>
      </w:r>
      <w:proofErr w:type="spellStart"/>
      <w:r w:rsidRPr="0046184C">
        <w:rPr>
          <w:rFonts w:ascii="Montserrat Medium" w:hAnsi="Montserrat Medium" w:cs="Futura Medium"/>
          <w:b/>
          <w:sz w:val="16"/>
          <w:szCs w:val="16"/>
        </w:rPr>
        <w:t>Banobras</w:t>
      </w:r>
      <w:proofErr w:type="spellEnd"/>
      <w:r w:rsidRPr="0046184C">
        <w:rPr>
          <w:rFonts w:ascii="Montserrat Medium" w:hAnsi="Montserrat Medium" w:cs="Futura Medium"/>
          <w:b/>
          <w:sz w:val="16"/>
          <w:szCs w:val="16"/>
        </w:rPr>
        <w:t>, S.N.C.</w:t>
      </w:r>
    </w:p>
    <w:p w14:paraId="18276D23" w14:textId="77777777" w:rsidR="00A60187" w:rsidRPr="0046184C" w:rsidRDefault="00A60187" w:rsidP="002F131C">
      <w:pPr>
        <w:ind w:firstLine="567"/>
        <w:jc w:val="both"/>
        <w:rPr>
          <w:rFonts w:ascii="Montserrat Medium" w:hAnsi="Montserrat Medium" w:cs="Futura Medium"/>
          <w:color w:val="595959"/>
          <w:sz w:val="16"/>
          <w:szCs w:val="16"/>
        </w:rPr>
      </w:pPr>
    </w:p>
    <w:p w14:paraId="3B929E73" w14:textId="77777777" w:rsidR="00A60187" w:rsidRPr="0046184C" w:rsidRDefault="00A60187" w:rsidP="002F131C">
      <w:pPr>
        <w:jc w:val="both"/>
        <w:rPr>
          <w:rFonts w:ascii="Montserrat Medium" w:hAnsi="Montserrat Medium" w:cs="Futura Medium"/>
          <w:color w:val="595959"/>
          <w:sz w:val="16"/>
          <w:szCs w:val="16"/>
        </w:rPr>
      </w:pPr>
      <w:r w:rsidRPr="0046184C">
        <w:rPr>
          <w:rFonts w:ascii="Montserrat Medium" w:hAnsi="Montserrat Medium" w:cs="Futura Medium"/>
          <w:color w:val="595959"/>
          <w:sz w:val="16"/>
          <w:szCs w:val="16"/>
        </w:rPr>
        <w:t xml:space="preserve">Crédito simple celebrado el 16 de enero de 2024, entre el Estado de Quintana Roo (acreditado) y el Banco </w:t>
      </w:r>
      <w:proofErr w:type="spellStart"/>
      <w:r w:rsidRPr="0046184C">
        <w:rPr>
          <w:rFonts w:ascii="Montserrat Medium" w:hAnsi="Montserrat Medium" w:cs="Futura Medium"/>
          <w:color w:val="595959"/>
          <w:sz w:val="16"/>
          <w:szCs w:val="16"/>
        </w:rPr>
        <w:t>Banobras</w:t>
      </w:r>
      <w:proofErr w:type="spellEnd"/>
      <w:r w:rsidRPr="0046184C">
        <w:rPr>
          <w:rFonts w:ascii="Montserrat Medium" w:hAnsi="Montserrat Medium" w:cs="Futura Medium"/>
          <w:color w:val="595959"/>
          <w:sz w:val="16"/>
          <w:szCs w:val="16"/>
        </w:rPr>
        <w:t>, S.N.C., como acreditante, hasta por la cantidad de $5</w:t>
      </w:r>
      <w:proofErr w:type="gramStart"/>
      <w:r w:rsidRPr="0046184C">
        <w:rPr>
          <w:rFonts w:ascii="Montserrat Medium" w:hAnsi="Montserrat Medium" w:cs="Futura Medium"/>
          <w:color w:val="595959"/>
          <w:sz w:val="16"/>
          <w:szCs w:val="16"/>
        </w:rPr>
        <w:t>,000,000,000.00</w:t>
      </w:r>
      <w:proofErr w:type="gramEnd"/>
      <w:r w:rsidRPr="0046184C">
        <w:rPr>
          <w:rFonts w:ascii="Montserrat Medium" w:hAnsi="Montserrat Medium" w:cs="Futura Medium"/>
          <w:color w:val="595959"/>
          <w:sz w:val="16"/>
          <w:szCs w:val="16"/>
        </w:rPr>
        <w:t xml:space="preserve"> 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360 meses a partir de la fecha de firma del mismo sin período de gracia, de tal manera que a partir del 28 de abril de 2024 se empezó a amortizar el crédito con base a la primera disposición. Las amortizaciones de capital son mensuales y crecientes.</w:t>
      </w:r>
    </w:p>
    <w:p w14:paraId="02D5673D" w14:textId="77777777" w:rsidR="00A60187" w:rsidRPr="0046184C" w:rsidRDefault="00A60187" w:rsidP="002F131C">
      <w:pPr>
        <w:jc w:val="both"/>
        <w:rPr>
          <w:rFonts w:ascii="Montserrat Medium" w:hAnsi="Montserrat Medium" w:cs="Futura Medium"/>
          <w:color w:val="595959"/>
          <w:sz w:val="16"/>
          <w:szCs w:val="16"/>
        </w:rPr>
      </w:pPr>
    </w:p>
    <w:p w14:paraId="4FE6513F" w14:textId="77777777" w:rsidR="00A60187" w:rsidRPr="0046184C" w:rsidRDefault="00A60187" w:rsidP="002F131C">
      <w:pPr>
        <w:jc w:val="both"/>
        <w:rPr>
          <w:rFonts w:ascii="Montserrat Medium" w:hAnsi="Montserrat Medium" w:cs="Futura Medium"/>
          <w:color w:val="595959"/>
          <w:sz w:val="16"/>
          <w:szCs w:val="16"/>
        </w:rPr>
      </w:pPr>
      <w:r w:rsidRPr="0046184C">
        <w:rPr>
          <w:rFonts w:ascii="Montserrat Medium" w:hAnsi="Montserrat Medium" w:cs="Futura Medium"/>
          <w:color w:val="595959"/>
          <w:sz w:val="16"/>
          <w:szCs w:val="16"/>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0.53 a 2.28, según la calificación del crédito. </w:t>
      </w:r>
    </w:p>
    <w:p w14:paraId="51C7BFAB" w14:textId="77777777" w:rsidR="00A60187" w:rsidRPr="0046184C" w:rsidRDefault="00A60187" w:rsidP="002F131C">
      <w:pPr>
        <w:jc w:val="both"/>
        <w:rPr>
          <w:rFonts w:ascii="Montserrat Medium" w:hAnsi="Montserrat Medium" w:cs="Futura Medium"/>
          <w:color w:val="595959"/>
          <w:sz w:val="16"/>
          <w:szCs w:val="16"/>
        </w:rPr>
      </w:pPr>
      <w:r w:rsidRPr="0046184C">
        <w:rPr>
          <w:rFonts w:ascii="Montserrat Medium" w:hAnsi="Montserrat Medium" w:cs="Futura Medium"/>
          <w:color w:val="595959"/>
          <w:sz w:val="16"/>
          <w:szCs w:val="16"/>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2A06B8D8" w14:textId="77777777" w:rsidR="0046184C" w:rsidRDefault="0046184C" w:rsidP="0046184C">
      <w:pPr>
        <w:jc w:val="both"/>
        <w:rPr>
          <w:rFonts w:ascii="Montserrat Medium" w:hAnsi="Montserrat Medium" w:cs="Futura Medium"/>
          <w:color w:val="595959"/>
          <w:sz w:val="16"/>
          <w:szCs w:val="16"/>
        </w:rPr>
      </w:pPr>
    </w:p>
    <w:p w14:paraId="7E4EB06E" w14:textId="77777777" w:rsidR="0046184C" w:rsidRPr="0046184C" w:rsidRDefault="0046184C" w:rsidP="0046184C">
      <w:pPr>
        <w:jc w:val="both"/>
        <w:rPr>
          <w:rFonts w:ascii="Montserrat Medium" w:hAnsi="Montserrat Medium" w:cs="Futura Medium"/>
          <w:color w:val="595959"/>
          <w:sz w:val="16"/>
          <w:szCs w:val="16"/>
        </w:rPr>
      </w:pPr>
      <w:r w:rsidRPr="0046184C">
        <w:rPr>
          <w:rFonts w:ascii="Montserrat Medium" w:hAnsi="Montserrat Medium" w:cs="Futura Medium"/>
          <w:color w:val="595959"/>
          <w:sz w:val="16"/>
          <w:szCs w:val="16"/>
        </w:rPr>
        <w:t>Durante el año de 2025 se han efectuado amortizaciones al capital por $4</w:t>
      </w:r>
      <w:proofErr w:type="gramStart"/>
      <w:r w:rsidRPr="0046184C">
        <w:rPr>
          <w:rFonts w:ascii="Montserrat Medium" w:hAnsi="Montserrat Medium" w:cs="Futura Medium"/>
          <w:color w:val="595959"/>
          <w:sz w:val="16"/>
          <w:szCs w:val="16"/>
        </w:rPr>
        <w:t>,544,078.16</w:t>
      </w:r>
      <w:proofErr w:type="gramEnd"/>
      <w:r w:rsidRPr="0046184C">
        <w:rPr>
          <w:rFonts w:ascii="Montserrat Medium" w:hAnsi="Montserrat Medium" w:cs="Futura Medium"/>
          <w:color w:val="595959"/>
          <w:sz w:val="16"/>
          <w:szCs w:val="16"/>
        </w:rPr>
        <w:t xml:space="preserve"> con lo cual el saldo al 30 de junio de 2025 es de $4,989,267,184.67</w:t>
      </w:r>
    </w:p>
    <w:p w14:paraId="38F5544F" w14:textId="77777777" w:rsidR="00A60187" w:rsidRPr="009C26EF" w:rsidRDefault="00A60187" w:rsidP="002F131C">
      <w:pPr>
        <w:ind w:firstLine="567"/>
        <w:jc w:val="both"/>
        <w:rPr>
          <w:rFonts w:ascii="Montserrat Medium" w:hAnsi="Montserrat Medium" w:cs="Futura Medium"/>
          <w:color w:val="595959"/>
          <w:sz w:val="16"/>
          <w:szCs w:val="16"/>
          <w:highlight w:val="yellow"/>
        </w:rPr>
      </w:pPr>
    </w:p>
    <w:p w14:paraId="22607259" w14:textId="77777777" w:rsidR="00A60187" w:rsidRPr="0046184C" w:rsidRDefault="00A60187" w:rsidP="002F131C">
      <w:pPr>
        <w:jc w:val="both"/>
        <w:rPr>
          <w:rFonts w:ascii="Montserrat Medium" w:hAnsi="Montserrat Medium" w:cs="Futura Medium"/>
          <w:b/>
          <w:sz w:val="16"/>
          <w:szCs w:val="16"/>
        </w:rPr>
      </w:pPr>
      <w:r w:rsidRPr="0046184C">
        <w:rPr>
          <w:rFonts w:ascii="Montserrat Medium" w:hAnsi="Montserrat Medium" w:cs="Futura Medium"/>
          <w:b/>
          <w:sz w:val="16"/>
          <w:szCs w:val="16"/>
          <w:vertAlign w:val="superscript"/>
        </w:rPr>
        <w:t xml:space="preserve">6 </w:t>
      </w:r>
      <w:r w:rsidRPr="0046184C">
        <w:rPr>
          <w:rFonts w:ascii="Montserrat Medium" w:hAnsi="Montserrat Medium" w:cs="Futura Medium"/>
          <w:b/>
          <w:sz w:val="16"/>
          <w:szCs w:val="16"/>
        </w:rPr>
        <w:t xml:space="preserve">Condiciones contractuales del crédito simple celebrado con Banco </w:t>
      </w:r>
      <w:proofErr w:type="spellStart"/>
      <w:r w:rsidRPr="0046184C">
        <w:rPr>
          <w:rFonts w:ascii="Montserrat Medium" w:hAnsi="Montserrat Medium" w:cs="Futura Medium"/>
          <w:b/>
          <w:sz w:val="16"/>
          <w:szCs w:val="16"/>
        </w:rPr>
        <w:t>Banobras</w:t>
      </w:r>
      <w:proofErr w:type="spellEnd"/>
      <w:r w:rsidRPr="0046184C">
        <w:rPr>
          <w:rFonts w:ascii="Montserrat Medium" w:hAnsi="Montserrat Medium" w:cs="Futura Medium"/>
          <w:b/>
          <w:sz w:val="16"/>
          <w:szCs w:val="16"/>
        </w:rPr>
        <w:t>, S.N.C.</w:t>
      </w:r>
    </w:p>
    <w:p w14:paraId="690F8676" w14:textId="77777777" w:rsidR="00A60187" w:rsidRPr="0046184C" w:rsidRDefault="00A60187" w:rsidP="002F131C">
      <w:pPr>
        <w:ind w:firstLine="567"/>
        <w:jc w:val="both"/>
        <w:rPr>
          <w:rFonts w:ascii="Montserrat Medium" w:hAnsi="Montserrat Medium" w:cs="Futura Medium"/>
          <w:color w:val="595959"/>
          <w:sz w:val="16"/>
          <w:szCs w:val="16"/>
        </w:rPr>
      </w:pPr>
    </w:p>
    <w:p w14:paraId="13A65DAC" w14:textId="77777777" w:rsidR="00A60187" w:rsidRPr="0046184C" w:rsidRDefault="00A60187" w:rsidP="002F131C">
      <w:pPr>
        <w:jc w:val="both"/>
        <w:rPr>
          <w:rFonts w:ascii="Montserrat Medium" w:hAnsi="Montserrat Medium" w:cs="Futura Medium"/>
          <w:color w:val="595959"/>
          <w:sz w:val="16"/>
          <w:szCs w:val="16"/>
        </w:rPr>
      </w:pPr>
      <w:r w:rsidRPr="0046184C">
        <w:rPr>
          <w:rFonts w:ascii="Montserrat Medium" w:hAnsi="Montserrat Medium" w:cs="Futura Medium"/>
          <w:color w:val="595959"/>
          <w:sz w:val="16"/>
          <w:szCs w:val="16"/>
        </w:rPr>
        <w:t xml:space="preserve">Crédito simple celebrado el 16 de enero de 2024, entre el Estado de Quintana Roo (acreditado) y el Banco </w:t>
      </w:r>
      <w:proofErr w:type="spellStart"/>
      <w:r w:rsidRPr="0046184C">
        <w:rPr>
          <w:rFonts w:ascii="Montserrat Medium" w:hAnsi="Montserrat Medium" w:cs="Futura Medium"/>
          <w:color w:val="595959"/>
          <w:sz w:val="16"/>
          <w:szCs w:val="16"/>
        </w:rPr>
        <w:t>Banobras</w:t>
      </w:r>
      <w:proofErr w:type="spellEnd"/>
      <w:r w:rsidRPr="0046184C">
        <w:rPr>
          <w:rFonts w:ascii="Montserrat Medium" w:hAnsi="Montserrat Medium" w:cs="Futura Medium"/>
          <w:color w:val="595959"/>
          <w:sz w:val="16"/>
          <w:szCs w:val="16"/>
        </w:rPr>
        <w:t>, S.N.C., como acreditante, hasta por la cantidad de $3</w:t>
      </w:r>
      <w:proofErr w:type="gramStart"/>
      <w:r w:rsidRPr="0046184C">
        <w:rPr>
          <w:rFonts w:ascii="Montserrat Medium" w:hAnsi="Montserrat Medium" w:cs="Futura Medium"/>
          <w:color w:val="595959"/>
          <w:sz w:val="16"/>
          <w:szCs w:val="16"/>
        </w:rPr>
        <w:t>,000,000,000.00</w:t>
      </w:r>
      <w:proofErr w:type="gramEnd"/>
      <w:r w:rsidRPr="0046184C">
        <w:rPr>
          <w:rFonts w:ascii="Montserrat Medium" w:hAnsi="Montserrat Medium" w:cs="Futura Medium"/>
          <w:color w:val="595959"/>
          <w:sz w:val="16"/>
          <w:szCs w:val="16"/>
        </w:rPr>
        <w:t xml:space="preserve"> 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abril de 2024 se empezó a amortizar el crédito con base a la primera disposición. Las amortizaciones de capital son mensuales y crecientes.</w:t>
      </w:r>
    </w:p>
    <w:p w14:paraId="1AFF4F3A" w14:textId="77777777" w:rsidR="00306BD0" w:rsidRPr="0046184C" w:rsidRDefault="00306BD0" w:rsidP="002F131C">
      <w:pPr>
        <w:jc w:val="both"/>
        <w:rPr>
          <w:rFonts w:ascii="Montserrat Medium" w:hAnsi="Montserrat Medium" w:cs="Futura Medium"/>
          <w:color w:val="595959"/>
          <w:sz w:val="16"/>
          <w:szCs w:val="16"/>
        </w:rPr>
      </w:pPr>
    </w:p>
    <w:p w14:paraId="52CB3922" w14:textId="77777777" w:rsidR="00A60187" w:rsidRPr="0046184C" w:rsidRDefault="00A60187" w:rsidP="002F131C">
      <w:pPr>
        <w:jc w:val="both"/>
        <w:rPr>
          <w:rFonts w:ascii="Montserrat Medium" w:hAnsi="Montserrat Medium" w:cs="Futura Medium"/>
          <w:color w:val="595959"/>
          <w:sz w:val="16"/>
          <w:szCs w:val="16"/>
        </w:rPr>
      </w:pPr>
      <w:r w:rsidRPr="0046184C">
        <w:rPr>
          <w:rFonts w:ascii="Montserrat Medium" w:hAnsi="Montserrat Medium" w:cs="Futura Medium"/>
          <w:color w:val="595959"/>
          <w:sz w:val="16"/>
          <w:szCs w:val="16"/>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0.41 a 1.90, según la calificación del crédito. </w:t>
      </w:r>
    </w:p>
    <w:p w14:paraId="595B9EA6" w14:textId="77777777" w:rsidR="00A60187" w:rsidRPr="0046184C" w:rsidRDefault="00A60187" w:rsidP="002F131C">
      <w:pPr>
        <w:jc w:val="both"/>
        <w:rPr>
          <w:rFonts w:ascii="Montserrat Medium" w:hAnsi="Montserrat Medium" w:cs="Futura Medium"/>
          <w:color w:val="595959"/>
          <w:sz w:val="16"/>
          <w:szCs w:val="16"/>
        </w:rPr>
      </w:pPr>
    </w:p>
    <w:p w14:paraId="2AE22338" w14:textId="77777777" w:rsidR="00A60187" w:rsidRPr="0046184C" w:rsidRDefault="00A60187" w:rsidP="002F131C">
      <w:pPr>
        <w:jc w:val="both"/>
        <w:rPr>
          <w:rFonts w:ascii="Montserrat Medium" w:hAnsi="Montserrat Medium" w:cs="Futura Medium"/>
          <w:color w:val="595959"/>
          <w:sz w:val="16"/>
          <w:szCs w:val="16"/>
        </w:rPr>
      </w:pPr>
      <w:r w:rsidRPr="0046184C">
        <w:rPr>
          <w:rFonts w:ascii="Montserrat Medium" w:hAnsi="Montserrat Medium" w:cs="Futura Medium"/>
          <w:color w:val="595959"/>
          <w:sz w:val="16"/>
          <w:szCs w:val="16"/>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406DD7D0" w14:textId="77777777" w:rsidR="00A60187" w:rsidRPr="0046184C" w:rsidRDefault="00A60187" w:rsidP="002F131C">
      <w:pPr>
        <w:ind w:left="1211"/>
        <w:jc w:val="both"/>
        <w:rPr>
          <w:rFonts w:ascii="Montserrat Medium" w:hAnsi="Montserrat Medium" w:cs="Futura Medium"/>
          <w:color w:val="595959"/>
          <w:sz w:val="16"/>
          <w:szCs w:val="16"/>
        </w:rPr>
      </w:pPr>
    </w:p>
    <w:p w14:paraId="6A9BDEE8" w14:textId="77777777" w:rsidR="0046184C" w:rsidRPr="0046184C" w:rsidRDefault="0046184C" w:rsidP="0046184C">
      <w:pPr>
        <w:jc w:val="both"/>
        <w:rPr>
          <w:rFonts w:ascii="Montserrat Medium" w:hAnsi="Montserrat Medium" w:cs="Futura Medium"/>
          <w:color w:val="595959"/>
          <w:sz w:val="16"/>
          <w:szCs w:val="16"/>
        </w:rPr>
      </w:pPr>
      <w:r w:rsidRPr="0046184C">
        <w:rPr>
          <w:rFonts w:ascii="Montserrat Medium" w:hAnsi="Montserrat Medium" w:cs="Futura Medium"/>
          <w:color w:val="595959"/>
          <w:sz w:val="16"/>
          <w:szCs w:val="16"/>
        </w:rPr>
        <w:t>Durante el año de 2025 se han efectuado amortizaciones al capital por $5</w:t>
      </w:r>
      <w:proofErr w:type="gramStart"/>
      <w:r w:rsidRPr="0046184C">
        <w:rPr>
          <w:rFonts w:ascii="Montserrat Medium" w:hAnsi="Montserrat Medium" w:cs="Futura Medium"/>
          <w:color w:val="595959"/>
          <w:sz w:val="16"/>
          <w:szCs w:val="16"/>
        </w:rPr>
        <w:t>,988,227.48</w:t>
      </w:r>
      <w:proofErr w:type="gramEnd"/>
      <w:r w:rsidRPr="0046184C">
        <w:rPr>
          <w:rFonts w:ascii="Montserrat Medium" w:hAnsi="Montserrat Medium" w:cs="Futura Medium"/>
          <w:color w:val="595959"/>
          <w:sz w:val="16"/>
          <w:szCs w:val="16"/>
        </w:rPr>
        <w:t xml:space="preserve"> con lo cual el saldo al 30 de junio de 2025 es de $2,985,856,198.46</w:t>
      </w:r>
    </w:p>
    <w:p w14:paraId="176C9CA4" w14:textId="77777777" w:rsidR="00A60187" w:rsidRPr="009C26EF" w:rsidRDefault="00A60187" w:rsidP="002F131C">
      <w:pPr>
        <w:jc w:val="both"/>
        <w:rPr>
          <w:rFonts w:ascii="Montserrat Medium" w:hAnsi="Montserrat Medium" w:cs="Futura Medium"/>
          <w:color w:val="595959"/>
          <w:sz w:val="16"/>
          <w:szCs w:val="16"/>
          <w:highlight w:val="yellow"/>
        </w:rPr>
      </w:pPr>
    </w:p>
    <w:p w14:paraId="3CC1EE09" w14:textId="77777777" w:rsidR="00A60187" w:rsidRPr="0046184C" w:rsidRDefault="00A60187" w:rsidP="002F131C">
      <w:pPr>
        <w:jc w:val="both"/>
        <w:rPr>
          <w:rFonts w:ascii="Montserrat Medium" w:hAnsi="Montserrat Medium" w:cs="Futura Medium"/>
          <w:b/>
          <w:sz w:val="16"/>
          <w:szCs w:val="16"/>
        </w:rPr>
      </w:pPr>
      <w:r w:rsidRPr="0046184C">
        <w:rPr>
          <w:rFonts w:ascii="Montserrat Medium" w:hAnsi="Montserrat Medium" w:cs="Futura Medium"/>
          <w:b/>
          <w:sz w:val="16"/>
          <w:szCs w:val="16"/>
          <w:vertAlign w:val="superscript"/>
        </w:rPr>
        <w:t xml:space="preserve">7 </w:t>
      </w:r>
      <w:r w:rsidRPr="0046184C">
        <w:rPr>
          <w:rFonts w:ascii="Montserrat Medium" w:hAnsi="Montserrat Medium" w:cs="Futura Medium"/>
          <w:b/>
          <w:sz w:val="16"/>
          <w:szCs w:val="16"/>
        </w:rPr>
        <w:t xml:space="preserve">Condiciones contractuales del crédito simple celebrado con Banco </w:t>
      </w:r>
      <w:proofErr w:type="spellStart"/>
      <w:r w:rsidRPr="0046184C">
        <w:rPr>
          <w:rFonts w:ascii="Montserrat Medium" w:hAnsi="Montserrat Medium" w:cs="Futura Medium"/>
          <w:b/>
          <w:sz w:val="16"/>
          <w:szCs w:val="16"/>
        </w:rPr>
        <w:t>Banobras</w:t>
      </w:r>
      <w:proofErr w:type="spellEnd"/>
      <w:r w:rsidRPr="0046184C">
        <w:rPr>
          <w:rFonts w:ascii="Montserrat Medium" w:hAnsi="Montserrat Medium" w:cs="Futura Medium"/>
          <w:b/>
          <w:sz w:val="16"/>
          <w:szCs w:val="16"/>
        </w:rPr>
        <w:t>, S.N.C.</w:t>
      </w:r>
    </w:p>
    <w:p w14:paraId="76D59A6B" w14:textId="77777777" w:rsidR="00A60187" w:rsidRPr="0046184C" w:rsidRDefault="00A60187" w:rsidP="002F131C">
      <w:pPr>
        <w:ind w:firstLine="567"/>
        <w:jc w:val="both"/>
        <w:rPr>
          <w:rFonts w:ascii="Montserrat Medium" w:hAnsi="Montserrat Medium" w:cs="Futura Medium"/>
          <w:color w:val="595959"/>
          <w:sz w:val="16"/>
          <w:szCs w:val="16"/>
        </w:rPr>
      </w:pPr>
    </w:p>
    <w:p w14:paraId="7B920230" w14:textId="77777777" w:rsidR="00A60187" w:rsidRPr="0046184C" w:rsidRDefault="00A60187" w:rsidP="002F131C">
      <w:pPr>
        <w:jc w:val="both"/>
        <w:rPr>
          <w:rFonts w:ascii="Montserrat Medium" w:hAnsi="Montserrat Medium" w:cs="Futura Medium"/>
          <w:color w:val="595959"/>
          <w:sz w:val="16"/>
          <w:szCs w:val="16"/>
        </w:rPr>
      </w:pPr>
      <w:r w:rsidRPr="0046184C">
        <w:rPr>
          <w:rFonts w:ascii="Montserrat Medium" w:hAnsi="Montserrat Medium" w:cs="Futura Medium"/>
          <w:color w:val="595959"/>
          <w:sz w:val="16"/>
          <w:szCs w:val="16"/>
        </w:rPr>
        <w:t xml:space="preserve">Crédito simple celebrado el 16 de enero de 2024, entre el Estado de Quintana Roo (acreditado) y el Banco </w:t>
      </w:r>
      <w:proofErr w:type="spellStart"/>
      <w:r w:rsidRPr="0046184C">
        <w:rPr>
          <w:rFonts w:ascii="Montserrat Medium" w:hAnsi="Montserrat Medium" w:cs="Futura Medium"/>
          <w:color w:val="595959"/>
          <w:sz w:val="16"/>
          <w:szCs w:val="16"/>
        </w:rPr>
        <w:t>Banobras</w:t>
      </w:r>
      <w:proofErr w:type="spellEnd"/>
      <w:r w:rsidRPr="0046184C">
        <w:rPr>
          <w:rFonts w:ascii="Montserrat Medium" w:hAnsi="Montserrat Medium" w:cs="Futura Medium"/>
          <w:color w:val="595959"/>
          <w:sz w:val="16"/>
          <w:szCs w:val="16"/>
        </w:rPr>
        <w:t>, S.N.C., como acreditante, hasta por la cantidad de $2</w:t>
      </w:r>
      <w:proofErr w:type="gramStart"/>
      <w:r w:rsidRPr="0046184C">
        <w:rPr>
          <w:rFonts w:ascii="Montserrat Medium" w:hAnsi="Montserrat Medium" w:cs="Futura Medium"/>
          <w:color w:val="595959"/>
          <w:sz w:val="16"/>
          <w:szCs w:val="16"/>
        </w:rPr>
        <w:t>,808,364,029.00</w:t>
      </w:r>
      <w:proofErr w:type="gramEnd"/>
      <w:r w:rsidRPr="0046184C">
        <w:rPr>
          <w:rFonts w:ascii="Montserrat Medium" w:hAnsi="Montserrat Medium" w:cs="Futura Medium"/>
          <w:color w:val="595959"/>
          <w:sz w:val="16"/>
          <w:szCs w:val="16"/>
        </w:rPr>
        <w:t xml:space="preserve"> 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w:t>
      </w:r>
      <w:r w:rsidRPr="0046184C">
        <w:rPr>
          <w:rFonts w:ascii="Montserrat Medium" w:hAnsi="Montserrat Medium" w:cs="Futura Medium"/>
          <w:color w:val="595959"/>
          <w:sz w:val="16"/>
          <w:szCs w:val="16"/>
        </w:rPr>
        <w:lastRenderedPageBreak/>
        <w:t>es de 300 meses a partir de la fecha de firma del mismo sin período de gracia, de tal manera que a partir del 25 de abril de 2024 se empezó a amortizar el crédito con base a la primera disposición. Las amortizaciones de capital son mensuales y crecientes.</w:t>
      </w:r>
    </w:p>
    <w:p w14:paraId="2B6AED71" w14:textId="77777777" w:rsidR="00A60187" w:rsidRPr="009C26EF" w:rsidRDefault="00A60187" w:rsidP="002F131C">
      <w:pPr>
        <w:jc w:val="both"/>
        <w:rPr>
          <w:rFonts w:ascii="Montserrat Medium" w:hAnsi="Montserrat Medium" w:cs="Futura Medium"/>
          <w:color w:val="595959"/>
          <w:sz w:val="16"/>
          <w:szCs w:val="16"/>
          <w:highlight w:val="yellow"/>
        </w:rPr>
      </w:pPr>
    </w:p>
    <w:p w14:paraId="4023C139" w14:textId="77777777" w:rsidR="00A60187" w:rsidRPr="0046184C" w:rsidRDefault="00A60187" w:rsidP="002F131C">
      <w:pPr>
        <w:jc w:val="both"/>
        <w:rPr>
          <w:rFonts w:ascii="Montserrat Medium" w:hAnsi="Montserrat Medium" w:cs="Futura Medium"/>
          <w:color w:val="595959"/>
          <w:sz w:val="16"/>
          <w:szCs w:val="16"/>
        </w:rPr>
      </w:pPr>
      <w:r w:rsidRPr="0046184C">
        <w:rPr>
          <w:rFonts w:ascii="Montserrat Medium" w:hAnsi="Montserrat Medium" w:cs="Futura Medium"/>
          <w:color w:val="595959"/>
          <w:sz w:val="16"/>
          <w:szCs w:val="16"/>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0.51 a 2.00, según la calificación del crédito. </w:t>
      </w:r>
    </w:p>
    <w:p w14:paraId="36B871E3" w14:textId="77777777" w:rsidR="00A60187" w:rsidRPr="0046184C" w:rsidRDefault="00A60187" w:rsidP="002F131C">
      <w:pPr>
        <w:jc w:val="both"/>
        <w:rPr>
          <w:rFonts w:ascii="Montserrat Medium" w:hAnsi="Montserrat Medium" w:cs="Futura Medium"/>
          <w:color w:val="595959"/>
          <w:sz w:val="16"/>
          <w:szCs w:val="16"/>
        </w:rPr>
      </w:pPr>
    </w:p>
    <w:p w14:paraId="5CF5E48F" w14:textId="77777777" w:rsidR="00A60187" w:rsidRPr="0046184C" w:rsidRDefault="00A60187" w:rsidP="002F131C">
      <w:pPr>
        <w:jc w:val="both"/>
        <w:rPr>
          <w:rFonts w:ascii="Montserrat Medium" w:hAnsi="Montserrat Medium" w:cs="Futura Medium"/>
          <w:color w:val="595959"/>
          <w:sz w:val="16"/>
          <w:szCs w:val="16"/>
        </w:rPr>
      </w:pPr>
      <w:r w:rsidRPr="0046184C">
        <w:rPr>
          <w:rFonts w:ascii="Montserrat Medium" w:hAnsi="Montserrat Medium" w:cs="Futura Medium"/>
          <w:color w:val="595959"/>
          <w:sz w:val="16"/>
          <w:szCs w:val="16"/>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604E2CA5" w14:textId="77777777" w:rsidR="00A60187" w:rsidRPr="0046184C" w:rsidRDefault="00A60187" w:rsidP="002F131C">
      <w:pPr>
        <w:ind w:left="1211"/>
        <w:jc w:val="both"/>
        <w:rPr>
          <w:rFonts w:ascii="Montserrat Medium" w:hAnsi="Montserrat Medium" w:cs="Futura Medium"/>
          <w:color w:val="595959"/>
          <w:sz w:val="16"/>
          <w:szCs w:val="16"/>
        </w:rPr>
      </w:pPr>
    </w:p>
    <w:p w14:paraId="7168EFD6" w14:textId="77777777" w:rsidR="0046184C" w:rsidRPr="0046184C" w:rsidRDefault="0046184C" w:rsidP="0046184C">
      <w:pPr>
        <w:jc w:val="both"/>
        <w:rPr>
          <w:rFonts w:ascii="Montserrat Medium" w:hAnsi="Montserrat Medium" w:cs="Futura Medium"/>
          <w:color w:val="595959"/>
          <w:sz w:val="16"/>
          <w:szCs w:val="16"/>
        </w:rPr>
      </w:pPr>
      <w:r w:rsidRPr="0046184C">
        <w:rPr>
          <w:rFonts w:ascii="Montserrat Medium" w:hAnsi="Montserrat Medium" w:cs="Futura Medium"/>
          <w:color w:val="595959"/>
          <w:sz w:val="16"/>
          <w:szCs w:val="16"/>
        </w:rPr>
        <w:t>Durante el año de 2025 se han efectuado amortizaciones al capital por $5</w:t>
      </w:r>
      <w:proofErr w:type="gramStart"/>
      <w:r w:rsidRPr="0046184C">
        <w:rPr>
          <w:rFonts w:ascii="Montserrat Medium" w:hAnsi="Montserrat Medium" w:cs="Futura Medium"/>
          <w:color w:val="595959"/>
          <w:sz w:val="16"/>
          <w:szCs w:val="16"/>
        </w:rPr>
        <w:t>,605,707.54</w:t>
      </w:r>
      <w:proofErr w:type="gramEnd"/>
      <w:r w:rsidRPr="0046184C">
        <w:rPr>
          <w:rFonts w:ascii="Montserrat Medium" w:hAnsi="Montserrat Medium" w:cs="Futura Medium"/>
          <w:color w:val="595959"/>
          <w:sz w:val="16"/>
          <w:szCs w:val="16"/>
        </w:rPr>
        <w:t>, con lo cual el saldo al 30 de junio de 2025 es de $2,795,123,714.51</w:t>
      </w:r>
    </w:p>
    <w:p w14:paraId="2297BC22" w14:textId="77777777" w:rsidR="00175C62" w:rsidRPr="009C26EF" w:rsidRDefault="00175C62" w:rsidP="002F131C">
      <w:pPr>
        <w:jc w:val="both"/>
        <w:rPr>
          <w:rFonts w:ascii="Montserrat Medium" w:eastAsia="Times New Roman" w:hAnsi="Montserrat Medium" w:cs="Arial"/>
          <w:color w:val="595959"/>
          <w:sz w:val="20"/>
          <w:szCs w:val="20"/>
          <w:highlight w:val="yellow"/>
          <w:lang w:eastAsia="en-US"/>
        </w:rPr>
      </w:pPr>
    </w:p>
    <w:p w14:paraId="06C59838" w14:textId="39CA11BA" w:rsidR="008257FE" w:rsidRPr="0046184C" w:rsidRDefault="005B3BCD" w:rsidP="002F131C">
      <w:pPr>
        <w:keepNext/>
        <w:keepLines/>
        <w:tabs>
          <w:tab w:val="left" w:pos="1791"/>
        </w:tabs>
        <w:jc w:val="both"/>
        <w:outlineLvl w:val="6"/>
        <w:rPr>
          <w:rFonts w:ascii="Montserrat Medium" w:eastAsia="Times New Roman" w:hAnsi="Montserrat Medium" w:cs="Arial"/>
          <w:b/>
          <w:i/>
          <w:iCs/>
          <w:color w:val="595959"/>
          <w:sz w:val="22"/>
        </w:rPr>
      </w:pPr>
      <w:r w:rsidRPr="0046184C">
        <w:rPr>
          <w:rFonts w:ascii="Montserrat Medium" w:eastAsia="Times New Roman" w:hAnsi="Montserrat Medium" w:cs="Arial"/>
          <w:b/>
          <w:i/>
          <w:iCs/>
          <w:color w:val="595959"/>
          <w:sz w:val="22"/>
        </w:rPr>
        <w:t>1</w:t>
      </w:r>
      <w:r w:rsidR="00412190" w:rsidRPr="0046184C">
        <w:rPr>
          <w:rFonts w:ascii="Montserrat Medium" w:eastAsia="Times New Roman" w:hAnsi="Montserrat Medium" w:cs="Arial"/>
          <w:b/>
          <w:i/>
          <w:iCs/>
          <w:color w:val="595959"/>
          <w:sz w:val="22"/>
        </w:rPr>
        <w:t>1.</w:t>
      </w:r>
      <w:r w:rsidR="008257FE" w:rsidRPr="0046184C">
        <w:rPr>
          <w:rFonts w:ascii="Montserrat Medium" w:eastAsia="Times New Roman" w:hAnsi="Montserrat Medium" w:cs="Arial"/>
          <w:b/>
          <w:i/>
          <w:iCs/>
          <w:color w:val="595959"/>
          <w:sz w:val="22"/>
        </w:rPr>
        <w:t xml:space="preserve"> Calificaciones otorgadas </w:t>
      </w:r>
    </w:p>
    <w:p w14:paraId="656D4793" w14:textId="77777777" w:rsidR="008257FE" w:rsidRPr="0046184C" w:rsidRDefault="008257FE" w:rsidP="002F131C">
      <w:pPr>
        <w:jc w:val="both"/>
        <w:rPr>
          <w:rFonts w:ascii="Montserrat Medium" w:eastAsia="Times New Roman" w:hAnsi="Montserrat Medium" w:cs="Arial"/>
          <w:b/>
          <w:i/>
          <w:iCs/>
          <w:color w:val="595959"/>
          <w:sz w:val="22"/>
        </w:rPr>
      </w:pPr>
    </w:p>
    <w:p w14:paraId="02489CD5" w14:textId="512E7894" w:rsidR="00AE643B" w:rsidRPr="0046184C" w:rsidRDefault="00AE643B" w:rsidP="002F131C">
      <w:pPr>
        <w:jc w:val="both"/>
        <w:rPr>
          <w:rFonts w:ascii="Montserrat Medium" w:hAnsi="Montserrat Medium"/>
          <w:color w:val="595959"/>
          <w:sz w:val="22"/>
        </w:rPr>
      </w:pPr>
      <w:r w:rsidRPr="0046184C">
        <w:rPr>
          <w:rFonts w:ascii="Montserrat Medium" w:hAnsi="Montserrat Medium"/>
          <w:color w:val="595959"/>
          <w:sz w:val="22"/>
        </w:rPr>
        <w:t>A</w:t>
      </w:r>
      <w:r w:rsidR="00A60187" w:rsidRPr="0046184C">
        <w:rPr>
          <w:rFonts w:ascii="Montserrat Medium" w:hAnsi="Montserrat Medium"/>
          <w:color w:val="595959"/>
          <w:sz w:val="22"/>
        </w:rPr>
        <w:t>l 31 de marzo de 2025</w:t>
      </w:r>
      <w:r w:rsidRPr="0046184C">
        <w:rPr>
          <w:rFonts w:ascii="Montserrat Medium" w:hAnsi="Montserrat Medium"/>
          <w:color w:val="595959"/>
          <w:sz w:val="22"/>
        </w:rPr>
        <w:t xml:space="preserve">, el Estado de Quintana Roo se encuentra calificado por la  agencia Calificadora S &amp; P Global Ratings, que el </w:t>
      </w:r>
      <w:r w:rsidR="00A60187" w:rsidRPr="0046184C">
        <w:rPr>
          <w:rFonts w:ascii="Montserrat Medium" w:hAnsi="Montserrat Medium"/>
          <w:color w:val="595959"/>
          <w:sz w:val="22"/>
        </w:rPr>
        <w:t>23</w:t>
      </w:r>
      <w:r w:rsidRPr="0046184C">
        <w:rPr>
          <w:rFonts w:ascii="Montserrat Medium" w:hAnsi="Montserrat Medium"/>
          <w:color w:val="595959"/>
          <w:sz w:val="22"/>
        </w:rPr>
        <w:t xml:space="preserve"> de </w:t>
      </w:r>
      <w:r w:rsidR="00A60187" w:rsidRPr="0046184C">
        <w:rPr>
          <w:rFonts w:ascii="Montserrat Medium" w:hAnsi="Montserrat Medium"/>
          <w:color w:val="595959"/>
          <w:sz w:val="22"/>
        </w:rPr>
        <w:t>enero</w:t>
      </w:r>
      <w:r w:rsidRPr="0046184C">
        <w:rPr>
          <w:rFonts w:ascii="Montserrat Medium" w:hAnsi="Montserrat Medium"/>
          <w:color w:val="595959"/>
          <w:sz w:val="22"/>
        </w:rPr>
        <w:t xml:space="preserve"> de 202</w:t>
      </w:r>
      <w:r w:rsidR="00A60187" w:rsidRPr="0046184C">
        <w:rPr>
          <w:rFonts w:ascii="Montserrat Medium" w:hAnsi="Montserrat Medium"/>
          <w:color w:val="595959"/>
          <w:sz w:val="22"/>
        </w:rPr>
        <w:t>5</w:t>
      </w:r>
      <w:r w:rsidRPr="0046184C">
        <w:rPr>
          <w:rFonts w:ascii="Montserrat Medium" w:hAnsi="Montserrat Medium"/>
          <w:color w:val="595959"/>
          <w:sz w:val="22"/>
        </w:rPr>
        <w:t xml:space="preserve"> modificó la Perspectiva de la calificación nacional de largo plazo del estado de Quintana Roo a Positiva desde Estable y la afirmó en </w:t>
      </w:r>
      <w:proofErr w:type="spellStart"/>
      <w:r w:rsidRPr="0046184C">
        <w:rPr>
          <w:rFonts w:ascii="Montserrat Medium" w:hAnsi="Montserrat Medium"/>
          <w:color w:val="595959"/>
          <w:sz w:val="22"/>
        </w:rPr>
        <w:t>mxA</w:t>
      </w:r>
      <w:r w:rsidR="00A60187" w:rsidRPr="0046184C">
        <w:rPr>
          <w:rFonts w:ascii="Montserrat Medium" w:hAnsi="Montserrat Medium"/>
          <w:color w:val="595959"/>
          <w:sz w:val="22"/>
        </w:rPr>
        <w:t>A</w:t>
      </w:r>
      <w:proofErr w:type="spellEnd"/>
      <w:r w:rsidR="00A60187" w:rsidRPr="0046184C">
        <w:rPr>
          <w:rFonts w:ascii="Montserrat Medium" w:hAnsi="Montserrat Medium"/>
          <w:color w:val="595959"/>
          <w:sz w:val="22"/>
        </w:rPr>
        <w:t>-</w:t>
      </w:r>
      <w:r w:rsidRPr="0046184C">
        <w:rPr>
          <w:rFonts w:ascii="Montserrat Medium" w:hAnsi="Montserrat Medium"/>
          <w:color w:val="595959"/>
          <w:sz w:val="22"/>
        </w:rPr>
        <w:t>.</w:t>
      </w:r>
    </w:p>
    <w:p w14:paraId="36B5417D" w14:textId="77777777" w:rsidR="00AE643B" w:rsidRPr="0046184C" w:rsidRDefault="00AE643B" w:rsidP="002F131C">
      <w:pPr>
        <w:jc w:val="both"/>
        <w:rPr>
          <w:rFonts w:ascii="Montserrat Medium" w:hAnsi="Montserrat Medium"/>
          <w:color w:val="595959"/>
          <w:sz w:val="22"/>
        </w:rPr>
      </w:pPr>
    </w:p>
    <w:p w14:paraId="629E3566" w14:textId="0CE0DAD9" w:rsidR="00AE643B" w:rsidRPr="0046184C" w:rsidRDefault="00AE643B" w:rsidP="002F131C">
      <w:pPr>
        <w:jc w:val="both"/>
        <w:rPr>
          <w:rFonts w:ascii="Montserrat Medium" w:hAnsi="Montserrat Medium"/>
          <w:color w:val="595959"/>
          <w:sz w:val="22"/>
        </w:rPr>
      </w:pPr>
      <w:r w:rsidRPr="0046184C">
        <w:rPr>
          <w:rFonts w:ascii="Montserrat Medium" w:hAnsi="Montserrat Medium"/>
          <w:color w:val="595959"/>
          <w:sz w:val="22"/>
        </w:rPr>
        <w:t xml:space="preserve">Así como por la Agencia </w:t>
      </w:r>
      <w:proofErr w:type="spellStart"/>
      <w:r w:rsidRPr="0046184C">
        <w:rPr>
          <w:rFonts w:ascii="Montserrat Medium" w:hAnsi="Montserrat Medium"/>
          <w:color w:val="595959"/>
          <w:sz w:val="22"/>
        </w:rPr>
        <w:t>Fitch</w:t>
      </w:r>
      <w:proofErr w:type="spellEnd"/>
      <w:r w:rsidRPr="0046184C">
        <w:rPr>
          <w:rFonts w:ascii="Montserrat Medium" w:hAnsi="Montserrat Medium"/>
          <w:color w:val="595959"/>
          <w:sz w:val="22"/>
        </w:rPr>
        <w:t xml:space="preserve"> Ratings, que el día 13 de marzo de 2024, publico la calificación nacional a largo plazo del Estado de Quintana Roo de BBB- a  BBB+, por lo que la Perspectiva es Estable.</w:t>
      </w:r>
    </w:p>
    <w:p w14:paraId="7563B342" w14:textId="77777777" w:rsidR="00AE643B" w:rsidRPr="0046184C" w:rsidRDefault="00AE643B" w:rsidP="002F131C">
      <w:pPr>
        <w:jc w:val="both"/>
        <w:rPr>
          <w:rFonts w:ascii="Montserrat Medium" w:hAnsi="Montserrat Medium"/>
          <w:color w:val="595959"/>
          <w:sz w:val="22"/>
        </w:rPr>
      </w:pPr>
    </w:p>
    <w:p w14:paraId="6A73647E" w14:textId="77777777" w:rsidR="00AE643B" w:rsidRPr="0046184C" w:rsidRDefault="00AE643B" w:rsidP="002F131C">
      <w:pPr>
        <w:jc w:val="both"/>
        <w:rPr>
          <w:rFonts w:ascii="Montserrat Medium" w:hAnsi="Montserrat Medium"/>
          <w:color w:val="595959"/>
          <w:sz w:val="22"/>
        </w:rPr>
      </w:pPr>
      <w:r w:rsidRPr="0046184C">
        <w:rPr>
          <w:rFonts w:ascii="Montserrat Medium" w:hAnsi="Montserrat Medium"/>
          <w:color w:val="595959"/>
          <w:sz w:val="22"/>
        </w:rPr>
        <w:t>Con fecha 12 de agosto de 2024 la calificadora  HR Ratings revisó al alza la calificación de HR BBB a HR A-  manteniendo la Perspectiva Positiva para el Estado de Quintana Roo.</w:t>
      </w:r>
    </w:p>
    <w:p w14:paraId="67E318D4" w14:textId="77777777" w:rsidR="00AE643B" w:rsidRPr="0046184C" w:rsidRDefault="00AE643B" w:rsidP="002F131C">
      <w:pPr>
        <w:jc w:val="both"/>
        <w:rPr>
          <w:rFonts w:ascii="Montserrat Medium" w:hAnsi="Montserrat Medium"/>
          <w:color w:val="595959"/>
          <w:sz w:val="22"/>
        </w:rPr>
      </w:pPr>
    </w:p>
    <w:p w14:paraId="0E3C5BCE" w14:textId="77777777" w:rsidR="00AE643B" w:rsidRPr="0046184C" w:rsidRDefault="00AE643B" w:rsidP="002F131C">
      <w:pPr>
        <w:jc w:val="both"/>
        <w:rPr>
          <w:rFonts w:ascii="Montserrat Medium" w:hAnsi="Montserrat Medium"/>
          <w:color w:val="595959"/>
          <w:sz w:val="22"/>
        </w:rPr>
      </w:pPr>
      <w:r w:rsidRPr="0046184C">
        <w:rPr>
          <w:rFonts w:ascii="Montserrat Medium" w:hAnsi="Montserrat Medium"/>
          <w:color w:val="595959"/>
          <w:sz w:val="22"/>
        </w:rPr>
        <w:t xml:space="preserve">Y con fecha 27 de agosto de 2024 la calificadora </w:t>
      </w:r>
      <w:proofErr w:type="spellStart"/>
      <w:r w:rsidRPr="0046184C">
        <w:rPr>
          <w:rFonts w:ascii="Montserrat Medium" w:hAnsi="Montserrat Medium"/>
          <w:color w:val="595959"/>
          <w:sz w:val="22"/>
        </w:rPr>
        <w:t>Moody´s</w:t>
      </w:r>
      <w:proofErr w:type="spellEnd"/>
      <w:r w:rsidRPr="0046184C">
        <w:rPr>
          <w:rFonts w:ascii="Montserrat Medium" w:hAnsi="Montserrat Medium"/>
          <w:color w:val="595959"/>
          <w:sz w:val="22"/>
        </w:rPr>
        <w:t xml:space="preserve"> Local MX S.A.  </w:t>
      </w:r>
      <w:proofErr w:type="gramStart"/>
      <w:r w:rsidRPr="0046184C">
        <w:rPr>
          <w:rFonts w:ascii="Montserrat Medium" w:hAnsi="Montserrat Medium"/>
          <w:color w:val="595959"/>
          <w:sz w:val="22"/>
        </w:rPr>
        <w:t>asignó</w:t>
      </w:r>
      <w:proofErr w:type="gramEnd"/>
      <w:r w:rsidRPr="0046184C">
        <w:rPr>
          <w:rFonts w:ascii="Montserrat Medium" w:hAnsi="Montserrat Medium"/>
          <w:color w:val="595959"/>
          <w:sz w:val="22"/>
        </w:rPr>
        <w:t xml:space="preserve"> la calificación de A.mx con perspectiva estable al Estado de Quintana Roo, esta calificación refleja la mejora sustancial y estructural en los superávits operativos y financieros y en la liquidez, así como la ausencia de contingencias en pensiones.</w:t>
      </w:r>
    </w:p>
    <w:p w14:paraId="3C9A98B2" w14:textId="77777777" w:rsidR="00AE643B" w:rsidRPr="0046184C" w:rsidRDefault="00AE643B" w:rsidP="002F131C">
      <w:pPr>
        <w:jc w:val="both"/>
        <w:rPr>
          <w:rFonts w:ascii="Montserrat Medium" w:hAnsi="Montserrat Medium"/>
          <w:color w:val="595959"/>
          <w:sz w:val="22"/>
        </w:rPr>
      </w:pPr>
    </w:p>
    <w:p w14:paraId="39C8742D" w14:textId="11DBA032" w:rsidR="008257FE" w:rsidRPr="0046184C" w:rsidRDefault="00AE643B" w:rsidP="002F131C">
      <w:pPr>
        <w:jc w:val="both"/>
        <w:rPr>
          <w:rFonts w:ascii="Montserrat Medium" w:hAnsi="Montserrat Medium"/>
          <w:color w:val="595959"/>
          <w:sz w:val="22"/>
        </w:rPr>
      </w:pPr>
      <w:r w:rsidRPr="00B552D2">
        <w:rPr>
          <w:rFonts w:ascii="Montserrat Medium" w:hAnsi="Montserrat Medium"/>
          <w:color w:val="595959"/>
          <w:sz w:val="22"/>
        </w:rPr>
        <w:t>El siguiente cuadro contempla cada uno de los créditos y la calificación asignada por cada agencia y fecha de emisión de la misma, actualizado a</w:t>
      </w:r>
      <w:r w:rsidR="00A4586C" w:rsidRPr="00B552D2">
        <w:rPr>
          <w:rFonts w:ascii="Montserrat Medium" w:hAnsi="Montserrat Medium"/>
          <w:color w:val="595959"/>
          <w:sz w:val="22"/>
        </w:rPr>
        <w:t>l 3</w:t>
      </w:r>
      <w:r w:rsidR="0046184C" w:rsidRPr="00B552D2">
        <w:rPr>
          <w:rFonts w:ascii="Montserrat Medium" w:hAnsi="Montserrat Medium"/>
          <w:color w:val="595959"/>
          <w:sz w:val="22"/>
        </w:rPr>
        <w:t>0</w:t>
      </w:r>
      <w:r w:rsidR="00A4586C" w:rsidRPr="00B552D2">
        <w:rPr>
          <w:rFonts w:ascii="Montserrat Medium" w:hAnsi="Montserrat Medium"/>
          <w:color w:val="595959"/>
          <w:sz w:val="22"/>
        </w:rPr>
        <w:t xml:space="preserve"> de </w:t>
      </w:r>
      <w:r w:rsidR="0046184C" w:rsidRPr="00B552D2">
        <w:rPr>
          <w:rFonts w:ascii="Montserrat Medium" w:hAnsi="Montserrat Medium"/>
          <w:color w:val="595959"/>
          <w:sz w:val="22"/>
        </w:rPr>
        <w:t>junio</w:t>
      </w:r>
      <w:r w:rsidR="00A4586C" w:rsidRPr="00B552D2">
        <w:rPr>
          <w:rFonts w:ascii="Montserrat Medium" w:hAnsi="Montserrat Medium"/>
          <w:color w:val="595959"/>
          <w:sz w:val="22"/>
        </w:rPr>
        <w:t xml:space="preserve"> de 202</w:t>
      </w:r>
      <w:r w:rsidR="00A60187" w:rsidRPr="00B552D2">
        <w:rPr>
          <w:rFonts w:ascii="Montserrat Medium" w:hAnsi="Montserrat Medium"/>
          <w:color w:val="595959"/>
          <w:sz w:val="22"/>
        </w:rPr>
        <w:t>5</w:t>
      </w:r>
      <w:r w:rsidRPr="00B552D2">
        <w:rPr>
          <w:rFonts w:ascii="Montserrat Medium" w:hAnsi="Montserrat Medium"/>
          <w:color w:val="595959"/>
          <w:sz w:val="22"/>
        </w:rPr>
        <w:t>; en el mismo se puede apreciar un resumen de los saldos insolutos de la Deuda Directa a largo plazo del Estado.</w:t>
      </w:r>
    </w:p>
    <w:p w14:paraId="78D3B7D8" w14:textId="77777777" w:rsidR="001C0F05" w:rsidRPr="009C26EF" w:rsidRDefault="001C0F05" w:rsidP="002F131C">
      <w:pPr>
        <w:jc w:val="both"/>
        <w:rPr>
          <w:rFonts w:ascii="Montserrat Medium" w:hAnsi="Montserrat Medium" w:cs="Futura Medium"/>
          <w:highlight w:val="yellow"/>
        </w:rPr>
      </w:pPr>
    </w:p>
    <w:tbl>
      <w:tblPr>
        <w:tblW w:w="8787" w:type="dxa"/>
        <w:jc w:val="center"/>
        <w:tblInd w:w="-150" w:type="dxa"/>
        <w:tblBorders>
          <w:top w:val="single" w:sz="4" w:space="0" w:color="0B6333"/>
          <w:left w:val="single" w:sz="4" w:space="0" w:color="0B6333"/>
          <w:bottom w:val="single" w:sz="4" w:space="0" w:color="0B6333"/>
          <w:right w:val="single" w:sz="4" w:space="0" w:color="0B6333"/>
        </w:tblBorders>
        <w:tblCellMar>
          <w:left w:w="70" w:type="dxa"/>
          <w:right w:w="70" w:type="dxa"/>
        </w:tblCellMar>
        <w:tblLook w:val="04A0" w:firstRow="1" w:lastRow="0" w:firstColumn="1" w:lastColumn="0" w:noHBand="0" w:noVBand="1"/>
      </w:tblPr>
      <w:tblGrid>
        <w:gridCol w:w="2885"/>
        <w:gridCol w:w="1516"/>
        <w:gridCol w:w="1055"/>
        <w:gridCol w:w="1811"/>
        <w:gridCol w:w="1520"/>
      </w:tblGrid>
      <w:tr w:rsidR="002E7E47" w:rsidRPr="0046184C" w14:paraId="490B4452" w14:textId="77777777" w:rsidTr="00116B09">
        <w:trPr>
          <w:trHeight w:val="259"/>
          <w:tblHeader/>
          <w:jc w:val="center"/>
        </w:trPr>
        <w:tc>
          <w:tcPr>
            <w:tcW w:w="8787" w:type="dxa"/>
            <w:gridSpan w:val="5"/>
            <w:tcBorders>
              <w:top w:val="single" w:sz="4" w:space="0" w:color="auto"/>
              <w:left w:val="single" w:sz="4" w:space="0" w:color="auto"/>
              <w:bottom w:val="nil"/>
              <w:right w:val="single" w:sz="4" w:space="0" w:color="auto"/>
            </w:tcBorders>
            <w:shd w:val="clear" w:color="auto" w:fill="BFBFBF" w:themeFill="background1" w:themeFillShade="BF"/>
            <w:vAlign w:val="bottom"/>
            <w:hideMark/>
          </w:tcPr>
          <w:p w14:paraId="3959E74D" w14:textId="77777777" w:rsidR="002E7E47" w:rsidRPr="0046184C" w:rsidRDefault="002E7E47" w:rsidP="002F131C">
            <w:pPr>
              <w:jc w:val="center"/>
              <w:rPr>
                <w:rFonts w:ascii="Montserrat Medium" w:hAnsi="Montserrat Medium" w:cs="Futura Medium"/>
                <w:b/>
                <w:color w:val="000000"/>
                <w:sz w:val="14"/>
                <w:szCs w:val="14"/>
              </w:rPr>
            </w:pPr>
            <w:r w:rsidRPr="0046184C">
              <w:rPr>
                <w:rFonts w:ascii="Montserrat Medium" w:hAnsi="Montserrat Medium" w:cs="Futura Medium"/>
                <w:b/>
                <w:bCs/>
                <w:sz w:val="14"/>
                <w:szCs w:val="14"/>
              </w:rPr>
              <w:t>GOBIERNO DEL ESTADO LIBRE Y SOBERANO DE QUINTANA ROO</w:t>
            </w:r>
          </w:p>
        </w:tc>
      </w:tr>
      <w:tr w:rsidR="002E7E47" w:rsidRPr="0046184C" w14:paraId="1793157F" w14:textId="77777777" w:rsidTr="00116B09">
        <w:trPr>
          <w:tblHeader/>
          <w:jc w:val="center"/>
        </w:trPr>
        <w:tc>
          <w:tcPr>
            <w:tcW w:w="8787" w:type="dxa"/>
            <w:gridSpan w:val="5"/>
            <w:tcBorders>
              <w:top w:val="nil"/>
              <w:left w:val="single" w:sz="4" w:space="0" w:color="auto"/>
              <w:bottom w:val="nil"/>
              <w:right w:val="single" w:sz="4" w:space="0" w:color="auto"/>
            </w:tcBorders>
            <w:shd w:val="clear" w:color="auto" w:fill="BFBFBF" w:themeFill="background1" w:themeFillShade="BF"/>
            <w:vAlign w:val="bottom"/>
            <w:hideMark/>
          </w:tcPr>
          <w:p w14:paraId="5048E557" w14:textId="77777777" w:rsidR="002E7E47" w:rsidRPr="0046184C" w:rsidRDefault="002E7E47" w:rsidP="002F131C">
            <w:pPr>
              <w:jc w:val="center"/>
              <w:rPr>
                <w:rFonts w:ascii="Montserrat Medium" w:hAnsi="Montserrat Medium" w:cs="Futura Medium"/>
                <w:b/>
                <w:color w:val="000000"/>
                <w:sz w:val="14"/>
                <w:szCs w:val="14"/>
              </w:rPr>
            </w:pPr>
            <w:r w:rsidRPr="0046184C">
              <w:rPr>
                <w:rFonts w:ascii="Montserrat Medium" w:hAnsi="Montserrat Medium" w:cs="Futura Medium"/>
                <w:b/>
                <w:color w:val="000000"/>
                <w:sz w:val="14"/>
                <w:szCs w:val="14"/>
              </w:rPr>
              <w:t>Deuda Directa a largo plazo y Calificaciones Asignadas</w:t>
            </w:r>
          </w:p>
        </w:tc>
      </w:tr>
      <w:tr w:rsidR="002E7E47" w:rsidRPr="0046184C" w14:paraId="714F8ED9" w14:textId="77777777" w:rsidTr="00116B09">
        <w:trPr>
          <w:tblHeader/>
          <w:jc w:val="center"/>
        </w:trPr>
        <w:tc>
          <w:tcPr>
            <w:tcW w:w="8787" w:type="dxa"/>
            <w:gridSpan w:val="5"/>
            <w:tcBorders>
              <w:top w:val="nil"/>
              <w:left w:val="single" w:sz="4" w:space="0" w:color="auto"/>
              <w:bottom w:val="nil"/>
              <w:right w:val="single" w:sz="4" w:space="0" w:color="auto"/>
            </w:tcBorders>
            <w:shd w:val="clear" w:color="auto" w:fill="BFBFBF" w:themeFill="background1" w:themeFillShade="BF"/>
            <w:vAlign w:val="bottom"/>
            <w:hideMark/>
          </w:tcPr>
          <w:p w14:paraId="00AC6948" w14:textId="77777777" w:rsidR="002E7E47" w:rsidRPr="0046184C" w:rsidRDefault="002E7E47" w:rsidP="002F131C">
            <w:pPr>
              <w:jc w:val="center"/>
              <w:rPr>
                <w:rFonts w:ascii="Montserrat Medium" w:hAnsi="Montserrat Medium" w:cs="Futura Medium"/>
                <w:color w:val="000000"/>
                <w:sz w:val="14"/>
                <w:szCs w:val="14"/>
              </w:rPr>
            </w:pPr>
          </w:p>
        </w:tc>
      </w:tr>
      <w:tr w:rsidR="002E7E47" w:rsidRPr="0046184C" w14:paraId="60ADB079" w14:textId="77777777" w:rsidTr="00116B09">
        <w:trPr>
          <w:tblHeader/>
          <w:jc w:val="center"/>
        </w:trPr>
        <w:tc>
          <w:tcPr>
            <w:tcW w:w="8787" w:type="dxa"/>
            <w:gridSpan w:val="5"/>
            <w:tcBorders>
              <w:top w:val="nil"/>
              <w:left w:val="single" w:sz="4" w:space="0" w:color="auto"/>
              <w:bottom w:val="nil"/>
              <w:right w:val="single" w:sz="4" w:space="0" w:color="auto"/>
            </w:tcBorders>
            <w:shd w:val="clear" w:color="auto" w:fill="BFBFBF" w:themeFill="background1" w:themeFillShade="BF"/>
            <w:vAlign w:val="bottom"/>
            <w:hideMark/>
          </w:tcPr>
          <w:p w14:paraId="142814AB" w14:textId="77777777" w:rsidR="002E7E47" w:rsidRPr="0046184C" w:rsidRDefault="002E7E47" w:rsidP="002F131C">
            <w:pPr>
              <w:jc w:val="center"/>
              <w:rPr>
                <w:rFonts w:ascii="Montserrat Medium" w:hAnsi="Montserrat Medium" w:cs="Futura Medium"/>
                <w:color w:val="000000"/>
                <w:sz w:val="14"/>
                <w:szCs w:val="14"/>
              </w:rPr>
            </w:pPr>
          </w:p>
        </w:tc>
      </w:tr>
      <w:tr w:rsidR="002E7E47" w:rsidRPr="0046184C" w14:paraId="0284DCB5" w14:textId="77777777" w:rsidTr="00116B09">
        <w:trPr>
          <w:tblHeader/>
          <w:jc w:val="center"/>
        </w:trPr>
        <w:tc>
          <w:tcPr>
            <w:tcW w:w="8787" w:type="dxa"/>
            <w:gridSpan w:val="5"/>
            <w:tcBorders>
              <w:top w:val="nil"/>
              <w:left w:val="single" w:sz="4" w:space="0" w:color="auto"/>
              <w:bottom w:val="nil"/>
              <w:right w:val="single" w:sz="4" w:space="0" w:color="auto"/>
            </w:tcBorders>
            <w:shd w:val="clear" w:color="auto" w:fill="BFBFBF" w:themeFill="background1" w:themeFillShade="BF"/>
            <w:vAlign w:val="bottom"/>
            <w:hideMark/>
          </w:tcPr>
          <w:p w14:paraId="0257EF52" w14:textId="77777777" w:rsidR="002E7E47" w:rsidRPr="0046184C" w:rsidRDefault="002E7E47" w:rsidP="002F131C">
            <w:pPr>
              <w:jc w:val="center"/>
              <w:rPr>
                <w:rFonts w:ascii="Montserrat Medium" w:hAnsi="Montserrat Medium" w:cs="Futura Medium"/>
                <w:color w:val="000000"/>
                <w:sz w:val="14"/>
                <w:szCs w:val="14"/>
              </w:rPr>
            </w:pPr>
          </w:p>
        </w:tc>
      </w:tr>
      <w:tr w:rsidR="002E7E47" w:rsidRPr="0046184C" w14:paraId="1643071E" w14:textId="77777777" w:rsidTr="00116B09">
        <w:trPr>
          <w:tblHeader/>
          <w:jc w:val="center"/>
        </w:trPr>
        <w:tc>
          <w:tcPr>
            <w:tcW w:w="8787" w:type="dxa"/>
            <w:gridSpan w:val="5"/>
            <w:tcBorders>
              <w:top w:val="nil"/>
              <w:left w:val="single" w:sz="4" w:space="0" w:color="auto"/>
              <w:bottom w:val="nil"/>
              <w:right w:val="single" w:sz="4" w:space="0" w:color="auto"/>
            </w:tcBorders>
            <w:shd w:val="clear" w:color="auto" w:fill="BFBFBF" w:themeFill="background1" w:themeFillShade="BF"/>
            <w:vAlign w:val="bottom"/>
            <w:hideMark/>
          </w:tcPr>
          <w:p w14:paraId="3E13BCE9" w14:textId="6371551D" w:rsidR="002E7E47" w:rsidRPr="0046184C" w:rsidRDefault="002E7E47" w:rsidP="0046184C">
            <w:pPr>
              <w:jc w:val="center"/>
              <w:rPr>
                <w:rFonts w:ascii="Montserrat Medium" w:hAnsi="Montserrat Medium" w:cs="Futura Medium"/>
                <w:sz w:val="14"/>
                <w:szCs w:val="14"/>
              </w:rPr>
            </w:pPr>
            <w:r w:rsidRPr="0046184C">
              <w:rPr>
                <w:rFonts w:ascii="Montserrat Medium" w:hAnsi="Montserrat Medium" w:cs="Futura Medium"/>
                <w:sz w:val="14"/>
                <w:szCs w:val="14"/>
              </w:rPr>
              <w:t>A</w:t>
            </w:r>
            <w:r w:rsidR="00A4586C" w:rsidRPr="0046184C">
              <w:rPr>
                <w:rFonts w:ascii="Montserrat Medium" w:hAnsi="Montserrat Medium" w:cs="Futura Medium"/>
                <w:sz w:val="14"/>
                <w:szCs w:val="14"/>
              </w:rPr>
              <w:t>l 3</w:t>
            </w:r>
            <w:r w:rsidR="0046184C">
              <w:rPr>
                <w:rFonts w:ascii="Montserrat Medium" w:hAnsi="Montserrat Medium" w:cs="Futura Medium"/>
                <w:sz w:val="14"/>
                <w:szCs w:val="14"/>
              </w:rPr>
              <w:t>0</w:t>
            </w:r>
            <w:r w:rsidR="00A4586C" w:rsidRPr="0046184C">
              <w:rPr>
                <w:rFonts w:ascii="Montserrat Medium" w:hAnsi="Montserrat Medium" w:cs="Futura Medium"/>
                <w:sz w:val="14"/>
                <w:szCs w:val="14"/>
              </w:rPr>
              <w:t xml:space="preserve"> de </w:t>
            </w:r>
            <w:r w:rsidR="0046184C">
              <w:rPr>
                <w:rFonts w:ascii="Montserrat Medium" w:hAnsi="Montserrat Medium" w:cs="Futura Medium"/>
                <w:sz w:val="14"/>
                <w:szCs w:val="14"/>
              </w:rPr>
              <w:t>junio</w:t>
            </w:r>
            <w:r w:rsidR="00116B09" w:rsidRPr="0046184C">
              <w:rPr>
                <w:rFonts w:ascii="Montserrat Medium" w:hAnsi="Montserrat Medium" w:cs="Futura Medium"/>
                <w:sz w:val="14"/>
                <w:szCs w:val="14"/>
              </w:rPr>
              <w:t xml:space="preserve"> de 2025</w:t>
            </w:r>
          </w:p>
        </w:tc>
      </w:tr>
      <w:tr w:rsidR="002E7E47" w:rsidRPr="0046184C" w14:paraId="2CE5654F" w14:textId="77777777" w:rsidTr="00116B09">
        <w:trPr>
          <w:tblHeader/>
          <w:jc w:val="center"/>
        </w:trPr>
        <w:tc>
          <w:tcPr>
            <w:tcW w:w="8787" w:type="dxa"/>
            <w:gridSpan w:val="5"/>
            <w:tcBorders>
              <w:top w:val="nil"/>
              <w:left w:val="single" w:sz="4" w:space="0" w:color="auto"/>
              <w:bottom w:val="nil"/>
              <w:right w:val="single" w:sz="4" w:space="0" w:color="auto"/>
            </w:tcBorders>
            <w:shd w:val="clear" w:color="auto" w:fill="BFBFBF" w:themeFill="background1" w:themeFillShade="BF"/>
            <w:vAlign w:val="bottom"/>
            <w:hideMark/>
          </w:tcPr>
          <w:p w14:paraId="2474B8E1" w14:textId="77777777" w:rsidR="002E7E47" w:rsidRPr="0046184C" w:rsidRDefault="002E7E47" w:rsidP="002F131C">
            <w:pPr>
              <w:jc w:val="center"/>
              <w:rPr>
                <w:rFonts w:ascii="Montserrat Medium" w:hAnsi="Montserrat Medium" w:cs="Futura Medium"/>
                <w:sz w:val="14"/>
                <w:szCs w:val="14"/>
              </w:rPr>
            </w:pPr>
          </w:p>
        </w:tc>
      </w:tr>
      <w:tr w:rsidR="002E7E47" w:rsidRPr="0046184C" w14:paraId="10A52250" w14:textId="77777777" w:rsidTr="00116B09">
        <w:trPr>
          <w:tblHeader/>
          <w:jc w:val="center"/>
        </w:trPr>
        <w:tc>
          <w:tcPr>
            <w:tcW w:w="8787" w:type="dxa"/>
            <w:gridSpan w:val="5"/>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776C4BCE" w14:textId="0D78E60C" w:rsidR="002E7E47" w:rsidRPr="0046184C" w:rsidRDefault="002E7E47" w:rsidP="002F131C">
            <w:pPr>
              <w:jc w:val="center"/>
              <w:rPr>
                <w:rFonts w:ascii="Montserrat Medium" w:hAnsi="Montserrat Medium" w:cs="Futura Medium"/>
                <w:sz w:val="14"/>
                <w:szCs w:val="14"/>
              </w:rPr>
            </w:pPr>
            <w:r w:rsidRPr="0046184C">
              <w:rPr>
                <w:rFonts w:ascii="Montserrat Medium" w:hAnsi="Montserrat Medium" w:cs="Futura Medium"/>
                <w:sz w:val="14"/>
                <w:szCs w:val="14"/>
              </w:rPr>
              <w:t>(</w:t>
            </w:r>
            <w:r w:rsidR="00116B09" w:rsidRPr="0046184C">
              <w:rPr>
                <w:rFonts w:ascii="Montserrat Medium" w:hAnsi="Montserrat Medium" w:cs="Futura Medium"/>
                <w:sz w:val="14"/>
                <w:szCs w:val="14"/>
              </w:rPr>
              <w:t>Cifras en pesos</w:t>
            </w:r>
            <w:r w:rsidRPr="0046184C">
              <w:rPr>
                <w:rFonts w:ascii="Montserrat Medium" w:hAnsi="Montserrat Medium" w:cs="Futura Medium"/>
                <w:sz w:val="14"/>
                <w:szCs w:val="14"/>
              </w:rPr>
              <w:t>)</w:t>
            </w:r>
          </w:p>
        </w:tc>
      </w:tr>
      <w:tr w:rsidR="002E7E47" w:rsidRPr="0046184C" w14:paraId="1BDBE1CE" w14:textId="77777777" w:rsidTr="00116B09">
        <w:trPr>
          <w:tblHeader/>
          <w:jc w:val="center"/>
        </w:trPr>
        <w:tc>
          <w:tcPr>
            <w:tcW w:w="288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220FEF" w14:textId="77777777" w:rsidR="002E7E47" w:rsidRPr="0046184C" w:rsidRDefault="002E7E47" w:rsidP="002F131C">
            <w:pPr>
              <w:jc w:val="center"/>
              <w:rPr>
                <w:rFonts w:ascii="Montserrat Medium" w:hAnsi="Montserrat Medium" w:cs="Futura Medium"/>
                <w:sz w:val="14"/>
                <w:szCs w:val="14"/>
              </w:rPr>
            </w:pPr>
            <w:r w:rsidRPr="0046184C">
              <w:rPr>
                <w:rFonts w:ascii="Montserrat Medium" w:hAnsi="Montserrat Medium" w:cs="Futura Medium"/>
                <w:sz w:val="14"/>
                <w:szCs w:val="14"/>
              </w:rPr>
              <w:t>Clasificación de la Deuda</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CA187D" w14:textId="77777777" w:rsidR="002E7E47" w:rsidRPr="0046184C" w:rsidRDefault="002E7E47" w:rsidP="002F131C">
            <w:pPr>
              <w:jc w:val="center"/>
              <w:rPr>
                <w:rFonts w:ascii="Montserrat Medium" w:hAnsi="Montserrat Medium" w:cs="Futura Medium"/>
                <w:sz w:val="14"/>
                <w:szCs w:val="14"/>
              </w:rPr>
            </w:pPr>
            <w:r w:rsidRPr="0046184C">
              <w:rPr>
                <w:rFonts w:ascii="Montserrat Medium" w:hAnsi="Montserrat Medium" w:cs="Futura Medium"/>
                <w:sz w:val="14"/>
                <w:szCs w:val="14"/>
              </w:rPr>
              <w:t>Saldo Insoluto</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1A7D5B" w14:textId="77777777" w:rsidR="002E7E47" w:rsidRPr="0046184C" w:rsidRDefault="002E7E47" w:rsidP="002F131C">
            <w:pPr>
              <w:jc w:val="center"/>
              <w:rPr>
                <w:rFonts w:ascii="Montserrat Medium" w:hAnsi="Montserrat Medium" w:cs="Futura Medium"/>
                <w:sz w:val="14"/>
                <w:szCs w:val="14"/>
              </w:rPr>
            </w:pPr>
            <w:r w:rsidRPr="0046184C">
              <w:rPr>
                <w:rFonts w:ascii="Montserrat Medium" w:hAnsi="Montserrat Medium" w:cs="Futura Medium"/>
                <w:sz w:val="14"/>
                <w:szCs w:val="14"/>
              </w:rPr>
              <w:t>Año de Vencimiento</w:t>
            </w:r>
          </w:p>
        </w:tc>
        <w:tc>
          <w:tcPr>
            <w:tcW w:w="33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47CEF8" w14:textId="77777777" w:rsidR="002E7E47" w:rsidRPr="0046184C" w:rsidRDefault="002E7E47" w:rsidP="002F131C">
            <w:pPr>
              <w:jc w:val="center"/>
              <w:rPr>
                <w:rFonts w:ascii="Montserrat Medium" w:hAnsi="Montserrat Medium" w:cs="Futura Medium"/>
                <w:sz w:val="14"/>
                <w:szCs w:val="14"/>
              </w:rPr>
            </w:pPr>
            <w:r w:rsidRPr="0046184C">
              <w:rPr>
                <w:rFonts w:ascii="Montserrat Medium" w:hAnsi="Montserrat Medium" w:cs="Futura Medium"/>
                <w:sz w:val="14"/>
                <w:szCs w:val="14"/>
              </w:rPr>
              <w:t>Calificaciones</w:t>
            </w:r>
          </w:p>
        </w:tc>
      </w:tr>
      <w:tr w:rsidR="005B6769" w:rsidRPr="0046184C" w14:paraId="2E0B50CE" w14:textId="77777777" w:rsidTr="00116B09">
        <w:trPr>
          <w:tblHeader/>
          <w:jc w:val="center"/>
        </w:trPr>
        <w:tc>
          <w:tcPr>
            <w:tcW w:w="28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7249EA" w14:textId="77777777" w:rsidR="002E7E47" w:rsidRPr="0046184C" w:rsidRDefault="002E7E47" w:rsidP="002F131C">
            <w:pPr>
              <w:rPr>
                <w:rFonts w:ascii="Montserrat Medium" w:hAnsi="Montserrat Medium" w:cs="Futura Medium"/>
                <w:sz w:val="14"/>
                <w:szCs w:val="14"/>
              </w:rPr>
            </w:pPr>
          </w:p>
        </w:tc>
        <w:tc>
          <w:tcPr>
            <w:tcW w:w="1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8A8B0D" w14:textId="77777777" w:rsidR="002E7E47" w:rsidRPr="0046184C" w:rsidRDefault="002E7E47" w:rsidP="002F131C">
            <w:pPr>
              <w:rPr>
                <w:rFonts w:ascii="Montserrat Medium" w:hAnsi="Montserrat Medium" w:cs="Futura Medium"/>
                <w:sz w:val="14"/>
                <w:szCs w:val="14"/>
              </w:rPr>
            </w:pPr>
          </w:p>
        </w:tc>
        <w:tc>
          <w:tcPr>
            <w:tcW w:w="1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051A8F" w14:textId="77777777" w:rsidR="002E7E47" w:rsidRPr="0046184C" w:rsidRDefault="002E7E47" w:rsidP="002F131C">
            <w:pPr>
              <w:rPr>
                <w:rFonts w:ascii="Montserrat Medium" w:hAnsi="Montserrat Medium" w:cs="Futura Medium"/>
                <w:sz w:val="14"/>
                <w:szCs w:val="14"/>
              </w:rPr>
            </w:pPr>
          </w:p>
        </w:tc>
        <w:tc>
          <w:tcPr>
            <w:tcW w:w="1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D8B991" w14:textId="77777777" w:rsidR="002E7E47" w:rsidRPr="0046184C" w:rsidRDefault="002E7E47" w:rsidP="002F131C">
            <w:pPr>
              <w:jc w:val="center"/>
              <w:rPr>
                <w:rFonts w:ascii="Montserrat Medium" w:hAnsi="Montserrat Medium" w:cs="Futura Medium"/>
                <w:sz w:val="14"/>
                <w:szCs w:val="14"/>
              </w:rPr>
            </w:pPr>
            <w:r w:rsidRPr="0046184C">
              <w:rPr>
                <w:rFonts w:ascii="Montserrat Medium" w:hAnsi="Montserrat Medium" w:cs="Futura Medium"/>
                <w:sz w:val="14"/>
                <w:szCs w:val="14"/>
              </w:rPr>
              <w:t>HR Ratings</w:t>
            </w:r>
          </w:p>
        </w:tc>
        <w:tc>
          <w:tcPr>
            <w:tcW w:w="1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53AC72" w14:textId="77777777" w:rsidR="002E7E47" w:rsidRPr="0046184C" w:rsidRDefault="002E7E47" w:rsidP="002F131C">
            <w:pPr>
              <w:jc w:val="center"/>
              <w:rPr>
                <w:rFonts w:ascii="Montserrat Medium" w:hAnsi="Montserrat Medium" w:cs="Futura Medium"/>
                <w:sz w:val="14"/>
                <w:szCs w:val="14"/>
              </w:rPr>
            </w:pPr>
            <w:r w:rsidRPr="0046184C">
              <w:rPr>
                <w:rFonts w:ascii="Montserrat Medium" w:hAnsi="Montserrat Medium" w:cs="Futura Medium"/>
                <w:sz w:val="14"/>
                <w:szCs w:val="14"/>
              </w:rPr>
              <w:t>S&amp;P</w:t>
            </w:r>
          </w:p>
        </w:tc>
      </w:tr>
      <w:tr w:rsidR="0046184C" w:rsidRPr="0046184C" w14:paraId="7DAE5780" w14:textId="77777777" w:rsidTr="0046184C">
        <w:trPr>
          <w:jc w:val="center"/>
        </w:trPr>
        <w:tc>
          <w:tcPr>
            <w:tcW w:w="28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27BBF1" w14:textId="77777777" w:rsidR="0046184C" w:rsidRPr="0046184C" w:rsidRDefault="0046184C" w:rsidP="002F131C">
            <w:pPr>
              <w:jc w:val="center"/>
              <w:rPr>
                <w:rFonts w:ascii="Montserrat Medium" w:hAnsi="Montserrat Medium" w:cs="Futura Medium"/>
                <w:b/>
                <w:sz w:val="14"/>
                <w:szCs w:val="14"/>
              </w:rPr>
            </w:pPr>
            <w:r w:rsidRPr="0046184C">
              <w:rPr>
                <w:rFonts w:ascii="Montserrat Medium" w:hAnsi="Montserrat Medium" w:cs="Futura Medium"/>
                <w:b/>
                <w:sz w:val="14"/>
                <w:szCs w:val="14"/>
              </w:rPr>
              <w:t>Deuda Directa</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1BC82" w14:textId="3574C23E" w:rsidR="0046184C" w:rsidRPr="0046184C" w:rsidRDefault="0046184C" w:rsidP="0046184C">
            <w:pPr>
              <w:jc w:val="right"/>
              <w:rPr>
                <w:rFonts w:ascii="Montserrat Medium" w:hAnsi="Montserrat Medium" w:cs="Futura Medium"/>
                <w:b/>
                <w:sz w:val="14"/>
                <w:szCs w:val="14"/>
              </w:rPr>
            </w:pPr>
            <w:r w:rsidRPr="0046184C">
              <w:rPr>
                <w:rFonts w:ascii="Montserrat Medium" w:hAnsi="Montserrat Medium" w:cs="Futura Medium"/>
                <w:b/>
                <w:sz w:val="14"/>
                <w:szCs w:val="16"/>
              </w:rPr>
              <w:t>19,231,416,733.59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89844C" w14:textId="77777777" w:rsidR="0046184C" w:rsidRPr="0046184C" w:rsidRDefault="0046184C" w:rsidP="002F131C">
            <w:pPr>
              <w:rPr>
                <w:rFonts w:ascii="Montserrat Medium" w:hAnsi="Montserrat Medium" w:cs="Futura Medium"/>
                <w:bCs/>
                <w:sz w:val="14"/>
                <w:szCs w:val="14"/>
              </w:rPr>
            </w:pPr>
            <w:r w:rsidRPr="0046184C">
              <w:rPr>
                <w:rFonts w:ascii="Montserrat Medium" w:hAnsi="Montserrat Medium" w:cs="Futura Medium"/>
                <w:bCs/>
                <w:sz w:val="14"/>
                <w:szCs w:val="14"/>
              </w:rPr>
              <w:t> </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52383" w14:textId="77777777" w:rsidR="0046184C" w:rsidRPr="0046184C" w:rsidRDefault="0046184C" w:rsidP="002F131C">
            <w:pPr>
              <w:rPr>
                <w:rFonts w:ascii="Montserrat Medium" w:hAnsi="Montserrat Medium" w:cs="Futura Medium"/>
                <w:bCs/>
                <w:sz w:val="14"/>
                <w:szCs w:val="14"/>
              </w:rPr>
            </w:pPr>
            <w:r w:rsidRPr="0046184C">
              <w:rPr>
                <w:rFonts w:ascii="Montserrat Medium" w:hAnsi="Montserrat Medium" w:cs="Futura Medium"/>
                <w:bCs/>
                <w:sz w:val="14"/>
                <w:szCs w:val="14"/>
              </w:rPr>
              <w:t> </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6503280" w14:textId="77777777" w:rsidR="0046184C" w:rsidRPr="0046184C" w:rsidRDefault="0046184C" w:rsidP="002F131C">
            <w:pPr>
              <w:rPr>
                <w:rFonts w:ascii="Montserrat Medium" w:hAnsi="Montserrat Medium" w:cs="Futura Medium"/>
                <w:bCs/>
                <w:sz w:val="14"/>
                <w:szCs w:val="14"/>
              </w:rPr>
            </w:pPr>
          </w:p>
        </w:tc>
      </w:tr>
      <w:tr w:rsidR="0046184C" w:rsidRPr="0046184C" w14:paraId="371D3477" w14:textId="77777777" w:rsidTr="0046184C">
        <w:trPr>
          <w:jc w:val="center"/>
        </w:trPr>
        <w:tc>
          <w:tcPr>
            <w:tcW w:w="2885" w:type="dxa"/>
            <w:tcBorders>
              <w:top w:val="single" w:sz="4" w:space="0" w:color="auto"/>
              <w:left w:val="single" w:sz="4" w:space="0" w:color="auto"/>
              <w:bottom w:val="nil"/>
              <w:right w:val="single" w:sz="4" w:space="0" w:color="auto"/>
            </w:tcBorders>
            <w:shd w:val="clear" w:color="auto" w:fill="auto"/>
            <w:vAlign w:val="center"/>
            <w:hideMark/>
          </w:tcPr>
          <w:p w14:paraId="245FC535" w14:textId="77777777" w:rsidR="0046184C" w:rsidRPr="0046184C" w:rsidRDefault="0046184C" w:rsidP="002F131C">
            <w:pPr>
              <w:jc w:val="center"/>
              <w:rPr>
                <w:rFonts w:ascii="Montserrat Medium" w:hAnsi="Montserrat Medium" w:cs="Futura Medium"/>
                <w:sz w:val="14"/>
                <w:szCs w:val="14"/>
              </w:rPr>
            </w:pPr>
            <w:r w:rsidRPr="0046184C">
              <w:rPr>
                <w:rFonts w:ascii="Montserrat Medium" w:hAnsi="Montserrat Medium" w:cs="Futura Medium"/>
                <w:sz w:val="14"/>
                <w:szCs w:val="14"/>
              </w:rPr>
              <w:t>BANORTE, S.A. (3,000 MDP)</w:t>
            </w:r>
          </w:p>
        </w:tc>
        <w:tc>
          <w:tcPr>
            <w:tcW w:w="1516" w:type="dxa"/>
            <w:tcBorders>
              <w:top w:val="single" w:sz="4" w:space="0" w:color="auto"/>
              <w:left w:val="single" w:sz="4" w:space="0" w:color="auto"/>
              <w:bottom w:val="nil"/>
              <w:right w:val="single" w:sz="4" w:space="0" w:color="auto"/>
            </w:tcBorders>
            <w:shd w:val="clear" w:color="auto" w:fill="auto"/>
            <w:vAlign w:val="center"/>
            <w:hideMark/>
          </w:tcPr>
          <w:p w14:paraId="091D57E7" w14:textId="23B21AFD" w:rsidR="0046184C" w:rsidRPr="0046184C" w:rsidRDefault="0046184C" w:rsidP="0046184C">
            <w:pPr>
              <w:jc w:val="right"/>
              <w:rPr>
                <w:rFonts w:ascii="Montserrat Medium" w:hAnsi="Montserrat Medium"/>
                <w:sz w:val="14"/>
                <w:szCs w:val="14"/>
              </w:rPr>
            </w:pPr>
            <w:r w:rsidRPr="0046184C">
              <w:rPr>
                <w:rFonts w:ascii="Montserrat Medium" w:hAnsi="Montserrat Medium" w:cs="Futura Medium"/>
                <w:sz w:val="14"/>
                <w:szCs w:val="16"/>
              </w:rPr>
              <w:t>2,986,886,738.00</w:t>
            </w:r>
          </w:p>
        </w:tc>
        <w:tc>
          <w:tcPr>
            <w:tcW w:w="1055" w:type="dxa"/>
            <w:tcBorders>
              <w:top w:val="single" w:sz="4" w:space="0" w:color="auto"/>
              <w:left w:val="single" w:sz="4" w:space="0" w:color="auto"/>
              <w:bottom w:val="nil"/>
              <w:right w:val="single" w:sz="4" w:space="0" w:color="auto"/>
            </w:tcBorders>
            <w:shd w:val="clear" w:color="auto" w:fill="auto"/>
            <w:vAlign w:val="center"/>
            <w:hideMark/>
          </w:tcPr>
          <w:p w14:paraId="45C1DDA2" w14:textId="77777777" w:rsidR="0046184C" w:rsidRPr="0046184C" w:rsidRDefault="0046184C" w:rsidP="002F131C">
            <w:pPr>
              <w:jc w:val="center"/>
              <w:rPr>
                <w:rFonts w:ascii="Montserrat Medium" w:hAnsi="Montserrat Medium" w:cs="Futura Medium"/>
                <w:sz w:val="14"/>
                <w:szCs w:val="14"/>
              </w:rPr>
            </w:pPr>
            <w:r w:rsidRPr="0046184C">
              <w:rPr>
                <w:rFonts w:ascii="Montserrat Medium" w:hAnsi="Montserrat Medium" w:cs="Futura Medium"/>
                <w:sz w:val="14"/>
                <w:szCs w:val="14"/>
              </w:rPr>
              <w:t>2049</w:t>
            </w:r>
          </w:p>
        </w:tc>
        <w:tc>
          <w:tcPr>
            <w:tcW w:w="1811" w:type="dxa"/>
            <w:tcBorders>
              <w:top w:val="single" w:sz="4" w:space="0" w:color="auto"/>
              <w:left w:val="single" w:sz="4" w:space="0" w:color="auto"/>
              <w:bottom w:val="nil"/>
              <w:right w:val="single" w:sz="4" w:space="0" w:color="auto"/>
            </w:tcBorders>
            <w:shd w:val="clear" w:color="auto" w:fill="auto"/>
            <w:vAlign w:val="center"/>
            <w:hideMark/>
          </w:tcPr>
          <w:p w14:paraId="396069D7" w14:textId="77777777" w:rsidR="0046184C" w:rsidRPr="0046184C" w:rsidRDefault="0046184C" w:rsidP="002F131C">
            <w:pPr>
              <w:jc w:val="center"/>
              <w:rPr>
                <w:rFonts w:ascii="Montserrat Medium" w:hAnsi="Montserrat Medium" w:cs="Futura Medium"/>
                <w:sz w:val="14"/>
                <w:szCs w:val="14"/>
              </w:rPr>
            </w:pPr>
            <w:r w:rsidRPr="0046184C">
              <w:rPr>
                <w:rFonts w:ascii="Montserrat Medium" w:hAnsi="Montserrat Medium" w:cs="Futura Medium"/>
                <w:sz w:val="14"/>
                <w:szCs w:val="14"/>
              </w:rPr>
              <w:t>HR AAA (E) (27/03/24)</w:t>
            </w:r>
          </w:p>
        </w:tc>
        <w:tc>
          <w:tcPr>
            <w:tcW w:w="1520" w:type="dxa"/>
            <w:tcBorders>
              <w:top w:val="single" w:sz="4" w:space="0" w:color="auto"/>
              <w:left w:val="single" w:sz="4" w:space="0" w:color="auto"/>
              <w:bottom w:val="nil"/>
              <w:right w:val="single" w:sz="4" w:space="0" w:color="auto"/>
            </w:tcBorders>
            <w:shd w:val="clear" w:color="auto" w:fill="auto"/>
            <w:vAlign w:val="center"/>
          </w:tcPr>
          <w:p w14:paraId="400C5E2F" w14:textId="235EE20C" w:rsidR="0046184C" w:rsidRPr="0046184C" w:rsidRDefault="0046184C" w:rsidP="002F131C">
            <w:pPr>
              <w:jc w:val="center"/>
              <w:rPr>
                <w:rFonts w:ascii="Montserrat Medium" w:hAnsi="Montserrat Medium" w:cs="Futura Medium"/>
                <w:sz w:val="14"/>
                <w:szCs w:val="14"/>
              </w:rPr>
            </w:pPr>
            <w:proofErr w:type="spellStart"/>
            <w:r w:rsidRPr="0046184C">
              <w:rPr>
                <w:rFonts w:ascii="Montserrat Medium" w:hAnsi="Montserrat Medium" w:cs="Futura Medium"/>
                <w:sz w:val="14"/>
                <w:szCs w:val="14"/>
              </w:rPr>
              <w:t>MxAAA</w:t>
            </w:r>
            <w:proofErr w:type="spellEnd"/>
          </w:p>
          <w:p w14:paraId="3D2B09A1" w14:textId="3586097E" w:rsidR="0046184C" w:rsidRPr="0046184C" w:rsidRDefault="0046184C" w:rsidP="002F131C">
            <w:pPr>
              <w:jc w:val="center"/>
              <w:rPr>
                <w:rFonts w:ascii="Montserrat Medium" w:hAnsi="Montserrat Medium" w:cs="Futura Medium"/>
                <w:sz w:val="14"/>
                <w:szCs w:val="14"/>
              </w:rPr>
            </w:pPr>
            <w:r w:rsidRPr="0046184C">
              <w:rPr>
                <w:rFonts w:ascii="Montserrat Medium" w:hAnsi="Montserrat Medium" w:cs="Futura Medium"/>
                <w:sz w:val="14"/>
                <w:szCs w:val="14"/>
              </w:rPr>
              <w:t>(23/01/25)</w:t>
            </w:r>
          </w:p>
        </w:tc>
      </w:tr>
      <w:tr w:rsidR="0046184C" w:rsidRPr="0046184C" w14:paraId="00005973" w14:textId="77777777" w:rsidTr="002E68B5">
        <w:trPr>
          <w:jc w:val="center"/>
        </w:trPr>
        <w:tc>
          <w:tcPr>
            <w:tcW w:w="2885" w:type="dxa"/>
            <w:tcBorders>
              <w:top w:val="nil"/>
              <w:left w:val="single" w:sz="4" w:space="0" w:color="auto"/>
              <w:bottom w:val="nil"/>
              <w:right w:val="single" w:sz="4" w:space="0" w:color="auto"/>
            </w:tcBorders>
            <w:shd w:val="clear" w:color="auto" w:fill="auto"/>
            <w:vAlign w:val="center"/>
            <w:hideMark/>
          </w:tcPr>
          <w:p w14:paraId="76727DF0" w14:textId="77777777" w:rsidR="0046184C" w:rsidRPr="0046184C" w:rsidRDefault="0046184C" w:rsidP="002F131C">
            <w:pPr>
              <w:jc w:val="center"/>
              <w:rPr>
                <w:rFonts w:ascii="Montserrat Medium" w:hAnsi="Montserrat Medium" w:cs="Futura Medium"/>
                <w:sz w:val="14"/>
                <w:szCs w:val="14"/>
              </w:rPr>
            </w:pPr>
            <w:r w:rsidRPr="0046184C">
              <w:rPr>
                <w:rFonts w:ascii="Montserrat Medium" w:hAnsi="Montserrat Medium" w:cs="Futura Medium"/>
                <w:sz w:val="14"/>
                <w:szCs w:val="14"/>
              </w:rPr>
              <w:t>BANORTE, S.A. (3,300 MDP)</w:t>
            </w:r>
          </w:p>
        </w:tc>
        <w:tc>
          <w:tcPr>
            <w:tcW w:w="1516" w:type="dxa"/>
            <w:tcBorders>
              <w:top w:val="nil"/>
              <w:left w:val="single" w:sz="4" w:space="0" w:color="auto"/>
              <w:bottom w:val="nil"/>
              <w:right w:val="single" w:sz="4" w:space="0" w:color="auto"/>
            </w:tcBorders>
            <w:shd w:val="clear" w:color="auto" w:fill="auto"/>
            <w:vAlign w:val="center"/>
          </w:tcPr>
          <w:p w14:paraId="21564FAF" w14:textId="6B08ACCC" w:rsidR="0046184C" w:rsidRPr="0046184C" w:rsidRDefault="0046184C" w:rsidP="0046184C">
            <w:pPr>
              <w:jc w:val="right"/>
              <w:rPr>
                <w:rFonts w:ascii="Montserrat Medium" w:hAnsi="Montserrat Medium"/>
                <w:sz w:val="14"/>
                <w:szCs w:val="14"/>
              </w:rPr>
            </w:pPr>
            <w:r w:rsidRPr="0046184C">
              <w:rPr>
                <w:rFonts w:ascii="Montserrat Medium" w:hAnsi="Montserrat Medium" w:cs="Futura Medium"/>
                <w:sz w:val="14"/>
                <w:szCs w:val="16"/>
              </w:rPr>
              <w:t>3,285,575,412.00</w:t>
            </w:r>
          </w:p>
        </w:tc>
        <w:tc>
          <w:tcPr>
            <w:tcW w:w="1055" w:type="dxa"/>
            <w:tcBorders>
              <w:top w:val="nil"/>
              <w:left w:val="single" w:sz="4" w:space="0" w:color="auto"/>
              <w:bottom w:val="nil"/>
              <w:right w:val="single" w:sz="4" w:space="0" w:color="auto"/>
            </w:tcBorders>
            <w:shd w:val="clear" w:color="auto" w:fill="auto"/>
            <w:vAlign w:val="center"/>
            <w:hideMark/>
          </w:tcPr>
          <w:p w14:paraId="073BAAD8" w14:textId="77777777" w:rsidR="0046184C" w:rsidRPr="0046184C" w:rsidRDefault="0046184C" w:rsidP="002F131C">
            <w:pPr>
              <w:jc w:val="center"/>
              <w:rPr>
                <w:rFonts w:ascii="Montserrat Medium" w:hAnsi="Montserrat Medium" w:cs="Futura Medium"/>
                <w:sz w:val="14"/>
                <w:szCs w:val="14"/>
              </w:rPr>
            </w:pPr>
            <w:r w:rsidRPr="0046184C">
              <w:rPr>
                <w:rFonts w:ascii="Montserrat Medium" w:hAnsi="Montserrat Medium" w:cs="Futura Medium"/>
                <w:sz w:val="14"/>
                <w:szCs w:val="14"/>
              </w:rPr>
              <w:t>2049</w:t>
            </w:r>
          </w:p>
        </w:tc>
        <w:tc>
          <w:tcPr>
            <w:tcW w:w="1811" w:type="dxa"/>
            <w:tcBorders>
              <w:top w:val="nil"/>
              <w:left w:val="single" w:sz="4" w:space="0" w:color="auto"/>
              <w:bottom w:val="nil"/>
              <w:right w:val="single" w:sz="4" w:space="0" w:color="auto"/>
            </w:tcBorders>
            <w:shd w:val="clear" w:color="auto" w:fill="auto"/>
            <w:vAlign w:val="center"/>
            <w:hideMark/>
          </w:tcPr>
          <w:p w14:paraId="1715D1C6" w14:textId="77777777" w:rsidR="0046184C" w:rsidRPr="0046184C" w:rsidRDefault="0046184C" w:rsidP="002F131C">
            <w:pPr>
              <w:jc w:val="center"/>
              <w:rPr>
                <w:rFonts w:ascii="Montserrat Medium" w:hAnsi="Montserrat Medium" w:cs="Futura Medium"/>
                <w:sz w:val="14"/>
                <w:szCs w:val="14"/>
              </w:rPr>
            </w:pPr>
            <w:r w:rsidRPr="0046184C">
              <w:rPr>
                <w:rFonts w:ascii="Montserrat Medium" w:hAnsi="Montserrat Medium" w:cs="Futura Medium"/>
                <w:sz w:val="14"/>
                <w:szCs w:val="14"/>
              </w:rPr>
              <w:t>HR AAA (E) (27/03/24)</w:t>
            </w:r>
          </w:p>
        </w:tc>
        <w:tc>
          <w:tcPr>
            <w:tcW w:w="1520" w:type="dxa"/>
            <w:tcBorders>
              <w:top w:val="nil"/>
              <w:left w:val="single" w:sz="4" w:space="0" w:color="auto"/>
              <w:bottom w:val="nil"/>
              <w:right w:val="single" w:sz="4" w:space="0" w:color="auto"/>
            </w:tcBorders>
            <w:shd w:val="clear" w:color="auto" w:fill="auto"/>
            <w:vAlign w:val="center"/>
          </w:tcPr>
          <w:p w14:paraId="597E04AD" w14:textId="0A12A873" w:rsidR="0046184C" w:rsidRPr="0046184C" w:rsidRDefault="0046184C" w:rsidP="002F131C">
            <w:pPr>
              <w:jc w:val="center"/>
              <w:rPr>
                <w:rFonts w:ascii="Montserrat Medium" w:hAnsi="Montserrat Medium" w:cs="Futura Medium"/>
                <w:sz w:val="14"/>
                <w:szCs w:val="14"/>
              </w:rPr>
            </w:pPr>
            <w:proofErr w:type="spellStart"/>
            <w:r w:rsidRPr="0046184C">
              <w:rPr>
                <w:rFonts w:ascii="Montserrat Medium" w:hAnsi="Montserrat Medium" w:cs="Futura Medium"/>
                <w:sz w:val="14"/>
                <w:szCs w:val="14"/>
              </w:rPr>
              <w:t>MxAAA</w:t>
            </w:r>
            <w:proofErr w:type="spellEnd"/>
          </w:p>
          <w:p w14:paraId="7105A10D" w14:textId="52864E78" w:rsidR="0046184C" w:rsidRPr="0046184C" w:rsidRDefault="0046184C" w:rsidP="002F131C">
            <w:pPr>
              <w:jc w:val="center"/>
              <w:rPr>
                <w:rFonts w:ascii="Montserrat Medium" w:hAnsi="Montserrat Medium" w:cs="Futura Medium"/>
                <w:sz w:val="14"/>
                <w:szCs w:val="14"/>
              </w:rPr>
            </w:pPr>
            <w:r w:rsidRPr="0046184C">
              <w:rPr>
                <w:rFonts w:ascii="Montserrat Medium" w:hAnsi="Montserrat Medium" w:cs="Futura Medium"/>
                <w:sz w:val="14"/>
                <w:szCs w:val="14"/>
              </w:rPr>
              <w:t>(23/01/25)</w:t>
            </w:r>
          </w:p>
        </w:tc>
      </w:tr>
      <w:tr w:rsidR="0046184C" w:rsidRPr="0046184C" w14:paraId="305465F8" w14:textId="77777777" w:rsidTr="0046184C">
        <w:trPr>
          <w:jc w:val="center"/>
        </w:trPr>
        <w:tc>
          <w:tcPr>
            <w:tcW w:w="2885" w:type="dxa"/>
            <w:tcBorders>
              <w:top w:val="nil"/>
              <w:left w:val="single" w:sz="4" w:space="0" w:color="auto"/>
              <w:bottom w:val="nil"/>
              <w:right w:val="single" w:sz="4" w:space="0" w:color="auto"/>
            </w:tcBorders>
            <w:shd w:val="clear" w:color="auto" w:fill="auto"/>
            <w:vAlign w:val="center"/>
            <w:hideMark/>
          </w:tcPr>
          <w:p w14:paraId="28744FA5" w14:textId="1B18D98E" w:rsidR="0046184C" w:rsidRPr="0046184C" w:rsidRDefault="0046184C" w:rsidP="002F131C">
            <w:pPr>
              <w:jc w:val="center"/>
              <w:rPr>
                <w:rFonts w:ascii="Montserrat Medium" w:hAnsi="Montserrat Medium" w:cs="Futura Medium"/>
                <w:sz w:val="14"/>
                <w:szCs w:val="14"/>
              </w:rPr>
            </w:pPr>
            <w:r w:rsidRPr="0046184C">
              <w:rPr>
                <w:rFonts w:ascii="Montserrat Medium" w:hAnsi="Montserrat Medium" w:cs="Futura Medium"/>
                <w:sz w:val="14"/>
                <w:szCs w:val="14"/>
              </w:rPr>
              <w:t>BBVA MÉXICO, S.A. (737 MDP)*</w:t>
            </w:r>
          </w:p>
        </w:tc>
        <w:tc>
          <w:tcPr>
            <w:tcW w:w="1516" w:type="dxa"/>
            <w:tcBorders>
              <w:top w:val="nil"/>
              <w:left w:val="single" w:sz="4" w:space="0" w:color="auto"/>
              <w:bottom w:val="nil"/>
              <w:right w:val="single" w:sz="4" w:space="0" w:color="auto"/>
            </w:tcBorders>
            <w:shd w:val="clear" w:color="auto" w:fill="auto"/>
            <w:vAlign w:val="center"/>
          </w:tcPr>
          <w:p w14:paraId="11202FA2" w14:textId="337B7D4F" w:rsidR="0046184C" w:rsidRPr="0046184C" w:rsidRDefault="0046184C" w:rsidP="0046184C">
            <w:pPr>
              <w:jc w:val="right"/>
              <w:rPr>
                <w:rFonts w:ascii="Montserrat Medium" w:hAnsi="Montserrat Medium"/>
                <w:sz w:val="14"/>
                <w:szCs w:val="14"/>
              </w:rPr>
            </w:pPr>
            <w:r w:rsidRPr="0046184C">
              <w:rPr>
                <w:rFonts w:ascii="Montserrat Medium" w:hAnsi="Montserrat Medium" w:cs="Futura Medium"/>
                <w:sz w:val="14"/>
                <w:szCs w:val="16"/>
              </w:rPr>
              <w:t>733,916,712.10</w:t>
            </w:r>
          </w:p>
        </w:tc>
        <w:tc>
          <w:tcPr>
            <w:tcW w:w="1055" w:type="dxa"/>
            <w:tcBorders>
              <w:top w:val="nil"/>
              <w:left w:val="single" w:sz="4" w:space="0" w:color="auto"/>
              <w:bottom w:val="nil"/>
              <w:right w:val="single" w:sz="4" w:space="0" w:color="auto"/>
            </w:tcBorders>
            <w:shd w:val="clear" w:color="auto" w:fill="auto"/>
            <w:vAlign w:val="center"/>
            <w:hideMark/>
          </w:tcPr>
          <w:p w14:paraId="1AD00E14" w14:textId="77777777" w:rsidR="0046184C" w:rsidRPr="0046184C" w:rsidRDefault="0046184C" w:rsidP="002F131C">
            <w:pPr>
              <w:jc w:val="center"/>
              <w:rPr>
                <w:rFonts w:ascii="Montserrat Medium" w:hAnsi="Montserrat Medium" w:cs="Futura Medium"/>
                <w:sz w:val="14"/>
                <w:szCs w:val="14"/>
              </w:rPr>
            </w:pPr>
            <w:r w:rsidRPr="0046184C">
              <w:rPr>
                <w:rFonts w:ascii="Montserrat Medium" w:hAnsi="Montserrat Medium" w:cs="Futura Medium"/>
                <w:sz w:val="14"/>
                <w:szCs w:val="14"/>
              </w:rPr>
              <w:t>2049</w:t>
            </w:r>
          </w:p>
        </w:tc>
        <w:tc>
          <w:tcPr>
            <w:tcW w:w="1811" w:type="dxa"/>
            <w:tcBorders>
              <w:top w:val="nil"/>
              <w:left w:val="single" w:sz="4" w:space="0" w:color="auto"/>
              <w:bottom w:val="nil"/>
              <w:right w:val="single" w:sz="4" w:space="0" w:color="auto"/>
            </w:tcBorders>
            <w:shd w:val="clear" w:color="auto" w:fill="auto"/>
            <w:vAlign w:val="center"/>
            <w:hideMark/>
          </w:tcPr>
          <w:p w14:paraId="3AB8DFE5" w14:textId="77777777" w:rsidR="0046184C" w:rsidRPr="0046184C" w:rsidRDefault="0046184C" w:rsidP="002F131C">
            <w:pPr>
              <w:jc w:val="center"/>
              <w:rPr>
                <w:rFonts w:ascii="Montserrat Medium" w:hAnsi="Montserrat Medium" w:cs="Futura Medium"/>
                <w:sz w:val="14"/>
                <w:szCs w:val="14"/>
              </w:rPr>
            </w:pPr>
            <w:r w:rsidRPr="0046184C">
              <w:rPr>
                <w:rFonts w:ascii="Montserrat Medium" w:hAnsi="Montserrat Medium" w:cs="Futura Medium"/>
                <w:sz w:val="14"/>
                <w:szCs w:val="14"/>
              </w:rPr>
              <w:t>HR AAA (E) (27/03/24)</w:t>
            </w:r>
          </w:p>
        </w:tc>
        <w:tc>
          <w:tcPr>
            <w:tcW w:w="1520" w:type="dxa"/>
            <w:tcBorders>
              <w:top w:val="nil"/>
              <w:left w:val="single" w:sz="4" w:space="0" w:color="auto"/>
              <w:bottom w:val="nil"/>
              <w:right w:val="single" w:sz="4" w:space="0" w:color="auto"/>
            </w:tcBorders>
            <w:shd w:val="clear" w:color="auto" w:fill="auto"/>
            <w:vAlign w:val="center"/>
          </w:tcPr>
          <w:p w14:paraId="2C79C433" w14:textId="77777777" w:rsidR="0046184C" w:rsidRPr="0046184C" w:rsidRDefault="0046184C" w:rsidP="002F131C">
            <w:pPr>
              <w:jc w:val="center"/>
              <w:rPr>
                <w:rFonts w:ascii="Montserrat Medium" w:hAnsi="Montserrat Medium" w:cs="Futura Medium"/>
                <w:sz w:val="14"/>
                <w:szCs w:val="14"/>
              </w:rPr>
            </w:pPr>
            <w:proofErr w:type="spellStart"/>
            <w:r w:rsidRPr="0046184C">
              <w:rPr>
                <w:rFonts w:ascii="Montserrat Medium" w:hAnsi="Montserrat Medium" w:cs="Futura Medium"/>
                <w:sz w:val="14"/>
                <w:szCs w:val="14"/>
              </w:rPr>
              <w:t>MxAAA</w:t>
            </w:r>
            <w:proofErr w:type="spellEnd"/>
          </w:p>
          <w:p w14:paraId="73DE4044" w14:textId="56689691" w:rsidR="0046184C" w:rsidRPr="0046184C" w:rsidRDefault="0046184C" w:rsidP="002F131C">
            <w:pPr>
              <w:jc w:val="center"/>
              <w:rPr>
                <w:rFonts w:ascii="Montserrat Medium" w:hAnsi="Montserrat Medium" w:cs="Futura Medium"/>
                <w:sz w:val="14"/>
                <w:szCs w:val="14"/>
              </w:rPr>
            </w:pPr>
            <w:r w:rsidRPr="0046184C">
              <w:rPr>
                <w:rFonts w:ascii="Montserrat Medium" w:hAnsi="Montserrat Medium" w:cs="Futura Medium"/>
                <w:sz w:val="14"/>
                <w:szCs w:val="14"/>
              </w:rPr>
              <w:t>(23/01/25)</w:t>
            </w:r>
          </w:p>
        </w:tc>
      </w:tr>
      <w:tr w:rsidR="0046184C" w:rsidRPr="0046184C" w14:paraId="0FEE7318" w14:textId="77777777" w:rsidTr="002E68B5">
        <w:trPr>
          <w:jc w:val="center"/>
        </w:trPr>
        <w:tc>
          <w:tcPr>
            <w:tcW w:w="2885" w:type="dxa"/>
            <w:tcBorders>
              <w:top w:val="nil"/>
              <w:left w:val="single" w:sz="4" w:space="0" w:color="auto"/>
              <w:bottom w:val="single" w:sz="4" w:space="0" w:color="auto"/>
              <w:right w:val="single" w:sz="4" w:space="0" w:color="auto"/>
            </w:tcBorders>
            <w:shd w:val="clear" w:color="auto" w:fill="auto"/>
            <w:vAlign w:val="center"/>
          </w:tcPr>
          <w:p w14:paraId="30D898E9" w14:textId="77777777" w:rsidR="0046184C" w:rsidRPr="0046184C" w:rsidRDefault="0046184C" w:rsidP="002F131C">
            <w:pPr>
              <w:jc w:val="center"/>
              <w:rPr>
                <w:rFonts w:ascii="Montserrat Medium" w:hAnsi="Montserrat Medium" w:cs="Futura Medium"/>
                <w:sz w:val="14"/>
                <w:szCs w:val="14"/>
              </w:rPr>
            </w:pPr>
            <w:r w:rsidRPr="0046184C">
              <w:rPr>
                <w:rFonts w:ascii="Montserrat Medium" w:hAnsi="Montserrat Medium" w:cs="Futura Medium"/>
                <w:sz w:val="14"/>
                <w:szCs w:val="14"/>
              </w:rPr>
              <w:t>SANTANDER MÉXICO, S.A. (1,500 MDP)</w:t>
            </w:r>
          </w:p>
        </w:tc>
        <w:tc>
          <w:tcPr>
            <w:tcW w:w="1516" w:type="dxa"/>
            <w:tcBorders>
              <w:top w:val="nil"/>
              <w:left w:val="single" w:sz="4" w:space="0" w:color="auto"/>
              <w:bottom w:val="single" w:sz="4" w:space="0" w:color="auto"/>
              <w:right w:val="single" w:sz="4" w:space="0" w:color="auto"/>
            </w:tcBorders>
            <w:shd w:val="clear" w:color="auto" w:fill="auto"/>
            <w:vAlign w:val="center"/>
          </w:tcPr>
          <w:p w14:paraId="006EF6DE" w14:textId="761044F8" w:rsidR="0046184C" w:rsidRPr="0046184C" w:rsidRDefault="0046184C" w:rsidP="0046184C">
            <w:pPr>
              <w:jc w:val="right"/>
              <w:rPr>
                <w:rFonts w:ascii="Montserrat Medium" w:hAnsi="Montserrat Medium"/>
                <w:sz w:val="14"/>
                <w:szCs w:val="14"/>
              </w:rPr>
            </w:pPr>
            <w:r w:rsidRPr="0046184C">
              <w:rPr>
                <w:rFonts w:ascii="Montserrat Medium" w:hAnsi="Montserrat Medium" w:cs="Futura Medium"/>
                <w:sz w:val="14"/>
                <w:szCs w:val="16"/>
              </w:rPr>
              <w:t>1,454,790,773.85</w:t>
            </w:r>
          </w:p>
        </w:tc>
        <w:tc>
          <w:tcPr>
            <w:tcW w:w="1055" w:type="dxa"/>
            <w:tcBorders>
              <w:top w:val="nil"/>
              <w:left w:val="single" w:sz="4" w:space="0" w:color="auto"/>
              <w:bottom w:val="single" w:sz="4" w:space="0" w:color="auto"/>
              <w:right w:val="single" w:sz="4" w:space="0" w:color="auto"/>
            </w:tcBorders>
            <w:shd w:val="clear" w:color="auto" w:fill="auto"/>
            <w:vAlign w:val="center"/>
          </w:tcPr>
          <w:p w14:paraId="3C015C6B" w14:textId="77777777" w:rsidR="0046184C" w:rsidRPr="0046184C" w:rsidRDefault="0046184C" w:rsidP="002F131C">
            <w:pPr>
              <w:jc w:val="center"/>
              <w:rPr>
                <w:rFonts w:ascii="Montserrat Medium" w:hAnsi="Montserrat Medium" w:cs="Futura Medium"/>
                <w:sz w:val="14"/>
                <w:szCs w:val="14"/>
              </w:rPr>
            </w:pPr>
            <w:r w:rsidRPr="0046184C">
              <w:rPr>
                <w:rFonts w:ascii="Montserrat Medium" w:hAnsi="Montserrat Medium" w:cs="Futura Medium"/>
                <w:sz w:val="14"/>
                <w:szCs w:val="14"/>
              </w:rPr>
              <w:t>2048</w:t>
            </w:r>
          </w:p>
        </w:tc>
        <w:tc>
          <w:tcPr>
            <w:tcW w:w="1811" w:type="dxa"/>
            <w:tcBorders>
              <w:top w:val="nil"/>
              <w:left w:val="single" w:sz="4" w:space="0" w:color="auto"/>
              <w:bottom w:val="single" w:sz="4" w:space="0" w:color="auto"/>
              <w:right w:val="single" w:sz="4" w:space="0" w:color="auto"/>
            </w:tcBorders>
            <w:shd w:val="clear" w:color="auto" w:fill="auto"/>
            <w:vAlign w:val="center"/>
          </w:tcPr>
          <w:p w14:paraId="1B435070" w14:textId="77777777" w:rsidR="0046184C" w:rsidRPr="0046184C" w:rsidRDefault="0046184C" w:rsidP="002F131C">
            <w:pPr>
              <w:jc w:val="center"/>
              <w:rPr>
                <w:rFonts w:ascii="Montserrat Medium" w:hAnsi="Montserrat Medium" w:cs="Futura Medium"/>
                <w:sz w:val="14"/>
                <w:szCs w:val="14"/>
              </w:rPr>
            </w:pPr>
            <w:r w:rsidRPr="0046184C">
              <w:rPr>
                <w:rFonts w:ascii="Montserrat Medium" w:hAnsi="Montserrat Medium" w:cs="Futura Medium"/>
                <w:sz w:val="14"/>
                <w:szCs w:val="14"/>
              </w:rPr>
              <w:t>HR AAA (E) (27/03/24)</w:t>
            </w:r>
          </w:p>
        </w:tc>
        <w:tc>
          <w:tcPr>
            <w:tcW w:w="1520" w:type="dxa"/>
            <w:tcBorders>
              <w:top w:val="nil"/>
              <w:left w:val="single" w:sz="4" w:space="0" w:color="auto"/>
              <w:bottom w:val="single" w:sz="4" w:space="0" w:color="auto"/>
              <w:right w:val="single" w:sz="4" w:space="0" w:color="auto"/>
            </w:tcBorders>
            <w:shd w:val="clear" w:color="auto" w:fill="auto"/>
            <w:vAlign w:val="center"/>
          </w:tcPr>
          <w:p w14:paraId="13CE893F" w14:textId="77777777" w:rsidR="0046184C" w:rsidRPr="0046184C" w:rsidRDefault="0046184C" w:rsidP="002F131C">
            <w:pPr>
              <w:jc w:val="center"/>
              <w:rPr>
                <w:rFonts w:ascii="Montserrat Medium" w:hAnsi="Montserrat Medium" w:cs="Futura Medium"/>
                <w:sz w:val="14"/>
                <w:szCs w:val="14"/>
              </w:rPr>
            </w:pPr>
            <w:proofErr w:type="spellStart"/>
            <w:r w:rsidRPr="0046184C">
              <w:rPr>
                <w:rFonts w:ascii="Montserrat Medium" w:hAnsi="Montserrat Medium" w:cs="Futura Medium"/>
                <w:sz w:val="14"/>
                <w:szCs w:val="14"/>
              </w:rPr>
              <w:t>MxAAA</w:t>
            </w:r>
            <w:proofErr w:type="spellEnd"/>
          </w:p>
          <w:p w14:paraId="209F0779" w14:textId="7573EC35" w:rsidR="0046184C" w:rsidRPr="0046184C" w:rsidRDefault="0046184C" w:rsidP="002F131C">
            <w:pPr>
              <w:jc w:val="center"/>
              <w:rPr>
                <w:rFonts w:ascii="Montserrat Medium" w:hAnsi="Montserrat Medium" w:cs="Futura Medium"/>
                <w:sz w:val="14"/>
                <w:szCs w:val="14"/>
              </w:rPr>
            </w:pPr>
            <w:r w:rsidRPr="0046184C">
              <w:rPr>
                <w:rFonts w:ascii="Montserrat Medium" w:hAnsi="Montserrat Medium" w:cs="Futura Medium"/>
                <w:sz w:val="14"/>
                <w:szCs w:val="14"/>
              </w:rPr>
              <w:lastRenderedPageBreak/>
              <w:t>(23/01/25)</w:t>
            </w:r>
          </w:p>
        </w:tc>
      </w:tr>
      <w:tr w:rsidR="0046184C" w:rsidRPr="0046184C" w14:paraId="02A05565" w14:textId="77777777" w:rsidTr="002E68B5">
        <w:trPr>
          <w:jc w:val="center"/>
        </w:trPr>
        <w:tc>
          <w:tcPr>
            <w:tcW w:w="2885" w:type="dxa"/>
            <w:tcBorders>
              <w:top w:val="single" w:sz="4" w:space="0" w:color="auto"/>
              <w:left w:val="single" w:sz="4" w:space="0" w:color="auto"/>
              <w:bottom w:val="nil"/>
              <w:right w:val="single" w:sz="4" w:space="0" w:color="auto"/>
            </w:tcBorders>
            <w:shd w:val="clear" w:color="auto" w:fill="auto"/>
            <w:vAlign w:val="center"/>
          </w:tcPr>
          <w:p w14:paraId="49C21F4C" w14:textId="77777777" w:rsidR="0046184C" w:rsidRPr="0046184C" w:rsidRDefault="0046184C" w:rsidP="002F131C">
            <w:pPr>
              <w:jc w:val="center"/>
              <w:rPr>
                <w:rFonts w:ascii="Montserrat Medium" w:hAnsi="Montserrat Medium" w:cs="Futura Medium"/>
                <w:sz w:val="14"/>
                <w:szCs w:val="14"/>
              </w:rPr>
            </w:pPr>
            <w:r w:rsidRPr="0046184C">
              <w:rPr>
                <w:rFonts w:ascii="Montserrat Medium" w:hAnsi="Montserrat Medium" w:cs="Futura Medium"/>
                <w:sz w:val="14"/>
                <w:szCs w:val="14"/>
              </w:rPr>
              <w:lastRenderedPageBreak/>
              <w:t>BANOBRAS, S.N.C. (5,000 MDP)</w:t>
            </w:r>
          </w:p>
        </w:tc>
        <w:tc>
          <w:tcPr>
            <w:tcW w:w="1516" w:type="dxa"/>
            <w:tcBorders>
              <w:top w:val="single" w:sz="4" w:space="0" w:color="auto"/>
              <w:left w:val="single" w:sz="4" w:space="0" w:color="auto"/>
              <w:bottom w:val="nil"/>
              <w:right w:val="single" w:sz="4" w:space="0" w:color="auto"/>
            </w:tcBorders>
            <w:shd w:val="clear" w:color="auto" w:fill="auto"/>
            <w:vAlign w:val="center"/>
          </w:tcPr>
          <w:p w14:paraId="373771F3" w14:textId="5C2B61F3" w:rsidR="0046184C" w:rsidRPr="0046184C" w:rsidRDefault="0046184C" w:rsidP="0046184C">
            <w:pPr>
              <w:jc w:val="right"/>
              <w:rPr>
                <w:rFonts w:ascii="Montserrat Medium" w:hAnsi="Montserrat Medium"/>
                <w:sz w:val="14"/>
                <w:szCs w:val="14"/>
              </w:rPr>
            </w:pPr>
            <w:r w:rsidRPr="0046184C">
              <w:rPr>
                <w:rFonts w:ascii="Montserrat Medium" w:hAnsi="Montserrat Medium" w:cs="Futura Medium"/>
                <w:sz w:val="14"/>
                <w:szCs w:val="16"/>
              </w:rPr>
              <w:t>4,989,267,184.67</w:t>
            </w:r>
          </w:p>
        </w:tc>
        <w:tc>
          <w:tcPr>
            <w:tcW w:w="1055" w:type="dxa"/>
            <w:tcBorders>
              <w:top w:val="single" w:sz="4" w:space="0" w:color="auto"/>
              <w:left w:val="single" w:sz="4" w:space="0" w:color="auto"/>
              <w:bottom w:val="nil"/>
              <w:right w:val="single" w:sz="4" w:space="0" w:color="auto"/>
            </w:tcBorders>
            <w:shd w:val="clear" w:color="auto" w:fill="auto"/>
            <w:vAlign w:val="center"/>
          </w:tcPr>
          <w:p w14:paraId="651B566F" w14:textId="77777777" w:rsidR="0046184C" w:rsidRPr="0046184C" w:rsidRDefault="0046184C" w:rsidP="002F131C">
            <w:pPr>
              <w:jc w:val="center"/>
              <w:rPr>
                <w:rFonts w:ascii="Montserrat Medium" w:hAnsi="Montserrat Medium" w:cs="Futura Medium"/>
                <w:sz w:val="14"/>
                <w:szCs w:val="14"/>
              </w:rPr>
            </w:pPr>
            <w:r w:rsidRPr="0046184C">
              <w:rPr>
                <w:rFonts w:ascii="Montserrat Medium" w:hAnsi="Montserrat Medium" w:cs="Futura Medium"/>
                <w:sz w:val="14"/>
                <w:szCs w:val="14"/>
              </w:rPr>
              <w:t>2053</w:t>
            </w:r>
          </w:p>
        </w:tc>
        <w:tc>
          <w:tcPr>
            <w:tcW w:w="1811" w:type="dxa"/>
            <w:tcBorders>
              <w:top w:val="single" w:sz="4" w:space="0" w:color="auto"/>
              <w:left w:val="single" w:sz="4" w:space="0" w:color="auto"/>
              <w:bottom w:val="nil"/>
              <w:right w:val="single" w:sz="4" w:space="0" w:color="auto"/>
            </w:tcBorders>
            <w:shd w:val="clear" w:color="auto" w:fill="auto"/>
            <w:vAlign w:val="center"/>
          </w:tcPr>
          <w:p w14:paraId="64CFD463" w14:textId="77777777" w:rsidR="0046184C" w:rsidRPr="0046184C" w:rsidRDefault="0046184C" w:rsidP="002F131C">
            <w:pPr>
              <w:jc w:val="center"/>
              <w:rPr>
                <w:rFonts w:ascii="Montserrat Medium" w:hAnsi="Montserrat Medium" w:cs="Futura Medium"/>
                <w:sz w:val="14"/>
                <w:szCs w:val="14"/>
              </w:rPr>
            </w:pPr>
            <w:r w:rsidRPr="0046184C">
              <w:rPr>
                <w:rFonts w:ascii="Montserrat Medium" w:hAnsi="Montserrat Medium" w:cs="Futura Medium"/>
                <w:sz w:val="14"/>
                <w:szCs w:val="14"/>
              </w:rPr>
              <w:t>HR AAA (E) (27/03/24))</w:t>
            </w:r>
          </w:p>
        </w:tc>
        <w:tc>
          <w:tcPr>
            <w:tcW w:w="1520" w:type="dxa"/>
            <w:tcBorders>
              <w:top w:val="single" w:sz="4" w:space="0" w:color="auto"/>
              <w:left w:val="single" w:sz="4" w:space="0" w:color="auto"/>
              <w:bottom w:val="nil"/>
              <w:right w:val="single" w:sz="4" w:space="0" w:color="auto"/>
            </w:tcBorders>
            <w:shd w:val="clear" w:color="auto" w:fill="auto"/>
            <w:vAlign w:val="center"/>
          </w:tcPr>
          <w:p w14:paraId="6CF727BC" w14:textId="77777777" w:rsidR="0046184C" w:rsidRPr="0046184C" w:rsidRDefault="0046184C" w:rsidP="002F131C">
            <w:pPr>
              <w:jc w:val="center"/>
              <w:rPr>
                <w:rFonts w:ascii="Montserrat Medium" w:hAnsi="Montserrat Medium" w:cs="Futura Medium"/>
                <w:sz w:val="14"/>
                <w:szCs w:val="14"/>
              </w:rPr>
            </w:pPr>
            <w:proofErr w:type="spellStart"/>
            <w:r w:rsidRPr="0046184C">
              <w:rPr>
                <w:rFonts w:ascii="Montserrat Medium" w:hAnsi="Montserrat Medium" w:cs="Futura Medium"/>
                <w:sz w:val="14"/>
                <w:szCs w:val="14"/>
              </w:rPr>
              <w:t>MxAAA</w:t>
            </w:r>
            <w:proofErr w:type="spellEnd"/>
          </w:p>
          <w:p w14:paraId="54F97F95" w14:textId="60BC5A32" w:rsidR="0046184C" w:rsidRPr="0046184C" w:rsidRDefault="0046184C" w:rsidP="002F131C">
            <w:pPr>
              <w:jc w:val="center"/>
              <w:rPr>
                <w:rFonts w:ascii="Montserrat Medium" w:hAnsi="Montserrat Medium" w:cs="Futura Medium"/>
                <w:sz w:val="14"/>
                <w:szCs w:val="14"/>
              </w:rPr>
            </w:pPr>
            <w:r w:rsidRPr="0046184C">
              <w:rPr>
                <w:rFonts w:ascii="Montserrat Medium" w:hAnsi="Montserrat Medium" w:cs="Futura Medium"/>
                <w:sz w:val="14"/>
                <w:szCs w:val="14"/>
              </w:rPr>
              <w:t>(23/01/25)</w:t>
            </w:r>
          </w:p>
        </w:tc>
      </w:tr>
      <w:tr w:rsidR="0046184C" w:rsidRPr="0046184C" w14:paraId="042B1AFB" w14:textId="77777777" w:rsidTr="0046184C">
        <w:trPr>
          <w:jc w:val="center"/>
        </w:trPr>
        <w:tc>
          <w:tcPr>
            <w:tcW w:w="2885" w:type="dxa"/>
            <w:tcBorders>
              <w:top w:val="nil"/>
              <w:left w:val="single" w:sz="4" w:space="0" w:color="auto"/>
              <w:bottom w:val="nil"/>
              <w:right w:val="single" w:sz="4" w:space="0" w:color="auto"/>
            </w:tcBorders>
            <w:shd w:val="clear" w:color="auto" w:fill="auto"/>
            <w:vAlign w:val="center"/>
          </w:tcPr>
          <w:p w14:paraId="5BF8A422" w14:textId="77777777" w:rsidR="0046184C" w:rsidRPr="0046184C" w:rsidRDefault="0046184C" w:rsidP="002F131C">
            <w:pPr>
              <w:jc w:val="center"/>
              <w:rPr>
                <w:rFonts w:ascii="Montserrat Medium" w:hAnsi="Montserrat Medium" w:cs="Futura Medium"/>
                <w:sz w:val="14"/>
                <w:szCs w:val="14"/>
              </w:rPr>
            </w:pPr>
            <w:r w:rsidRPr="0046184C">
              <w:rPr>
                <w:rFonts w:ascii="Montserrat Medium" w:hAnsi="Montserrat Medium" w:cs="Futura Medium"/>
                <w:sz w:val="14"/>
                <w:szCs w:val="14"/>
              </w:rPr>
              <w:t>BANOBRAS, S.N.C. (3,000 MDP)</w:t>
            </w:r>
          </w:p>
        </w:tc>
        <w:tc>
          <w:tcPr>
            <w:tcW w:w="1516" w:type="dxa"/>
            <w:tcBorders>
              <w:top w:val="nil"/>
              <w:left w:val="single" w:sz="4" w:space="0" w:color="auto"/>
              <w:bottom w:val="nil"/>
              <w:right w:val="single" w:sz="4" w:space="0" w:color="auto"/>
            </w:tcBorders>
            <w:shd w:val="clear" w:color="auto" w:fill="auto"/>
            <w:vAlign w:val="center"/>
          </w:tcPr>
          <w:p w14:paraId="6CBD9F24" w14:textId="10594676" w:rsidR="0046184C" w:rsidRPr="0046184C" w:rsidRDefault="0046184C" w:rsidP="0046184C">
            <w:pPr>
              <w:jc w:val="right"/>
              <w:rPr>
                <w:rFonts w:ascii="Montserrat Medium" w:hAnsi="Montserrat Medium"/>
                <w:sz w:val="14"/>
                <w:szCs w:val="14"/>
              </w:rPr>
            </w:pPr>
            <w:r w:rsidRPr="0046184C">
              <w:rPr>
                <w:rFonts w:ascii="Montserrat Medium" w:hAnsi="Montserrat Medium" w:cs="Futura Medium"/>
                <w:sz w:val="14"/>
                <w:szCs w:val="16"/>
              </w:rPr>
              <w:t>2,985,856,198.46</w:t>
            </w:r>
          </w:p>
        </w:tc>
        <w:tc>
          <w:tcPr>
            <w:tcW w:w="1055" w:type="dxa"/>
            <w:tcBorders>
              <w:top w:val="nil"/>
              <w:left w:val="single" w:sz="4" w:space="0" w:color="auto"/>
              <w:bottom w:val="nil"/>
              <w:right w:val="single" w:sz="4" w:space="0" w:color="auto"/>
            </w:tcBorders>
            <w:shd w:val="clear" w:color="auto" w:fill="auto"/>
            <w:vAlign w:val="center"/>
          </w:tcPr>
          <w:p w14:paraId="418F2369" w14:textId="77777777" w:rsidR="0046184C" w:rsidRPr="0046184C" w:rsidRDefault="0046184C" w:rsidP="002F131C">
            <w:pPr>
              <w:jc w:val="center"/>
              <w:rPr>
                <w:rFonts w:ascii="Montserrat Medium" w:hAnsi="Montserrat Medium" w:cs="Futura Medium"/>
                <w:sz w:val="14"/>
                <w:szCs w:val="14"/>
              </w:rPr>
            </w:pPr>
            <w:r w:rsidRPr="0046184C">
              <w:rPr>
                <w:rFonts w:ascii="Montserrat Medium" w:hAnsi="Montserrat Medium" w:cs="Futura Medium"/>
                <w:sz w:val="14"/>
                <w:szCs w:val="14"/>
              </w:rPr>
              <w:t>2048</w:t>
            </w:r>
          </w:p>
        </w:tc>
        <w:tc>
          <w:tcPr>
            <w:tcW w:w="1811" w:type="dxa"/>
            <w:tcBorders>
              <w:top w:val="nil"/>
              <w:left w:val="single" w:sz="4" w:space="0" w:color="auto"/>
              <w:bottom w:val="nil"/>
              <w:right w:val="single" w:sz="4" w:space="0" w:color="auto"/>
            </w:tcBorders>
            <w:shd w:val="clear" w:color="auto" w:fill="auto"/>
            <w:vAlign w:val="center"/>
          </w:tcPr>
          <w:p w14:paraId="2B4E4C63" w14:textId="77777777" w:rsidR="0046184C" w:rsidRPr="0046184C" w:rsidRDefault="0046184C" w:rsidP="002F131C">
            <w:pPr>
              <w:jc w:val="center"/>
              <w:rPr>
                <w:rFonts w:ascii="Montserrat Medium" w:hAnsi="Montserrat Medium" w:cs="Futura Medium"/>
                <w:sz w:val="14"/>
                <w:szCs w:val="14"/>
              </w:rPr>
            </w:pPr>
            <w:r w:rsidRPr="0046184C">
              <w:rPr>
                <w:rFonts w:ascii="Montserrat Medium" w:hAnsi="Montserrat Medium" w:cs="Futura Medium"/>
                <w:sz w:val="14"/>
                <w:szCs w:val="14"/>
              </w:rPr>
              <w:t>HR AAA (E) (27/03/24)</w:t>
            </w:r>
          </w:p>
        </w:tc>
        <w:tc>
          <w:tcPr>
            <w:tcW w:w="1520" w:type="dxa"/>
            <w:tcBorders>
              <w:top w:val="nil"/>
              <w:left w:val="single" w:sz="4" w:space="0" w:color="auto"/>
              <w:bottom w:val="nil"/>
              <w:right w:val="single" w:sz="4" w:space="0" w:color="auto"/>
            </w:tcBorders>
            <w:shd w:val="clear" w:color="auto" w:fill="auto"/>
            <w:vAlign w:val="center"/>
          </w:tcPr>
          <w:p w14:paraId="20B88450" w14:textId="77777777" w:rsidR="0046184C" w:rsidRPr="0046184C" w:rsidRDefault="0046184C" w:rsidP="002F131C">
            <w:pPr>
              <w:jc w:val="center"/>
              <w:rPr>
                <w:rFonts w:ascii="Montserrat Medium" w:hAnsi="Montserrat Medium" w:cs="Futura Medium"/>
                <w:sz w:val="14"/>
                <w:szCs w:val="14"/>
              </w:rPr>
            </w:pPr>
            <w:proofErr w:type="spellStart"/>
            <w:r w:rsidRPr="0046184C">
              <w:rPr>
                <w:rFonts w:ascii="Montserrat Medium" w:hAnsi="Montserrat Medium" w:cs="Futura Medium"/>
                <w:sz w:val="14"/>
                <w:szCs w:val="14"/>
              </w:rPr>
              <w:t>MxAAA</w:t>
            </w:r>
            <w:proofErr w:type="spellEnd"/>
          </w:p>
          <w:p w14:paraId="0EF5BB9C" w14:textId="61B8A24A" w:rsidR="0046184C" w:rsidRPr="0046184C" w:rsidRDefault="0046184C" w:rsidP="002F131C">
            <w:pPr>
              <w:jc w:val="center"/>
              <w:rPr>
                <w:rFonts w:ascii="Montserrat Medium" w:hAnsi="Montserrat Medium" w:cs="Futura Medium"/>
                <w:sz w:val="14"/>
                <w:szCs w:val="14"/>
              </w:rPr>
            </w:pPr>
            <w:r w:rsidRPr="0046184C">
              <w:rPr>
                <w:rFonts w:ascii="Montserrat Medium" w:hAnsi="Montserrat Medium" w:cs="Futura Medium"/>
                <w:sz w:val="14"/>
                <w:szCs w:val="14"/>
              </w:rPr>
              <w:t>(23/01/25)</w:t>
            </w:r>
          </w:p>
        </w:tc>
      </w:tr>
      <w:tr w:rsidR="0046184C" w:rsidRPr="009C26EF" w14:paraId="52C8015E" w14:textId="77777777" w:rsidTr="0046184C">
        <w:trPr>
          <w:jc w:val="center"/>
        </w:trPr>
        <w:tc>
          <w:tcPr>
            <w:tcW w:w="2885" w:type="dxa"/>
            <w:tcBorders>
              <w:top w:val="nil"/>
              <w:left w:val="single" w:sz="4" w:space="0" w:color="auto"/>
              <w:bottom w:val="single" w:sz="4" w:space="0" w:color="auto"/>
              <w:right w:val="single" w:sz="4" w:space="0" w:color="auto"/>
            </w:tcBorders>
            <w:shd w:val="clear" w:color="auto" w:fill="auto"/>
            <w:vAlign w:val="center"/>
            <w:hideMark/>
          </w:tcPr>
          <w:p w14:paraId="04B6B15B" w14:textId="77777777" w:rsidR="0046184C" w:rsidRPr="0046184C" w:rsidRDefault="0046184C" w:rsidP="002F131C">
            <w:pPr>
              <w:jc w:val="center"/>
              <w:rPr>
                <w:rFonts w:ascii="Montserrat Medium" w:hAnsi="Montserrat Medium" w:cs="Futura Medium"/>
                <w:sz w:val="14"/>
                <w:szCs w:val="14"/>
              </w:rPr>
            </w:pPr>
            <w:r w:rsidRPr="0046184C">
              <w:rPr>
                <w:rFonts w:ascii="Montserrat Medium" w:hAnsi="Montserrat Medium" w:cs="Futura Medium"/>
                <w:sz w:val="14"/>
                <w:szCs w:val="14"/>
              </w:rPr>
              <w:t>BANOBRAS, S.N.C. (2,808 MDP)</w:t>
            </w:r>
          </w:p>
        </w:tc>
        <w:tc>
          <w:tcPr>
            <w:tcW w:w="1516" w:type="dxa"/>
            <w:tcBorders>
              <w:top w:val="nil"/>
              <w:left w:val="single" w:sz="4" w:space="0" w:color="auto"/>
              <w:bottom w:val="single" w:sz="4" w:space="0" w:color="auto"/>
              <w:right w:val="single" w:sz="4" w:space="0" w:color="auto"/>
            </w:tcBorders>
            <w:shd w:val="clear" w:color="auto" w:fill="auto"/>
            <w:vAlign w:val="center"/>
          </w:tcPr>
          <w:p w14:paraId="6FBE9CF0" w14:textId="70EB6C56" w:rsidR="0046184C" w:rsidRPr="0046184C" w:rsidRDefault="0046184C" w:rsidP="0046184C">
            <w:pPr>
              <w:jc w:val="right"/>
              <w:rPr>
                <w:rFonts w:ascii="Montserrat Medium" w:hAnsi="Montserrat Medium"/>
                <w:sz w:val="14"/>
                <w:szCs w:val="14"/>
              </w:rPr>
            </w:pPr>
            <w:r w:rsidRPr="0046184C">
              <w:rPr>
                <w:rFonts w:ascii="Montserrat Medium" w:hAnsi="Montserrat Medium" w:cs="Futura Medium"/>
                <w:sz w:val="14"/>
                <w:szCs w:val="16"/>
              </w:rPr>
              <w:t>2,795,123,714.51</w:t>
            </w:r>
          </w:p>
        </w:tc>
        <w:tc>
          <w:tcPr>
            <w:tcW w:w="1055" w:type="dxa"/>
            <w:tcBorders>
              <w:top w:val="nil"/>
              <w:left w:val="single" w:sz="4" w:space="0" w:color="auto"/>
              <w:bottom w:val="single" w:sz="4" w:space="0" w:color="auto"/>
              <w:right w:val="single" w:sz="4" w:space="0" w:color="auto"/>
            </w:tcBorders>
            <w:shd w:val="clear" w:color="auto" w:fill="auto"/>
            <w:vAlign w:val="center"/>
          </w:tcPr>
          <w:p w14:paraId="7E979BD2" w14:textId="77777777" w:rsidR="0046184C" w:rsidRPr="0046184C" w:rsidRDefault="0046184C" w:rsidP="002F131C">
            <w:pPr>
              <w:jc w:val="center"/>
              <w:rPr>
                <w:rFonts w:ascii="Montserrat Medium" w:hAnsi="Montserrat Medium" w:cs="Futura Medium"/>
                <w:sz w:val="14"/>
                <w:szCs w:val="14"/>
              </w:rPr>
            </w:pPr>
            <w:r w:rsidRPr="0046184C">
              <w:rPr>
                <w:rFonts w:ascii="Montserrat Medium" w:hAnsi="Montserrat Medium" w:cs="Futura Medium"/>
                <w:sz w:val="14"/>
                <w:szCs w:val="14"/>
              </w:rPr>
              <w:t>2048</w:t>
            </w:r>
          </w:p>
        </w:tc>
        <w:tc>
          <w:tcPr>
            <w:tcW w:w="1811" w:type="dxa"/>
            <w:tcBorders>
              <w:top w:val="nil"/>
              <w:left w:val="single" w:sz="4" w:space="0" w:color="auto"/>
              <w:bottom w:val="single" w:sz="4" w:space="0" w:color="auto"/>
              <w:right w:val="single" w:sz="4" w:space="0" w:color="auto"/>
            </w:tcBorders>
            <w:shd w:val="clear" w:color="auto" w:fill="auto"/>
            <w:vAlign w:val="center"/>
            <w:hideMark/>
          </w:tcPr>
          <w:p w14:paraId="1941B237" w14:textId="77777777" w:rsidR="0046184C" w:rsidRPr="0046184C" w:rsidRDefault="0046184C" w:rsidP="002F131C">
            <w:pPr>
              <w:jc w:val="center"/>
              <w:rPr>
                <w:rFonts w:ascii="Montserrat Medium" w:hAnsi="Montserrat Medium" w:cs="Futura Medium"/>
                <w:sz w:val="14"/>
                <w:szCs w:val="14"/>
              </w:rPr>
            </w:pPr>
            <w:r w:rsidRPr="0046184C">
              <w:rPr>
                <w:rFonts w:ascii="Montserrat Medium" w:hAnsi="Montserrat Medium" w:cs="Futura Medium"/>
                <w:sz w:val="14"/>
                <w:szCs w:val="14"/>
              </w:rPr>
              <w:t>HR AAA (E) (27/03/24))</w:t>
            </w:r>
          </w:p>
        </w:tc>
        <w:tc>
          <w:tcPr>
            <w:tcW w:w="1520" w:type="dxa"/>
            <w:tcBorders>
              <w:top w:val="nil"/>
              <w:left w:val="single" w:sz="4" w:space="0" w:color="auto"/>
              <w:bottom w:val="single" w:sz="4" w:space="0" w:color="auto"/>
              <w:right w:val="single" w:sz="4" w:space="0" w:color="auto"/>
            </w:tcBorders>
            <w:shd w:val="clear" w:color="auto" w:fill="auto"/>
            <w:vAlign w:val="center"/>
          </w:tcPr>
          <w:p w14:paraId="69FD3681" w14:textId="77777777" w:rsidR="0046184C" w:rsidRPr="0046184C" w:rsidRDefault="0046184C" w:rsidP="002F131C">
            <w:pPr>
              <w:jc w:val="center"/>
              <w:rPr>
                <w:rFonts w:ascii="Montserrat Medium" w:hAnsi="Montserrat Medium" w:cs="Futura Medium"/>
                <w:sz w:val="14"/>
                <w:szCs w:val="14"/>
              </w:rPr>
            </w:pPr>
            <w:proofErr w:type="spellStart"/>
            <w:r w:rsidRPr="0046184C">
              <w:rPr>
                <w:rFonts w:ascii="Montserrat Medium" w:hAnsi="Montserrat Medium" w:cs="Futura Medium"/>
                <w:sz w:val="14"/>
                <w:szCs w:val="14"/>
              </w:rPr>
              <w:t>MxAAA</w:t>
            </w:r>
            <w:proofErr w:type="spellEnd"/>
          </w:p>
          <w:p w14:paraId="31A99BBA" w14:textId="3220DC37" w:rsidR="0046184C" w:rsidRPr="0046184C" w:rsidRDefault="0046184C" w:rsidP="002F131C">
            <w:pPr>
              <w:jc w:val="center"/>
              <w:rPr>
                <w:rFonts w:ascii="Montserrat Medium" w:hAnsi="Montserrat Medium" w:cs="Futura Medium"/>
                <w:sz w:val="14"/>
                <w:szCs w:val="14"/>
              </w:rPr>
            </w:pPr>
            <w:r w:rsidRPr="0046184C">
              <w:rPr>
                <w:rFonts w:ascii="Montserrat Medium" w:hAnsi="Montserrat Medium" w:cs="Futura Medium"/>
                <w:sz w:val="14"/>
                <w:szCs w:val="14"/>
              </w:rPr>
              <w:t>(23/01/25)</w:t>
            </w:r>
          </w:p>
        </w:tc>
      </w:tr>
    </w:tbl>
    <w:p w14:paraId="6E4EFC93" w14:textId="77777777" w:rsidR="00116B09" w:rsidRPr="0046184C" w:rsidRDefault="00116B09" w:rsidP="002F131C">
      <w:pPr>
        <w:ind w:left="567" w:right="758"/>
        <w:jc w:val="both"/>
        <w:rPr>
          <w:rFonts w:ascii="Montserrat Medium" w:eastAsia="Montserrat" w:hAnsi="Montserrat Medium" w:cs="Montserrat"/>
          <w:color w:val="404040"/>
          <w:sz w:val="12"/>
          <w:szCs w:val="14"/>
        </w:rPr>
      </w:pPr>
      <w:r w:rsidRPr="0046184C">
        <w:rPr>
          <w:rFonts w:ascii="Montserrat Medium" w:eastAsia="Montserrat" w:hAnsi="Montserrat Medium" w:cs="Montserrat"/>
          <w:color w:val="404040"/>
          <w:sz w:val="12"/>
          <w:szCs w:val="14"/>
        </w:rPr>
        <w:t xml:space="preserve">Nota: </w:t>
      </w:r>
      <w:r w:rsidRPr="0046184C">
        <w:rPr>
          <w:rFonts w:ascii="Montserrat Medium" w:eastAsia="Montserrat" w:hAnsi="Montserrat Medium" w:cs="Montserrat"/>
          <w:color w:val="404040"/>
          <w:sz w:val="16"/>
          <w:szCs w:val="18"/>
        </w:rPr>
        <w:t>*</w:t>
      </w:r>
      <w:r w:rsidRPr="0046184C">
        <w:rPr>
          <w:rFonts w:ascii="Montserrat Medium" w:eastAsia="Montserrat" w:hAnsi="Montserrat Medium" w:cs="Montserrat"/>
          <w:color w:val="404040"/>
          <w:sz w:val="12"/>
          <w:szCs w:val="14"/>
        </w:rPr>
        <w:t xml:space="preserve"> Con respecto al Crédito de BBVA México, S.A, el importe contratado se modificó mediante el Segundo Convenio Modificatorio d fecha 27 de febrero de 2024 para quedar por un importe de $ 737, 138,810.00.</w:t>
      </w:r>
    </w:p>
    <w:p w14:paraId="6D40C1FE" w14:textId="77777777" w:rsidR="001C0F05" w:rsidRPr="009C26EF" w:rsidRDefault="001C0F05" w:rsidP="002F131C">
      <w:pPr>
        <w:tabs>
          <w:tab w:val="left" w:pos="550"/>
        </w:tabs>
        <w:rPr>
          <w:rFonts w:ascii="Montserrat Medium" w:eastAsia="Times New Roman" w:hAnsi="Montserrat Medium" w:cs="Arial"/>
          <w:b/>
          <w:i/>
          <w:iCs/>
          <w:color w:val="595959"/>
          <w:sz w:val="22"/>
          <w:highlight w:val="yellow"/>
        </w:rPr>
      </w:pPr>
    </w:p>
    <w:p w14:paraId="4725C0E5" w14:textId="242B71C6" w:rsidR="008257FE" w:rsidRPr="0046184C" w:rsidRDefault="001E12A2" w:rsidP="002F131C">
      <w:pPr>
        <w:tabs>
          <w:tab w:val="left" w:pos="550"/>
        </w:tabs>
        <w:rPr>
          <w:rFonts w:ascii="Montserrat Medium" w:hAnsi="Montserrat Medium" w:cs="Futura Medium"/>
          <w:sz w:val="22"/>
          <w:lang w:val="es-MX"/>
        </w:rPr>
      </w:pPr>
      <w:r w:rsidRPr="0046184C">
        <w:rPr>
          <w:rFonts w:ascii="Montserrat Medium" w:eastAsia="Times New Roman" w:hAnsi="Montserrat Medium" w:cs="Arial"/>
          <w:b/>
          <w:i/>
          <w:iCs/>
          <w:color w:val="595959"/>
          <w:sz w:val="22"/>
        </w:rPr>
        <w:t>11.1 Deuda</w:t>
      </w:r>
      <w:r w:rsidR="008257FE" w:rsidRPr="0046184C">
        <w:rPr>
          <w:rFonts w:ascii="Montserrat Medium" w:eastAsia="Times New Roman" w:hAnsi="Montserrat Medium" w:cs="Arial"/>
          <w:b/>
          <w:i/>
          <w:iCs/>
          <w:color w:val="595959"/>
          <w:sz w:val="22"/>
        </w:rPr>
        <w:t xml:space="preserve"> Contingente</w:t>
      </w:r>
    </w:p>
    <w:p w14:paraId="0E65FEBD" w14:textId="77777777" w:rsidR="008257FE" w:rsidRPr="0046184C" w:rsidRDefault="008257FE" w:rsidP="002F131C">
      <w:pPr>
        <w:tabs>
          <w:tab w:val="left" w:pos="550"/>
        </w:tabs>
        <w:rPr>
          <w:rFonts w:ascii="Montserrat Medium" w:hAnsi="Montserrat Medium" w:cs="Futura Medium"/>
          <w:sz w:val="22"/>
          <w:lang w:val="es-MX"/>
        </w:rPr>
      </w:pPr>
    </w:p>
    <w:p w14:paraId="79EA6190" w14:textId="77777777" w:rsidR="008257FE" w:rsidRPr="0046184C" w:rsidRDefault="008257FE" w:rsidP="002F131C">
      <w:pPr>
        <w:jc w:val="both"/>
        <w:rPr>
          <w:rFonts w:ascii="Montserrat Medium" w:eastAsia="Times New Roman" w:hAnsi="Montserrat Medium" w:cs="Arial"/>
          <w:b/>
          <w:color w:val="595959"/>
          <w:sz w:val="22"/>
          <w:lang w:eastAsia="en-US"/>
        </w:rPr>
      </w:pPr>
      <w:r w:rsidRPr="0046184C">
        <w:rPr>
          <w:rFonts w:ascii="Montserrat Medium" w:eastAsia="Times New Roman" w:hAnsi="Montserrat Medium" w:cs="Arial"/>
          <w:b/>
          <w:color w:val="595959"/>
          <w:sz w:val="22"/>
          <w:lang w:eastAsia="en-US"/>
        </w:rPr>
        <w:t xml:space="preserve">Crédito Comisión de Agua Potable y Alcantarillado </w:t>
      </w:r>
    </w:p>
    <w:p w14:paraId="2DDD9747" w14:textId="77777777" w:rsidR="0072623F" w:rsidRPr="0046184C" w:rsidRDefault="0072623F" w:rsidP="002F131C">
      <w:pPr>
        <w:tabs>
          <w:tab w:val="left" w:pos="550"/>
        </w:tabs>
        <w:jc w:val="both"/>
        <w:rPr>
          <w:rFonts w:ascii="Montserrat Medium" w:hAnsi="Montserrat Medium"/>
          <w:color w:val="595959"/>
          <w:sz w:val="22"/>
        </w:rPr>
      </w:pPr>
    </w:p>
    <w:p w14:paraId="06C00DAE" w14:textId="397863E8" w:rsidR="0060393A" w:rsidRPr="0046184C" w:rsidRDefault="00AE643B" w:rsidP="002F131C">
      <w:pPr>
        <w:tabs>
          <w:tab w:val="left" w:pos="550"/>
        </w:tabs>
        <w:jc w:val="both"/>
        <w:rPr>
          <w:rFonts w:ascii="Montserrat Medium" w:eastAsia="Montserrat Medium" w:hAnsi="Montserrat Medium" w:cs="Montserrat Medium"/>
          <w:color w:val="595959"/>
          <w:sz w:val="22"/>
        </w:rPr>
      </w:pPr>
      <w:r w:rsidRPr="0046184C">
        <w:rPr>
          <w:rFonts w:ascii="Montserrat Medium" w:eastAsia="Montserrat Medium" w:hAnsi="Montserrat Medium" w:cs="Montserrat Medium"/>
          <w:color w:val="595959"/>
          <w:sz w:val="22"/>
        </w:rPr>
        <w:t xml:space="preserve">Crédito avalado del sector paraestatal, celebrado el 26 de noviembre de 2015 por $560,000,000.00 (Quinientos sesenta millones de pesos) entre el Banco Interacciones, S.A. (hoy Banco Mercantil del Norte, S.A.) y la Comisión de Agua Potable y Alcantarillado del Estado de Quintana Roo (C.A.P.A.), cuya fuente de pago son los ingresos presupuestales del propio Organismo, conforme al Decreto 326 y en el que el Estado funge como Aval otorgando la garantía del 2% (dos por ciento) del Fondo General de Participaciones que le corresponde al Estado, </w:t>
      </w:r>
      <w:r w:rsidR="0060393A" w:rsidRPr="0046184C">
        <w:rPr>
          <w:rFonts w:ascii="Montserrat Medium" w:eastAsia="Montserrat Medium" w:hAnsi="Montserrat Medium" w:cs="Montserrat Medium"/>
          <w:color w:val="595959"/>
          <w:sz w:val="22"/>
        </w:rPr>
        <w:t>3</w:t>
      </w:r>
      <w:r w:rsidR="0046184C">
        <w:rPr>
          <w:rFonts w:ascii="Montserrat Medium" w:eastAsia="Montserrat Medium" w:hAnsi="Montserrat Medium" w:cs="Montserrat Medium"/>
          <w:color w:val="595959"/>
          <w:sz w:val="22"/>
        </w:rPr>
        <w:t>0</w:t>
      </w:r>
      <w:r w:rsidR="0060393A" w:rsidRPr="0046184C">
        <w:rPr>
          <w:rFonts w:ascii="Montserrat Medium" w:eastAsia="Montserrat Medium" w:hAnsi="Montserrat Medium" w:cs="Montserrat Medium"/>
          <w:color w:val="595959"/>
          <w:sz w:val="22"/>
        </w:rPr>
        <w:t xml:space="preserve"> de </w:t>
      </w:r>
      <w:r w:rsidR="0046184C">
        <w:rPr>
          <w:rFonts w:ascii="Montserrat Medium" w:eastAsia="Montserrat Medium" w:hAnsi="Montserrat Medium" w:cs="Montserrat Medium"/>
          <w:color w:val="595959"/>
          <w:sz w:val="22"/>
        </w:rPr>
        <w:t>junio</w:t>
      </w:r>
      <w:r w:rsidR="0060393A" w:rsidRPr="0046184C">
        <w:rPr>
          <w:rFonts w:ascii="Montserrat Medium" w:eastAsia="Montserrat Medium" w:hAnsi="Montserrat Medium" w:cs="Montserrat Medium"/>
          <w:color w:val="595959"/>
          <w:sz w:val="22"/>
        </w:rPr>
        <w:t xml:space="preserve"> de 202</w:t>
      </w:r>
      <w:r w:rsidR="00116B09" w:rsidRPr="0046184C">
        <w:rPr>
          <w:rFonts w:ascii="Montserrat Medium" w:eastAsia="Montserrat Medium" w:hAnsi="Montserrat Medium" w:cs="Montserrat Medium"/>
          <w:color w:val="595959"/>
          <w:sz w:val="22"/>
        </w:rPr>
        <w:t>5</w:t>
      </w:r>
      <w:r w:rsidR="0060393A" w:rsidRPr="0046184C">
        <w:rPr>
          <w:rFonts w:ascii="Montserrat Medium" w:eastAsia="Montserrat Medium" w:hAnsi="Montserrat Medium" w:cs="Montserrat Medium"/>
          <w:color w:val="595959"/>
          <w:sz w:val="22"/>
        </w:rPr>
        <w:t xml:space="preserve">, se tuvo una disminución en su saldo insoluto de $ </w:t>
      </w:r>
      <w:r w:rsidR="0046184C">
        <w:rPr>
          <w:rFonts w:ascii="Montserrat Medium" w:eastAsia="Montserrat Medium" w:hAnsi="Montserrat Medium" w:cs="Montserrat Medium"/>
          <w:color w:val="595959"/>
          <w:sz w:val="22"/>
        </w:rPr>
        <w:t>21,085,067.00</w:t>
      </w:r>
      <w:r w:rsidR="0060393A" w:rsidRPr="0046184C">
        <w:rPr>
          <w:rFonts w:ascii="Montserrat Medium" w:eastAsia="Montserrat Medium" w:hAnsi="Montserrat Medium" w:cs="Montserrat Medium"/>
          <w:color w:val="595959"/>
          <w:sz w:val="22"/>
        </w:rPr>
        <w:t xml:space="preserve">  debido a que se pagaron amortizaciones de capital de conformidad con el calendario de amortizaciones indicado en el</w:t>
      </w:r>
      <w:r w:rsidR="0046184C">
        <w:rPr>
          <w:rFonts w:ascii="Montserrat Medium" w:eastAsia="Montserrat Medium" w:hAnsi="Montserrat Medium" w:cs="Montserrat Medium"/>
          <w:color w:val="595959"/>
          <w:sz w:val="22"/>
        </w:rPr>
        <w:t xml:space="preserve"> pagaré, quedando un saldo al 30</w:t>
      </w:r>
      <w:r w:rsidR="0060393A" w:rsidRPr="0046184C">
        <w:rPr>
          <w:rFonts w:ascii="Montserrat Medium" w:eastAsia="Montserrat Medium" w:hAnsi="Montserrat Medium" w:cs="Montserrat Medium"/>
          <w:color w:val="595959"/>
          <w:sz w:val="22"/>
        </w:rPr>
        <w:t xml:space="preserve"> de </w:t>
      </w:r>
      <w:r w:rsidR="0046184C">
        <w:rPr>
          <w:rFonts w:ascii="Montserrat Medium" w:eastAsia="Montserrat Medium" w:hAnsi="Montserrat Medium" w:cs="Montserrat Medium"/>
          <w:color w:val="595959"/>
          <w:sz w:val="22"/>
        </w:rPr>
        <w:t>junio</w:t>
      </w:r>
      <w:r w:rsidR="0060393A" w:rsidRPr="0046184C">
        <w:rPr>
          <w:rFonts w:ascii="Montserrat Medium" w:eastAsia="Montserrat Medium" w:hAnsi="Montserrat Medium" w:cs="Montserrat Medium"/>
          <w:color w:val="595959"/>
          <w:sz w:val="22"/>
        </w:rPr>
        <w:t xml:space="preserve"> de 202</w:t>
      </w:r>
      <w:r w:rsidR="00116B09" w:rsidRPr="0046184C">
        <w:rPr>
          <w:rFonts w:ascii="Montserrat Medium" w:eastAsia="Montserrat Medium" w:hAnsi="Montserrat Medium" w:cs="Montserrat Medium"/>
          <w:color w:val="595959"/>
          <w:sz w:val="22"/>
        </w:rPr>
        <w:t>5</w:t>
      </w:r>
      <w:r w:rsidR="0060393A" w:rsidRPr="0046184C">
        <w:rPr>
          <w:rFonts w:ascii="Montserrat Medium" w:eastAsia="Montserrat Medium" w:hAnsi="Montserrat Medium" w:cs="Montserrat Medium"/>
          <w:color w:val="595959"/>
          <w:sz w:val="22"/>
        </w:rPr>
        <w:t xml:space="preserve"> de $ </w:t>
      </w:r>
      <w:r w:rsidR="00116B09" w:rsidRPr="0046184C">
        <w:rPr>
          <w:rFonts w:ascii="Montserrat Medium" w:eastAsia="Montserrat Medium" w:hAnsi="Montserrat Medium" w:cs="Montserrat Medium"/>
          <w:color w:val="595959"/>
          <w:sz w:val="22"/>
        </w:rPr>
        <w:t>2</w:t>
      </w:r>
      <w:r w:rsidR="0046184C">
        <w:rPr>
          <w:rFonts w:ascii="Montserrat Medium" w:eastAsia="Montserrat Medium" w:hAnsi="Montserrat Medium" w:cs="Montserrat Medium"/>
          <w:color w:val="595959"/>
          <w:sz w:val="22"/>
        </w:rPr>
        <w:t>7</w:t>
      </w:r>
      <w:r w:rsidR="00116B09" w:rsidRPr="0046184C">
        <w:rPr>
          <w:rFonts w:ascii="Montserrat Medium" w:eastAsia="Montserrat Medium" w:hAnsi="Montserrat Medium" w:cs="Montserrat Medium"/>
          <w:color w:val="595959"/>
          <w:sz w:val="22"/>
        </w:rPr>
        <w:t>9</w:t>
      </w:r>
      <w:r w:rsidR="0046184C">
        <w:rPr>
          <w:rFonts w:ascii="Montserrat Medium" w:eastAsia="Montserrat Medium" w:hAnsi="Montserrat Medium" w:cs="Montserrat Medium"/>
          <w:color w:val="595959"/>
          <w:sz w:val="22"/>
        </w:rPr>
        <w:t>,503,253.07</w:t>
      </w:r>
    </w:p>
    <w:p w14:paraId="4F8F2495" w14:textId="77777777" w:rsidR="00306BD0" w:rsidRPr="009C26EF" w:rsidRDefault="00306BD0" w:rsidP="002F131C">
      <w:pPr>
        <w:tabs>
          <w:tab w:val="left" w:pos="550"/>
        </w:tabs>
        <w:jc w:val="both"/>
        <w:rPr>
          <w:rFonts w:ascii="Montserrat Medium" w:eastAsia="Montserrat Medium" w:hAnsi="Montserrat Medium" w:cs="Montserrat Medium"/>
          <w:color w:val="595959"/>
          <w:sz w:val="22"/>
          <w:highlight w:val="yellow"/>
        </w:rPr>
      </w:pPr>
    </w:p>
    <w:p w14:paraId="0C90D2F7" w14:textId="77777777" w:rsidR="00CC2C60" w:rsidRPr="0046184C" w:rsidRDefault="008257FE" w:rsidP="002F131C">
      <w:pPr>
        <w:jc w:val="both"/>
        <w:rPr>
          <w:rFonts w:ascii="Montserrat Medium" w:eastAsia="Times New Roman" w:hAnsi="Montserrat Medium" w:cs="Arial"/>
          <w:b/>
          <w:color w:val="595959"/>
          <w:sz w:val="22"/>
          <w:lang w:eastAsia="en-US"/>
        </w:rPr>
      </w:pPr>
      <w:r w:rsidRPr="0046184C">
        <w:rPr>
          <w:rFonts w:ascii="Montserrat Medium" w:eastAsia="Times New Roman" w:hAnsi="Montserrat Medium" w:cs="Arial"/>
          <w:b/>
          <w:color w:val="595959"/>
          <w:sz w:val="22"/>
          <w:lang w:eastAsia="en-US"/>
        </w:rPr>
        <w:t>Crédito Municipio de Othón P. Blanco</w:t>
      </w:r>
    </w:p>
    <w:p w14:paraId="130898E0" w14:textId="77777777" w:rsidR="002E7E47" w:rsidRPr="0046184C" w:rsidRDefault="002E7E47" w:rsidP="002F131C">
      <w:pPr>
        <w:jc w:val="both"/>
        <w:rPr>
          <w:rFonts w:ascii="Montserrat Medium" w:eastAsia="Times New Roman" w:hAnsi="Montserrat Medium" w:cs="Arial"/>
          <w:b/>
          <w:color w:val="595959"/>
          <w:sz w:val="22"/>
          <w:lang w:eastAsia="en-US"/>
        </w:rPr>
      </w:pPr>
    </w:p>
    <w:p w14:paraId="1C4282ED" w14:textId="62DBBF85" w:rsidR="0060393A" w:rsidRPr="00D56579" w:rsidRDefault="0060393A" w:rsidP="002F131C">
      <w:pPr>
        <w:tabs>
          <w:tab w:val="left" w:pos="550"/>
        </w:tabs>
        <w:jc w:val="both"/>
        <w:rPr>
          <w:rFonts w:ascii="Montserrat Medium" w:eastAsia="Montserrat Medium" w:hAnsi="Montserrat Medium" w:cs="Montserrat Medium"/>
          <w:color w:val="595959"/>
          <w:sz w:val="22"/>
        </w:rPr>
      </w:pPr>
      <w:r w:rsidRPr="0046184C">
        <w:rPr>
          <w:rFonts w:ascii="Montserrat Medium" w:eastAsia="Montserrat Medium" w:hAnsi="Montserrat Medium" w:cs="Montserrat Medium"/>
          <w:color w:val="595959"/>
          <w:sz w:val="22"/>
        </w:rPr>
        <w:t>Contrato de Apertura de Crédito Simple celebrado entre el IDEFIN (acreditante), el Municipio de O.P.B. (acreditado) y el Estado (deudor subsidiario) de fecha 4 de febrero de 2011, por un importe de $ 130,000,000.00 (Ciento Treinta Millones de Pesos 00/100 M.N.) cuya fuente de pago son las Participaciones del Municipio afectadas en un 30% (Treinta por ciento) y las Participaciones del Estado afectadas en un 2% (Dos por ciento) como deudor subsidiario, al 3</w:t>
      </w:r>
      <w:r w:rsidR="0046184C">
        <w:rPr>
          <w:rFonts w:ascii="Montserrat Medium" w:eastAsia="Montserrat Medium" w:hAnsi="Montserrat Medium" w:cs="Montserrat Medium"/>
          <w:color w:val="595959"/>
          <w:sz w:val="22"/>
        </w:rPr>
        <w:t>0</w:t>
      </w:r>
      <w:r w:rsidRPr="0046184C">
        <w:rPr>
          <w:rFonts w:ascii="Montserrat Medium" w:eastAsia="Montserrat Medium" w:hAnsi="Montserrat Medium" w:cs="Montserrat Medium"/>
          <w:color w:val="595959"/>
          <w:sz w:val="22"/>
        </w:rPr>
        <w:t xml:space="preserve"> de </w:t>
      </w:r>
      <w:r w:rsidR="0046184C">
        <w:rPr>
          <w:rFonts w:ascii="Montserrat Medium" w:eastAsia="Montserrat Medium" w:hAnsi="Montserrat Medium" w:cs="Montserrat Medium"/>
          <w:color w:val="595959"/>
          <w:sz w:val="22"/>
        </w:rPr>
        <w:t>junio</w:t>
      </w:r>
      <w:r w:rsidRPr="0046184C">
        <w:rPr>
          <w:rFonts w:ascii="Montserrat Medium" w:eastAsia="Montserrat Medium" w:hAnsi="Montserrat Medium" w:cs="Montserrat Medium"/>
          <w:color w:val="595959"/>
          <w:sz w:val="22"/>
        </w:rPr>
        <w:t xml:space="preserve"> de 202</w:t>
      </w:r>
      <w:r w:rsidR="00116B09" w:rsidRPr="0046184C">
        <w:rPr>
          <w:rFonts w:ascii="Montserrat Medium" w:eastAsia="Montserrat Medium" w:hAnsi="Montserrat Medium" w:cs="Montserrat Medium"/>
          <w:color w:val="595959"/>
          <w:sz w:val="22"/>
        </w:rPr>
        <w:t>5</w:t>
      </w:r>
      <w:r w:rsidRPr="0046184C">
        <w:rPr>
          <w:rFonts w:ascii="Montserrat Medium" w:eastAsia="Montserrat Medium" w:hAnsi="Montserrat Medium" w:cs="Montserrat Medium"/>
          <w:color w:val="595959"/>
          <w:sz w:val="22"/>
        </w:rPr>
        <w:t xml:space="preserve">, se tuvo una disminución en su saldo insoluto de $ </w:t>
      </w:r>
      <w:r w:rsidR="0046184C">
        <w:rPr>
          <w:rFonts w:ascii="Montserrat Medium" w:eastAsia="Montserrat Medium" w:hAnsi="Montserrat Medium" w:cs="Montserrat Medium"/>
          <w:color w:val="595959"/>
          <w:sz w:val="22"/>
        </w:rPr>
        <w:t>4,332,700.71</w:t>
      </w:r>
      <w:r w:rsidRPr="0046184C">
        <w:rPr>
          <w:rFonts w:ascii="Montserrat Medium" w:eastAsia="Montserrat Medium" w:hAnsi="Montserrat Medium" w:cs="Montserrat Medium"/>
          <w:color w:val="595959"/>
          <w:sz w:val="22"/>
        </w:rPr>
        <w:t xml:space="preserve"> debido a que se pagaron amortizaciones de capital de conformidad con el calendario de amortizaciones indicado en el pagaré, quedando un saldo al 3</w:t>
      </w:r>
      <w:r w:rsidR="0046184C">
        <w:rPr>
          <w:rFonts w:ascii="Montserrat Medium" w:eastAsia="Montserrat Medium" w:hAnsi="Montserrat Medium" w:cs="Montserrat Medium"/>
          <w:color w:val="595959"/>
          <w:sz w:val="22"/>
        </w:rPr>
        <w:t>0</w:t>
      </w:r>
      <w:r w:rsidRPr="0046184C">
        <w:rPr>
          <w:rFonts w:ascii="Montserrat Medium" w:eastAsia="Montserrat Medium" w:hAnsi="Montserrat Medium" w:cs="Montserrat Medium"/>
          <w:color w:val="595959"/>
          <w:sz w:val="22"/>
        </w:rPr>
        <w:t xml:space="preserve"> de </w:t>
      </w:r>
      <w:r w:rsidR="0046184C">
        <w:rPr>
          <w:rFonts w:ascii="Montserrat Medium" w:eastAsia="Montserrat Medium" w:hAnsi="Montserrat Medium" w:cs="Montserrat Medium"/>
          <w:color w:val="595959"/>
          <w:sz w:val="22"/>
        </w:rPr>
        <w:t>junio</w:t>
      </w:r>
      <w:r w:rsidRPr="0046184C">
        <w:rPr>
          <w:rFonts w:ascii="Montserrat Medium" w:eastAsia="Montserrat Medium" w:hAnsi="Montserrat Medium" w:cs="Montserrat Medium"/>
          <w:color w:val="595959"/>
          <w:sz w:val="22"/>
        </w:rPr>
        <w:t xml:space="preserve"> de 202</w:t>
      </w:r>
      <w:r w:rsidR="00116B09" w:rsidRPr="0046184C">
        <w:rPr>
          <w:rFonts w:ascii="Montserrat Medium" w:eastAsia="Montserrat Medium" w:hAnsi="Montserrat Medium" w:cs="Montserrat Medium"/>
          <w:color w:val="595959"/>
          <w:sz w:val="22"/>
        </w:rPr>
        <w:t>5</w:t>
      </w:r>
      <w:r w:rsidRPr="0046184C">
        <w:rPr>
          <w:rFonts w:ascii="Montserrat Medium" w:eastAsia="Montserrat Medium" w:hAnsi="Montserrat Medium" w:cs="Montserrat Medium"/>
          <w:color w:val="595959"/>
          <w:sz w:val="22"/>
        </w:rPr>
        <w:t xml:space="preserve"> de $ </w:t>
      </w:r>
      <w:r w:rsidR="0046184C">
        <w:rPr>
          <w:rFonts w:ascii="Montserrat Medium" w:eastAsia="Montserrat Medium" w:hAnsi="Montserrat Medium" w:cs="Montserrat Medium"/>
          <w:color w:val="595959"/>
          <w:sz w:val="22"/>
        </w:rPr>
        <w:t>71,261,846.23</w:t>
      </w:r>
    </w:p>
    <w:p w14:paraId="404E869C" w14:textId="77777777" w:rsidR="00AE643B" w:rsidRPr="00D56579" w:rsidRDefault="00AE643B" w:rsidP="002F131C">
      <w:pPr>
        <w:jc w:val="both"/>
        <w:rPr>
          <w:rFonts w:ascii="Montserrat Medium" w:eastAsia="Montserrat Medium" w:hAnsi="Montserrat Medium" w:cs="Montserrat Medium"/>
          <w:color w:val="595959"/>
          <w:sz w:val="22"/>
        </w:rPr>
      </w:pPr>
    </w:p>
    <w:p w14:paraId="3AB47DA5" w14:textId="77777777" w:rsidR="008257FE" w:rsidRPr="00050920" w:rsidRDefault="00A1177D" w:rsidP="002F131C">
      <w:pPr>
        <w:keepNext/>
        <w:keepLines/>
        <w:jc w:val="both"/>
        <w:outlineLvl w:val="6"/>
        <w:rPr>
          <w:rFonts w:ascii="Montserrat Medium" w:eastAsia="Times New Roman" w:hAnsi="Montserrat Medium" w:cs="Arial"/>
          <w:b/>
          <w:i/>
          <w:iCs/>
          <w:color w:val="595959"/>
          <w:sz w:val="22"/>
        </w:rPr>
      </w:pPr>
      <w:r w:rsidRPr="00050920">
        <w:rPr>
          <w:rFonts w:ascii="Montserrat Medium" w:eastAsia="Times New Roman" w:hAnsi="Montserrat Medium" w:cs="Arial"/>
          <w:b/>
          <w:i/>
          <w:iCs/>
          <w:color w:val="595959"/>
          <w:sz w:val="22"/>
        </w:rPr>
        <w:t>1</w:t>
      </w:r>
      <w:r w:rsidR="00412190" w:rsidRPr="00050920">
        <w:rPr>
          <w:rFonts w:ascii="Montserrat Medium" w:eastAsia="Times New Roman" w:hAnsi="Montserrat Medium" w:cs="Arial"/>
          <w:b/>
          <w:i/>
          <w:iCs/>
          <w:color w:val="595959"/>
          <w:sz w:val="22"/>
        </w:rPr>
        <w:t>2.</w:t>
      </w:r>
      <w:r w:rsidR="00FB7B8B" w:rsidRPr="00050920">
        <w:rPr>
          <w:rFonts w:ascii="Montserrat Medium" w:eastAsia="Times New Roman" w:hAnsi="Montserrat Medium" w:cs="Arial"/>
          <w:b/>
          <w:i/>
          <w:iCs/>
          <w:color w:val="595959"/>
          <w:sz w:val="22"/>
        </w:rPr>
        <w:t xml:space="preserve"> Proceso</w:t>
      </w:r>
      <w:r w:rsidR="008257FE" w:rsidRPr="00050920">
        <w:rPr>
          <w:rFonts w:ascii="Montserrat Medium" w:eastAsia="Times New Roman" w:hAnsi="Montserrat Medium" w:cs="Arial"/>
          <w:b/>
          <w:i/>
          <w:iCs/>
          <w:color w:val="595959"/>
          <w:sz w:val="22"/>
        </w:rPr>
        <w:t xml:space="preserve"> de Mejora </w:t>
      </w:r>
    </w:p>
    <w:p w14:paraId="3944EEB2" w14:textId="77777777" w:rsidR="002B37F7" w:rsidRPr="00050920" w:rsidRDefault="002B37F7" w:rsidP="002F131C">
      <w:pPr>
        <w:keepNext/>
        <w:keepLines/>
        <w:jc w:val="both"/>
        <w:outlineLvl w:val="6"/>
        <w:rPr>
          <w:rFonts w:ascii="Montserrat Medium" w:eastAsia="Times New Roman" w:hAnsi="Montserrat Medium" w:cs="Arial"/>
          <w:b/>
          <w:i/>
          <w:iCs/>
          <w:color w:val="595959"/>
          <w:sz w:val="22"/>
        </w:rPr>
      </w:pPr>
    </w:p>
    <w:p w14:paraId="2485EEA5" w14:textId="77777777" w:rsidR="005224CE" w:rsidRPr="00050920" w:rsidRDefault="005224CE" w:rsidP="002F131C">
      <w:pPr>
        <w:keepNext/>
        <w:keepLines/>
        <w:numPr>
          <w:ilvl w:val="0"/>
          <w:numId w:val="29"/>
        </w:numPr>
        <w:jc w:val="both"/>
        <w:rPr>
          <w:rFonts w:ascii="Montserrat Medium" w:eastAsia="Montserrat Medium" w:hAnsi="Montserrat Medium" w:cs="Montserrat Medium"/>
          <w:b/>
          <w:i/>
          <w:color w:val="595959"/>
          <w:sz w:val="22"/>
        </w:rPr>
      </w:pPr>
      <w:r w:rsidRPr="00050920">
        <w:rPr>
          <w:rFonts w:ascii="Montserrat Medium" w:eastAsia="Montserrat Medium" w:hAnsi="Montserrat Medium" w:cs="Montserrat Medium"/>
          <w:b/>
          <w:i/>
          <w:color w:val="595959"/>
          <w:sz w:val="22"/>
        </w:rPr>
        <w:t xml:space="preserve">Principales Políticas de Control Interno. </w:t>
      </w:r>
    </w:p>
    <w:p w14:paraId="2EE75FE8" w14:textId="77777777" w:rsidR="007D6966" w:rsidRDefault="007D6966" w:rsidP="002F131C">
      <w:pPr>
        <w:keepNext/>
        <w:keepLines/>
        <w:ind w:left="-2"/>
        <w:jc w:val="both"/>
        <w:rPr>
          <w:rFonts w:ascii="Montserrat Medium" w:eastAsia="Montserrat Medium" w:hAnsi="Montserrat Medium" w:cs="Montserrat Medium"/>
          <w:b/>
          <w:i/>
          <w:color w:val="595959"/>
          <w:sz w:val="22"/>
        </w:rPr>
      </w:pPr>
    </w:p>
    <w:p w14:paraId="114B4332" w14:textId="77777777" w:rsidR="007D6966" w:rsidRPr="007D6966" w:rsidRDefault="007D6966" w:rsidP="002F131C">
      <w:pPr>
        <w:ind w:left="-2" w:hanging="2"/>
        <w:jc w:val="both"/>
        <w:rPr>
          <w:rFonts w:ascii="Montserrat Medium" w:eastAsia="Times New Roman" w:hAnsi="Montserrat Medium"/>
          <w:color w:val="595959"/>
          <w:sz w:val="22"/>
          <w:szCs w:val="22"/>
          <w:lang w:eastAsia="es-MX"/>
        </w:rPr>
      </w:pPr>
      <w:r w:rsidRPr="007D6966">
        <w:rPr>
          <w:rFonts w:ascii="Montserrat Medium" w:eastAsia="Times New Roman" w:hAnsi="Montserrat Medium"/>
          <w:color w:val="595959"/>
          <w:sz w:val="22"/>
          <w:szCs w:val="22"/>
          <w:lang w:eastAsia="es-MX"/>
        </w:rPr>
        <w:t xml:space="preserve">Las Normas Generales de Control Interno de la Administración Pública Central y Paraestatal del Estado de Quintana Roo (POE 23-07-2019) son de observancia obligatoria y establecen la creación del Sistema de Control Interno Institucional que tiene por </w:t>
      </w:r>
      <w:r w:rsidRPr="007D6966">
        <w:rPr>
          <w:rFonts w:ascii="Montserrat Medium" w:eastAsia="Times New Roman" w:hAnsi="Montserrat Medium"/>
          <w:color w:val="595959"/>
          <w:sz w:val="22"/>
          <w:szCs w:val="22"/>
          <w:lang w:eastAsia="es-MX"/>
        </w:rPr>
        <w:lastRenderedPageBreak/>
        <w:t xml:space="preserve">objetivo “Instrumentar y operar el Control Interno Institucional y de promoción de la Ética y la Integridad, que permitan mejorar el cumplimiento de los objetivos y metas de la administración con un grado de seguridad razonable, prevenir y evitar la ocurrencia de actos de corrupción, fortalecer el cumplimiento de las leyes y disposiciones normativas así como coadyuvar en la transparencia y la rendición de cuentas en la gestión pública”. </w:t>
      </w:r>
    </w:p>
    <w:p w14:paraId="0F5DA21E" w14:textId="77777777" w:rsidR="007D6966" w:rsidRPr="007D6966" w:rsidRDefault="007D6966" w:rsidP="002F131C">
      <w:pPr>
        <w:ind w:left="-2" w:hanging="2"/>
        <w:jc w:val="both"/>
        <w:rPr>
          <w:rFonts w:ascii="Montserrat Medium" w:eastAsia="Times New Roman" w:hAnsi="Montserrat Medium"/>
          <w:color w:val="595959"/>
          <w:sz w:val="22"/>
          <w:szCs w:val="22"/>
          <w:lang w:eastAsia="es-MX"/>
        </w:rPr>
      </w:pPr>
    </w:p>
    <w:p w14:paraId="16212148" w14:textId="77777777" w:rsidR="007D6966" w:rsidRPr="007D6966" w:rsidRDefault="007D6966" w:rsidP="002F131C">
      <w:pPr>
        <w:ind w:left="-2" w:hanging="2"/>
        <w:jc w:val="both"/>
        <w:rPr>
          <w:rFonts w:ascii="Montserrat Medium" w:eastAsia="Times New Roman" w:hAnsi="Montserrat Medium"/>
          <w:color w:val="595959"/>
          <w:sz w:val="22"/>
          <w:szCs w:val="22"/>
          <w:lang w:eastAsia="es-MX"/>
        </w:rPr>
      </w:pPr>
      <w:r w:rsidRPr="007D6966">
        <w:rPr>
          <w:rFonts w:ascii="Montserrat Medium" w:eastAsia="Times New Roman" w:hAnsi="Montserrat Medium"/>
          <w:color w:val="595959"/>
          <w:sz w:val="22"/>
          <w:szCs w:val="22"/>
          <w:lang w:eastAsia="es-MX"/>
        </w:rPr>
        <w:t xml:space="preserve"> El Sistema se sustenta en 5 normas relacionadas al Ambiente de Control, la Administración de Riesgos, las Actividades de Control, la Información y Comunicación, así como la Supervisión.</w:t>
      </w:r>
    </w:p>
    <w:p w14:paraId="10068C78" w14:textId="77777777" w:rsidR="007D6966" w:rsidRPr="007D6966" w:rsidRDefault="007D6966" w:rsidP="002F131C">
      <w:pPr>
        <w:ind w:left="-2" w:hanging="2"/>
        <w:jc w:val="both"/>
        <w:rPr>
          <w:rFonts w:ascii="Montserrat Medium" w:eastAsia="Times New Roman" w:hAnsi="Montserrat Medium"/>
          <w:color w:val="595959"/>
          <w:sz w:val="22"/>
          <w:szCs w:val="22"/>
          <w:lang w:eastAsia="es-MX"/>
        </w:rPr>
      </w:pPr>
      <w:r w:rsidRPr="007D6966">
        <w:rPr>
          <w:rFonts w:ascii="Montserrat Medium" w:eastAsia="Times New Roman" w:hAnsi="Montserrat Medium"/>
          <w:color w:val="595959"/>
          <w:sz w:val="22"/>
          <w:szCs w:val="22"/>
          <w:lang w:eastAsia="es-MX"/>
        </w:rPr>
        <w:t> </w:t>
      </w:r>
    </w:p>
    <w:p w14:paraId="66478BBE" w14:textId="77777777" w:rsidR="007D6966" w:rsidRPr="007D6966" w:rsidRDefault="007D6966" w:rsidP="002F131C">
      <w:pPr>
        <w:ind w:left="-2" w:hanging="2"/>
        <w:jc w:val="both"/>
        <w:rPr>
          <w:rFonts w:ascii="Montserrat Medium" w:eastAsia="Times New Roman" w:hAnsi="Montserrat Medium"/>
          <w:color w:val="595959"/>
          <w:sz w:val="22"/>
          <w:szCs w:val="22"/>
          <w:lang w:eastAsia="es-MX"/>
        </w:rPr>
      </w:pPr>
      <w:r w:rsidRPr="007D6966">
        <w:rPr>
          <w:rFonts w:ascii="Montserrat Medium" w:eastAsia="Times New Roman" w:hAnsi="Montserrat Medium"/>
          <w:color w:val="595959"/>
          <w:sz w:val="22"/>
          <w:szCs w:val="22"/>
          <w:lang w:eastAsia="es-MX"/>
        </w:rPr>
        <w:t xml:space="preserve">La manera en la que se integra la información requerida para llevar a cabo un adecuado Control Interno en la Secretaría es a través de la Matriz Riesgo-Control, estas se nombran a partir del alcance de las acciones que se quieran medir, pueden ser de dos niveles; Nivel Alto y Nivel Proceso. Nivel Alto se refiere a los objetivos y metas institucionales y su sostenibilidad. Nivel Proceso se refiere a los objetivos y metas para los cuales fue diseñada la Institución. </w:t>
      </w:r>
    </w:p>
    <w:p w14:paraId="61C8E20C" w14:textId="77777777" w:rsidR="007D6966" w:rsidRPr="007D6966" w:rsidRDefault="007D6966" w:rsidP="002F131C">
      <w:pPr>
        <w:ind w:left="-2" w:hanging="2"/>
        <w:jc w:val="both"/>
        <w:rPr>
          <w:rFonts w:ascii="Montserrat Medium" w:eastAsia="Times New Roman" w:hAnsi="Montserrat Medium"/>
          <w:color w:val="595959"/>
          <w:sz w:val="22"/>
          <w:szCs w:val="22"/>
          <w:lang w:eastAsia="es-MX"/>
        </w:rPr>
      </w:pPr>
    </w:p>
    <w:p w14:paraId="7294C105" w14:textId="77777777" w:rsidR="007D6966" w:rsidRPr="007D6966" w:rsidRDefault="007D6966" w:rsidP="002F131C">
      <w:pPr>
        <w:ind w:left="-2" w:hanging="2"/>
        <w:jc w:val="both"/>
        <w:rPr>
          <w:rFonts w:ascii="Montserrat Medium" w:eastAsia="Times New Roman" w:hAnsi="Montserrat Medium"/>
          <w:color w:val="595959"/>
          <w:sz w:val="22"/>
          <w:szCs w:val="22"/>
          <w:lang w:eastAsia="es-MX"/>
        </w:rPr>
      </w:pPr>
      <w:r w:rsidRPr="007D6966">
        <w:rPr>
          <w:rFonts w:ascii="Montserrat Medium" w:eastAsia="Times New Roman" w:hAnsi="Montserrat Medium"/>
          <w:color w:val="595959"/>
          <w:sz w:val="22"/>
          <w:szCs w:val="22"/>
          <w:lang w:eastAsia="es-MX"/>
        </w:rPr>
        <w:t>Una herramienta que se utiliza para medir los avances en las actividades y posteriormente dan cumplimiento a las Matrices, Nivel Alto y Proceso, es el Programa de Trabajo de Control Interno (PTCI).</w:t>
      </w:r>
    </w:p>
    <w:p w14:paraId="4FBDD4C7" w14:textId="77777777" w:rsidR="007D6966" w:rsidRPr="007D6966" w:rsidRDefault="007D6966" w:rsidP="002F131C">
      <w:pPr>
        <w:ind w:left="-2" w:hanging="2"/>
        <w:jc w:val="both"/>
        <w:rPr>
          <w:rFonts w:ascii="Montserrat Medium" w:eastAsia="Times New Roman" w:hAnsi="Montserrat Medium"/>
          <w:color w:val="595959"/>
          <w:sz w:val="22"/>
          <w:szCs w:val="22"/>
          <w:lang w:eastAsia="es-MX"/>
        </w:rPr>
      </w:pPr>
    </w:p>
    <w:p w14:paraId="4098A8CA" w14:textId="77777777" w:rsidR="007D6966" w:rsidRPr="007D6966" w:rsidRDefault="007D6966" w:rsidP="002F131C">
      <w:pPr>
        <w:ind w:left="-2" w:hanging="2"/>
        <w:jc w:val="both"/>
        <w:rPr>
          <w:rFonts w:ascii="Montserrat Medium" w:eastAsia="Times New Roman" w:hAnsi="Montserrat Medium"/>
          <w:color w:val="595959"/>
          <w:sz w:val="22"/>
          <w:szCs w:val="22"/>
          <w:lang w:eastAsia="es-MX"/>
        </w:rPr>
      </w:pPr>
      <w:r w:rsidRPr="007D6966">
        <w:rPr>
          <w:rFonts w:ascii="Montserrat Medium" w:eastAsia="Times New Roman" w:hAnsi="Montserrat Medium"/>
          <w:color w:val="595959"/>
          <w:sz w:val="22"/>
          <w:szCs w:val="22"/>
          <w:lang w:eastAsia="es-MX"/>
        </w:rPr>
        <w:t xml:space="preserve">De acuerdo a los Lineamientos para la Integración y Funcionamiento de los Comités de Control y Desempeño Institucional (POE 07-11-2019) tal y como lo señala el Capítulo II Sección I, Artículos 22, 23, 24, 25 y 26, en donde especifica qué características deben de tener las reuniones así como la temporalidad de las mismas, señala entre otras cosas, la presentación y la aprobación de los </w:t>
      </w:r>
      <w:proofErr w:type="spellStart"/>
      <w:r w:rsidRPr="007D6966">
        <w:rPr>
          <w:rFonts w:ascii="Montserrat Medium" w:eastAsia="Times New Roman" w:hAnsi="Montserrat Medium"/>
          <w:color w:val="595959"/>
          <w:sz w:val="22"/>
          <w:szCs w:val="22"/>
          <w:lang w:eastAsia="es-MX"/>
        </w:rPr>
        <w:t>PTCIs</w:t>
      </w:r>
      <w:proofErr w:type="spellEnd"/>
      <w:r w:rsidRPr="007D6966">
        <w:rPr>
          <w:rFonts w:ascii="Montserrat Medium" w:eastAsia="Times New Roman" w:hAnsi="Montserrat Medium"/>
          <w:color w:val="595959"/>
          <w:sz w:val="22"/>
          <w:szCs w:val="22"/>
          <w:lang w:eastAsia="es-MX"/>
        </w:rPr>
        <w:t xml:space="preserve"> y posteriormente los avances en las actividades del mismo, así como que se debe de sesionar al menos una vez cada trimestre y los aspectos a deliberar en cada sesión.</w:t>
      </w:r>
    </w:p>
    <w:p w14:paraId="3B9026B3" w14:textId="77777777" w:rsidR="007D6966" w:rsidRPr="007D6966" w:rsidRDefault="007D6966" w:rsidP="002F131C">
      <w:pPr>
        <w:ind w:left="-2" w:hanging="2"/>
        <w:jc w:val="both"/>
        <w:rPr>
          <w:rFonts w:ascii="Montserrat Medium" w:eastAsia="Times New Roman" w:hAnsi="Montserrat Medium"/>
          <w:color w:val="595959"/>
          <w:sz w:val="22"/>
          <w:szCs w:val="22"/>
          <w:lang w:eastAsia="es-MX"/>
        </w:rPr>
      </w:pPr>
    </w:p>
    <w:p w14:paraId="07261B0B" w14:textId="77777777" w:rsidR="009C26EF" w:rsidRPr="009C26EF" w:rsidRDefault="009C26EF" w:rsidP="002F131C">
      <w:pPr>
        <w:ind w:left="-2" w:hanging="2"/>
        <w:jc w:val="both"/>
        <w:rPr>
          <w:rFonts w:ascii="Montserrat Medium" w:eastAsia="Times New Roman" w:hAnsi="Montserrat Medium"/>
          <w:color w:val="595959"/>
          <w:sz w:val="22"/>
          <w:szCs w:val="22"/>
          <w:lang w:eastAsia="es-MX"/>
        </w:rPr>
      </w:pPr>
      <w:r w:rsidRPr="009C26EF">
        <w:rPr>
          <w:rFonts w:ascii="Montserrat Medium" w:eastAsia="Times New Roman" w:hAnsi="Montserrat Medium"/>
          <w:color w:val="595959"/>
          <w:sz w:val="22"/>
          <w:szCs w:val="22"/>
          <w:lang w:eastAsia="es-MX"/>
        </w:rPr>
        <w:t>En el Segundo Trimestre del año 2025, con fecha de corte al 30 de junio, se ha llevado a cabo, la segunda sesión ordinaria del COCODI de la SEFIPLAN, el 30 de mayo del presente año, en donde se presentaron los avances de los PTCI y el avance de los objetivos institucionales de esta secretaría, además se solicitó a la Secretaría Anticorrupción y Buen Gobierno una prórroga para emitir la calificación del Informe Anual, con el fin de fortalecer las evidencias correspondientes.</w:t>
      </w:r>
    </w:p>
    <w:p w14:paraId="63928864" w14:textId="77777777" w:rsidR="007D6966" w:rsidRPr="007D6966" w:rsidRDefault="007D6966" w:rsidP="002F131C">
      <w:pPr>
        <w:ind w:left="-2" w:hanging="2"/>
        <w:jc w:val="both"/>
        <w:rPr>
          <w:rFonts w:ascii="Montserrat Medium" w:eastAsia="Times New Roman" w:hAnsi="Montserrat Medium"/>
          <w:color w:val="595959"/>
          <w:sz w:val="22"/>
          <w:szCs w:val="22"/>
          <w:lang w:eastAsia="es-MX"/>
        </w:rPr>
      </w:pPr>
    </w:p>
    <w:p w14:paraId="0787564C" w14:textId="77777777" w:rsidR="007D6966" w:rsidRPr="007D6966" w:rsidRDefault="007D6966" w:rsidP="002F131C">
      <w:pPr>
        <w:ind w:left="-2" w:hanging="2"/>
        <w:jc w:val="both"/>
        <w:rPr>
          <w:rFonts w:ascii="Montserrat Medium" w:eastAsia="Times New Roman" w:hAnsi="Montserrat Medium"/>
          <w:sz w:val="22"/>
          <w:szCs w:val="22"/>
          <w:lang w:eastAsia="es-MX"/>
        </w:rPr>
      </w:pPr>
      <w:r w:rsidRPr="007D6966">
        <w:rPr>
          <w:rFonts w:ascii="Montserrat Medium" w:eastAsia="Times New Roman" w:hAnsi="Montserrat Medium"/>
          <w:color w:val="595959"/>
          <w:sz w:val="22"/>
          <w:szCs w:val="22"/>
          <w:lang w:eastAsia="es-MX"/>
        </w:rPr>
        <w:t>En apego a las Políticas de Administración de Riesgos y los Lineamientos de la Metodología para la Identificación y Evaluación de Riesgos de los Procesos para la Administración Pública Central y Paraestatal del Estado de Quintana Roo (POE 07-11-2019), todas las instituciones deben llevar a cabo un Taller de Administración de Riesgos para que las unidades administrativas puedan realizar la identificación de riesgos en sus procesos y posteriormente definir controles que mitiguen o anulen los factores de riesgo detectadas. </w:t>
      </w:r>
    </w:p>
    <w:p w14:paraId="2B3EDDC3" w14:textId="77777777" w:rsidR="00B552D2" w:rsidRDefault="00B552D2" w:rsidP="002F131C">
      <w:pPr>
        <w:ind w:left="-2" w:hanging="2"/>
        <w:jc w:val="both"/>
        <w:rPr>
          <w:rFonts w:ascii="Montserrat Medium" w:eastAsia="Times New Roman" w:hAnsi="Montserrat Medium"/>
          <w:color w:val="595959"/>
          <w:sz w:val="22"/>
          <w:szCs w:val="22"/>
          <w:lang w:eastAsia="es-MX"/>
        </w:rPr>
      </w:pPr>
    </w:p>
    <w:p w14:paraId="05904C6F" w14:textId="77777777" w:rsidR="007D6966" w:rsidRPr="007D6966" w:rsidRDefault="007D6966" w:rsidP="002F131C">
      <w:pPr>
        <w:ind w:left="-2" w:hanging="2"/>
        <w:jc w:val="both"/>
        <w:rPr>
          <w:rFonts w:ascii="Montserrat Medium" w:eastAsia="Times New Roman" w:hAnsi="Montserrat Medium"/>
          <w:color w:val="595959"/>
          <w:sz w:val="22"/>
          <w:szCs w:val="22"/>
          <w:lang w:eastAsia="es-MX"/>
        </w:rPr>
      </w:pPr>
      <w:r w:rsidRPr="007D6966">
        <w:rPr>
          <w:rFonts w:ascii="Montserrat Medium" w:eastAsia="Times New Roman" w:hAnsi="Montserrat Medium"/>
          <w:color w:val="595959"/>
          <w:sz w:val="22"/>
          <w:szCs w:val="22"/>
          <w:lang w:eastAsia="es-MX"/>
        </w:rPr>
        <w:lastRenderedPageBreak/>
        <w:t>Asimismo, de forma anual se debe integrar un Informe Anual en apego a la Metodología para determinar el Estado que Guarda el Sistema de Control Institucional y los Lineamientos para la Elaboración y Presentación de su Informe para la Administración Pública Central y Paraestatal del Estado (POE 07-11-2019), dicho informe debe ser remitido a la Secretaría Anticorrupción y Buen Gobierno a más tardar el 28 de febrero de cada ejercicio. Además, en la Evaluación de este Informe Anual los titulares de los órganos de control (o los auditores especiales, en su defecto) remitirán una valoración cuantitativa (0 a 100) así como recomendaciones para mejorar los controles existentes o subsanar la ausencia de mecanismos de control. Cabe destacar que esta evaluación se realiza a partir de la evidencia que proporcionan los entes públicos relativos a la existencia y funcionamiento de los controles existentes.</w:t>
      </w:r>
    </w:p>
    <w:p w14:paraId="0BD0EBCF" w14:textId="77777777" w:rsidR="007D6966" w:rsidRPr="007D6966" w:rsidRDefault="007D6966" w:rsidP="002F131C">
      <w:pPr>
        <w:ind w:left="-2" w:hanging="2"/>
        <w:jc w:val="both"/>
        <w:rPr>
          <w:rFonts w:ascii="Montserrat Medium" w:eastAsia="Times New Roman" w:hAnsi="Montserrat Medium"/>
          <w:color w:val="595959"/>
          <w:sz w:val="22"/>
          <w:szCs w:val="22"/>
          <w:lang w:eastAsia="es-MX"/>
        </w:rPr>
      </w:pPr>
    </w:p>
    <w:p w14:paraId="68F3217D" w14:textId="77777777" w:rsidR="007D6966" w:rsidRPr="007D6966" w:rsidRDefault="007D6966" w:rsidP="002F131C">
      <w:pPr>
        <w:ind w:left="-2" w:hanging="2"/>
        <w:jc w:val="both"/>
        <w:rPr>
          <w:rFonts w:ascii="Montserrat Medium" w:eastAsia="Times New Roman" w:hAnsi="Montserrat Medium"/>
          <w:sz w:val="22"/>
          <w:szCs w:val="22"/>
          <w:lang w:eastAsia="es-MX"/>
        </w:rPr>
      </w:pPr>
      <w:r w:rsidRPr="007D6966">
        <w:rPr>
          <w:rFonts w:ascii="Montserrat Medium" w:eastAsia="Times New Roman" w:hAnsi="Montserrat Medium"/>
          <w:color w:val="595959"/>
          <w:sz w:val="22"/>
          <w:szCs w:val="22"/>
          <w:lang w:eastAsia="es-MX"/>
        </w:rPr>
        <w:t xml:space="preserve">En el mes de octubre del año 2024, se solicitó la información para el llenado de las matrices de Nivel Alto y Nivel Proceso, esto en apego a la normatividad de los Lineamientos para la Elaboración y Presentación de su Informe para la Administración Pública Central y Paraestatal del Estado de Quintana Roo, que establece que las instituciones determinaran el Estado que Guarda el Sistema de Control Interno Institucionalmente, entre el 15 de septiembre y el 15 de noviembre. </w:t>
      </w:r>
    </w:p>
    <w:p w14:paraId="5258A894" w14:textId="77777777" w:rsidR="007D6966" w:rsidRPr="007D6966" w:rsidRDefault="007D6966" w:rsidP="002F131C">
      <w:pPr>
        <w:rPr>
          <w:rFonts w:ascii="Montserrat Medium" w:eastAsia="Times New Roman" w:hAnsi="Montserrat Medium"/>
          <w:sz w:val="22"/>
          <w:szCs w:val="22"/>
          <w:lang w:eastAsia="es-MX"/>
        </w:rPr>
      </w:pPr>
    </w:p>
    <w:p w14:paraId="2E480C62" w14:textId="77777777" w:rsidR="007D6966" w:rsidRPr="007D6966" w:rsidRDefault="007D6966" w:rsidP="002F131C">
      <w:pPr>
        <w:ind w:left="-2" w:hanging="2"/>
        <w:jc w:val="both"/>
        <w:rPr>
          <w:rFonts w:ascii="Montserrat Medium" w:eastAsia="Times New Roman" w:hAnsi="Montserrat Medium"/>
          <w:sz w:val="22"/>
          <w:szCs w:val="22"/>
          <w:lang w:eastAsia="es-MX"/>
        </w:rPr>
      </w:pPr>
      <w:r w:rsidRPr="007D6966">
        <w:rPr>
          <w:rFonts w:ascii="Montserrat Medium" w:eastAsia="Times New Roman" w:hAnsi="Montserrat Medium"/>
          <w:color w:val="595959"/>
          <w:sz w:val="22"/>
          <w:szCs w:val="22"/>
          <w:lang w:eastAsia="es-MX"/>
        </w:rPr>
        <w:t>El Comité de Control y Desempeño Institucional de la Secretaría de Finanzas y Planeación seguirá realizando sus sesiones ordinarias en apego a la normatividad y vigilará el cumplimiento de los objetivos para alcanzar las metas establecidas. </w:t>
      </w:r>
    </w:p>
    <w:p w14:paraId="7D571846" w14:textId="77777777" w:rsidR="007D6966" w:rsidRPr="007D6966" w:rsidRDefault="007D6966" w:rsidP="002F131C">
      <w:pPr>
        <w:keepNext/>
        <w:keepLines/>
        <w:ind w:left="-2"/>
        <w:jc w:val="both"/>
        <w:rPr>
          <w:rFonts w:ascii="Montserrat Medium" w:eastAsia="Montserrat Medium" w:hAnsi="Montserrat Medium" w:cs="Montserrat Medium"/>
          <w:b/>
          <w:i/>
          <w:color w:val="595959"/>
          <w:sz w:val="22"/>
          <w:szCs w:val="22"/>
        </w:rPr>
      </w:pPr>
    </w:p>
    <w:p w14:paraId="1EA41B67" w14:textId="76CECAE4" w:rsidR="00A90C23" w:rsidRPr="009C26EF" w:rsidRDefault="00A90C23" w:rsidP="002F131C">
      <w:pPr>
        <w:pStyle w:val="Prrafodelista"/>
        <w:numPr>
          <w:ilvl w:val="0"/>
          <w:numId w:val="29"/>
        </w:numPr>
        <w:jc w:val="both"/>
        <w:rPr>
          <w:rFonts w:ascii="Montserrat Medium" w:eastAsia="Montserrat Medium" w:hAnsi="Montserrat Medium" w:cs="Montserrat Medium"/>
          <w:b/>
          <w:i/>
          <w:color w:val="595959"/>
          <w:sz w:val="22"/>
        </w:rPr>
      </w:pPr>
      <w:r w:rsidRPr="009C26EF">
        <w:rPr>
          <w:rFonts w:ascii="Montserrat Medium" w:eastAsia="Montserrat Medium" w:hAnsi="Montserrat Medium" w:cs="Montserrat Medium"/>
          <w:b/>
          <w:i/>
          <w:color w:val="595959"/>
          <w:sz w:val="22"/>
        </w:rPr>
        <w:t xml:space="preserve">Medidas de desempeño financiero, metas y alcance.  </w:t>
      </w:r>
    </w:p>
    <w:p w14:paraId="3F7E9960" w14:textId="77777777" w:rsidR="009C26EF" w:rsidRPr="009C26EF" w:rsidRDefault="009C26EF" w:rsidP="002F131C">
      <w:pPr>
        <w:ind w:left="-2"/>
        <w:jc w:val="both"/>
        <w:rPr>
          <w:rFonts w:ascii="Montserrat Medium" w:eastAsia="Montserrat Medium" w:hAnsi="Montserrat Medium" w:cs="Montserrat Medium"/>
          <w:b/>
          <w:i/>
          <w:color w:val="595959"/>
          <w:sz w:val="22"/>
        </w:rPr>
      </w:pPr>
    </w:p>
    <w:p w14:paraId="12C94610" w14:textId="77777777" w:rsidR="009C26EF" w:rsidRDefault="009C26EF" w:rsidP="002F131C">
      <w:pPr>
        <w:jc w:val="both"/>
        <w:rPr>
          <w:rFonts w:ascii="Montserrat Medium" w:eastAsia="Times New Roman" w:hAnsi="Montserrat Medium"/>
          <w:color w:val="595959"/>
          <w:sz w:val="22"/>
          <w:szCs w:val="22"/>
          <w:lang w:eastAsia="es-MX"/>
        </w:rPr>
      </w:pPr>
      <w:r w:rsidRPr="009C26EF">
        <w:rPr>
          <w:rFonts w:ascii="Montserrat Medium" w:eastAsia="Times New Roman" w:hAnsi="Montserrat Medium"/>
          <w:color w:val="595959"/>
          <w:sz w:val="22"/>
          <w:szCs w:val="22"/>
          <w:lang w:eastAsia="es-MX"/>
        </w:rPr>
        <w:t xml:space="preserve">En cumplimiento con la Ley General de Contabilidad Gubernamental y las normas emitidas por el Consejo Nacional de Armonización Contable (CONAC), se realizó la gestión para acceder al subsidio Fondo previsto en el Presupuesto de Egresos de la Federación 2025, para la Capacitación y Profesionalización de los servidores públicos en materia de Armonización Contable y para la Modernización de Tecnologías de la Información y Comunicaciones, a la fecha del 30 de junio se impartieron un total de 18 cursos, donde se vieron temas como Actividad Financiera del Estado, Principales Instrumentos para el Registro de Transacciones de los Entes Públicos, Orientación para el Registro contable de Remanentes, Disponibilidades, </w:t>
      </w:r>
      <w:proofErr w:type="spellStart"/>
      <w:r w:rsidRPr="009C26EF">
        <w:rPr>
          <w:rFonts w:ascii="Montserrat Medium" w:eastAsia="Times New Roman" w:hAnsi="Montserrat Medium"/>
          <w:color w:val="595959"/>
          <w:sz w:val="22"/>
          <w:szCs w:val="22"/>
          <w:lang w:eastAsia="es-MX"/>
        </w:rPr>
        <w:t>Adefas</w:t>
      </w:r>
      <w:proofErr w:type="spellEnd"/>
      <w:r w:rsidRPr="009C26EF">
        <w:rPr>
          <w:rFonts w:ascii="Montserrat Medium" w:eastAsia="Times New Roman" w:hAnsi="Montserrat Medium"/>
          <w:color w:val="595959"/>
          <w:sz w:val="22"/>
          <w:szCs w:val="22"/>
          <w:lang w:eastAsia="es-MX"/>
        </w:rPr>
        <w:t xml:space="preserve"> y Donativos, Orientación para el Registro contable de Devoluciones a la Ley de Ingresos, Reintegros a la TESOFE, pasivos laborales, cuentas por cobrar y fideicomisos, Tratamiento de las Transferencias Federales en la Contabilidad Gubernamental, Tratamiento Contable de la Obra Pública, Prevención de Observaciones: Mejores Prácticas para la Aplicación de los Recursos Federales, Actualización de la Ley de Disciplina Financiera. Implicaciones para los Entes Públicos, Reglas de Validación de los Estados Financieros, Interpretación de la Información Financiera Gubernamental, Aplicación Estratégica del Marco Jurídico y Operativo de los Recursos del Ramo 33: Fondos de Aportaciones Federales, Bases del Sistema de Participaciones en Ingresos Federales como Referencia para su Registro Contable en Entidades Federativas y Municipios y Sistema Nacional de Coordinación Fiscal y los Componentes a Considerar en los Informes Financieros.</w:t>
      </w:r>
    </w:p>
    <w:p w14:paraId="3046FF93" w14:textId="6562D560" w:rsidR="007F5499" w:rsidRPr="00D56579" w:rsidRDefault="009A191D" w:rsidP="002F131C">
      <w:pPr>
        <w:ind w:hanging="2"/>
        <w:jc w:val="both"/>
        <w:rPr>
          <w:rFonts w:ascii="Montserrat Medium" w:eastAsia="Times New Roman" w:hAnsi="Montserrat Medium" w:cs="Arial"/>
          <w:b/>
          <w:i/>
          <w:iCs/>
          <w:color w:val="595959"/>
          <w:sz w:val="22"/>
        </w:rPr>
      </w:pPr>
      <w:r>
        <w:rPr>
          <w:rFonts w:ascii="Montserrat Medium" w:eastAsia="Times New Roman" w:hAnsi="Montserrat Medium" w:cs="Arial"/>
          <w:b/>
          <w:i/>
          <w:iCs/>
          <w:color w:val="595959"/>
          <w:sz w:val="22"/>
        </w:rPr>
        <w:lastRenderedPageBreak/>
        <w:t>1</w:t>
      </w:r>
      <w:r w:rsidR="00412190" w:rsidRPr="00D56579">
        <w:rPr>
          <w:rFonts w:ascii="Montserrat Medium" w:eastAsia="Times New Roman" w:hAnsi="Montserrat Medium" w:cs="Arial"/>
          <w:b/>
          <w:i/>
          <w:iCs/>
          <w:color w:val="595959"/>
          <w:sz w:val="22"/>
        </w:rPr>
        <w:t>3.</w:t>
      </w:r>
      <w:r w:rsidR="008257FE" w:rsidRPr="00D56579">
        <w:rPr>
          <w:rFonts w:ascii="Montserrat Medium" w:eastAsia="Times New Roman" w:hAnsi="Montserrat Medium" w:cs="Arial"/>
          <w:b/>
          <w:i/>
          <w:iCs/>
          <w:color w:val="595959"/>
          <w:sz w:val="22"/>
        </w:rPr>
        <w:t xml:space="preserve"> Información por Segmentos</w:t>
      </w:r>
    </w:p>
    <w:p w14:paraId="37AA6A60" w14:textId="77777777" w:rsidR="007F5499" w:rsidRPr="00D56579" w:rsidRDefault="007F5499" w:rsidP="002F131C">
      <w:pPr>
        <w:ind w:hanging="2"/>
        <w:jc w:val="both"/>
        <w:rPr>
          <w:rFonts w:ascii="Montserrat Medium" w:eastAsia="Times New Roman" w:hAnsi="Montserrat Medium" w:cs="Arial"/>
          <w:b/>
          <w:i/>
          <w:iCs/>
          <w:color w:val="595959"/>
          <w:sz w:val="22"/>
        </w:rPr>
      </w:pPr>
    </w:p>
    <w:p w14:paraId="387212EC" w14:textId="77777777" w:rsidR="007F5499" w:rsidRDefault="008257FE" w:rsidP="002F131C">
      <w:pPr>
        <w:ind w:hanging="2"/>
        <w:jc w:val="both"/>
        <w:rPr>
          <w:rFonts w:ascii="Montserrat Medium" w:hAnsi="Montserrat Medium"/>
          <w:color w:val="595959"/>
          <w:sz w:val="22"/>
        </w:rPr>
      </w:pPr>
      <w:r w:rsidRPr="00D56579">
        <w:rPr>
          <w:rFonts w:ascii="Montserrat Medium" w:hAnsi="Montserrat Medium"/>
          <w:color w:val="595959"/>
          <w:sz w:val="22"/>
        </w:rPr>
        <w:t>Los estados financieros presentan la información con un detalle adecuado, por lo que no es necesario agregar información financiera segmentada adicional.</w:t>
      </w:r>
    </w:p>
    <w:p w14:paraId="5477664F" w14:textId="77777777" w:rsidR="00640249" w:rsidRPr="00D56579" w:rsidRDefault="00640249" w:rsidP="002F131C">
      <w:pPr>
        <w:ind w:hanging="2"/>
        <w:jc w:val="both"/>
        <w:rPr>
          <w:rFonts w:ascii="Montserrat Medium" w:hAnsi="Montserrat Medium"/>
          <w:color w:val="595959"/>
          <w:sz w:val="22"/>
        </w:rPr>
      </w:pPr>
    </w:p>
    <w:p w14:paraId="74DBA857" w14:textId="77777777" w:rsidR="007F5499" w:rsidRPr="00D56579" w:rsidRDefault="00A1177D" w:rsidP="002F131C">
      <w:pPr>
        <w:ind w:hanging="2"/>
        <w:jc w:val="both"/>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1</w:t>
      </w:r>
      <w:r w:rsidR="00412190" w:rsidRPr="00D56579">
        <w:rPr>
          <w:rFonts w:ascii="Montserrat Medium" w:eastAsia="Times New Roman" w:hAnsi="Montserrat Medium" w:cs="Arial"/>
          <w:b/>
          <w:i/>
          <w:iCs/>
          <w:color w:val="595959"/>
          <w:sz w:val="22"/>
        </w:rPr>
        <w:t>4.</w:t>
      </w:r>
      <w:r w:rsidR="008257FE" w:rsidRPr="00D56579">
        <w:rPr>
          <w:rFonts w:ascii="Montserrat Medium" w:eastAsia="Times New Roman" w:hAnsi="Montserrat Medium" w:cs="Arial"/>
          <w:b/>
          <w:i/>
          <w:iCs/>
          <w:color w:val="595959"/>
          <w:sz w:val="22"/>
        </w:rPr>
        <w:t xml:space="preserve"> Eventos Posteriores al Cierre</w:t>
      </w:r>
    </w:p>
    <w:p w14:paraId="14A9C19F" w14:textId="77777777" w:rsidR="007F5499" w:rsidRPr="00D56579" w:rsidRDefault="007F5499" w:rsidP="002F131C">
      <w:pPr>
        <w:ind w:hanging="2"/>
        <w:jc w:val="both"/>
        <w:rPr>
          <w:rFonts w:ascii="Montserrat Medium" w:eastAsia="Times New Roman" w:hAnsi="Montserrat Medium" w:cs="Arial"/>
          <w:b/>
          <w:i/>
          <w:iCs/>
          <w:color w:val="595959"/>
          <w:sz w:val="22"/>
        </w:rPr>
      </w:pPr>
    </w:p>
    <w:p w14:paraId="7CD4DB61" w14:textId="2A13CF7C" w:rsidR="009A191D" w:rsidRDefault="003731A1" w:rsidP="002F131C">
      <w:pPr>
        <w:ind w:hanging="2"/>
        <w:jc w:val="both"/>
        <w:rPr>
          <w:rFonts w:ascii="Montserrat Medium" w:hAnsi="Montserrat Medium"/>
          <w:color w:val="595959"/>
          <w:sz w:val="22"/>
        </w:rPr>
      </w:pPr>
      <w:r w:rsidRPr="00D56579">
        <w:rPr>
          <w:rFonts w:ascii="Montserrat Medium" w:hAnsi="Montserrat Medium"/>
          <w:color w:val="595959"/>
          <w:sz w:val="22"/>
        </w:rPr>
        <w:t>No</w:t>
      </w:r>
      <w:r w:rsidR="008257FE" w:rsidRPr="00D56579">
        <w:rPr>
          <w:rFonts w:ascii="Montserrat Medium" w:hAnsi="Montserrat Medium"/>
          <w:color w:val="595959"/>
          <w:sz w:val="22"/>
        </w:rPr>
        <w:t xml:space="preserve"> existen eventos que pudieran tener un efecto significativo en la información </w:t>
      </w:r>
      <w:r w:rsidRPr="00D56579">
        <w:rPr>
          <w:rFonts w:ascii="Montserrat Medium" w:hAnsi="Montserrat Medium"/>
          <w:color w:val="595959"/>
          <w:sz w:val="22"/>
        </w:rPr>
        <w:t xml:space="preserve">presentada en el periodo del 1° de enero </w:t>
      </w:r>
      <w:r w:rsidR="008257FE" w:rsidRPr="00D56579">
        <w:rPr>
          <w:rFonts w:ascii="Montserrat Medium" w:hAnsi="Montserrat Medium"/>
          <w:color w:val="595959"/>
          <w:sz w:val="22"/>
        </w:rPr>
        <w:t>a</w:t>
      </w:r>
      <w:r w:rsidR="00A4586C" w:rsidRPr="00D56579">
        <w:rPr>
          <w:rFonts w:ascii="Montserrat Medium" w:hAnsi="Montserrat Medium"/>
          <w:color w:val="595959"/>
          <w:sz w:val="22"/>
        </w:rPr>
        <w:t>l 3</w:t>
      </w:r>
      <w:r w:rsidR="009C26EF">
        <w:rPr>
          <w:rFonts w:ascii="Montserrat Medium" w:hAnsi="Montserrat Medium"/>
          <w:color w:val="595959"/>
          <w:sz w:val="22"/>
        </w:rPr>
        <w:t>0</w:t>
      </w:r>
      <w:r w:rsidR="00A4586C" w:rsidRPr="00D56579">
        <w:rPr>
          <w:rFonts w:ascii="Montserrat Medium" w:hAnsi="Montserrat Medium"/>
          <w:color w:val="595959"/>
          <w:sz w:val="22"/>
        </w:rPr>
        <w:t xml:space="preserve"> de </w:t>
      </w:r>
      <w:r w:rsidR="009C26EF">
        <w:rPr>
          <w:rFonts w:ascii="Montserrat Medium" w:hAnsi="Montserrat Medium"/>
          <w:color w:val="595959"/>
          <w:sz w:val="22"/>
        </w:rPr>
        <w:t>junio</w:t>
      </w:r>
      <w:r w:rsidR="00A4586C" w:rsidRPr="00D56579">
        <w:rPr>
          <w:rFonts w:ascii="Montserrat Medium" w:hAnsi="Montserrat Medium"/>
          <w:color w:val="595959"/>
          <w:sz w:val="22"/>
        </w:rPr>
        <w:t xml:space="preserve"> de 202</w:t>
      </w:r>
      <w:r w:rsidR="00961F32">
        <w:rPr>
          <w:rFonts w:ascii="Montserrat Medium" w:hAnsi="Montserrat Medium"/>
          <w:color w:val="595959"/>
          <w:sz w:val="22"/>
        </w:rPr>
        <w:t>5</w:t>
      </w:r>
      <w:r w:rsidR="008257FE" w:rsidRPr="00D56579">
        <w:rPr>
          <w:rFonts w:ascii="Montserrat Medium" w:hAnsi="Montserrat Medium"/>
          <w:color w:val="595959"/>
          <w:sz w:val="22"/>
        </w:rPr>
        <w:t>.</w:t>
      </w:r>
    </w:p>
    <w:p w14:paraId="197CCAA1" w14:textId="77777777" w:rsidR="009A191D" w:rsidRDefault="009A191D" w:rsidP="002F131C">
      <w:pPr>
        <w:ind w:hanging="2"/>
        <w:jc w:val="both"/>
        <w:rPr>
          <w:rFonts w:ascii="Montserrat Medium" w:hAnsi="Montserrat Medium"/>
          <w:color w:val="595959"/>
          <w:sz w:val="22"/>
        </w:rPr>
      </w:pPr>
    </w:p>
    <w:p w14:paraId="631A6D2C" w14:textId="77777777" w:rsidR="009A191D" w:rsidRDefault="00A1177D" w:rsidP="002F131C">
      <w:pPr>
        <w:ind w:hanging="2"/>
        <w:jc w:val="both"/>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1</w:t>
      </w:r>
      <w:r w:rsidR="00412190" w:rsidRPr="00D56579">
        <w:rPr>
          <w:rFonts w:ascii="Montserrat Medium" w:eastAsia="Times New Roman" w:hAnsi="Montserrat Medium" w:cs="Arial"/>
          <w:b/>
          <w:i/>
          <w:iCs/>
          <w:color w:val="595959"/>
          <w:sz w:val="22"/>
        </w:rPr>
        <w:t>5.</w:t>
      </w:r>
      <w:r w:rsidR="008257FE" w:rsidRPr="00D56579">
        <w:rPr>
          <w:rFonts w:ascii="Montserrat Medium" w:eastAsia="Times New Roman" w:hAnsi="Montserrat Medium" w:cs="Arial"/>
          <w:b/>
          <w:i/>
          <w:iCs/>
          <w:color w:val="595959"/>
          <w:sz w:val="22"/>
        </w:rPr>
        <w:t xml:space="preserve"> Partes Relacionadas</w:t>
      </w:r>
    </w:p>
    <w:p w14:paraId="79C50C1D" w14:textId="77777777" w:rsidR="009A191D" w:rsidRDefault="009A191D" w:rsidP="002F131C">
      <w:pPr>
        <w:ind w:hanging="2"/>
        <w:jc w:val="both"/>
        <w:rPr>
          <w:rFonts w:ascii="Montserrat Medium" w:eastAsia="Times New Roman" w:hAnsi="Montserrat Medium" w:cs="Arial"/>
          <w:b/>
          <w:i/>
          <w:iCs/>
          <w:color w:val="595959"/>
          <w:sz w:val="22"/>
        </w:rPr>
      </w:pPr>
    </w:p>
    <w:p w14:paraId="74796E0E" w14:textId="07DB0E6C" w:rsidR="002B37F7" w:rsidRPr="00D56579" w:rsidRDefault="008257FE" w:rsidP="002F131C">
      <w:pPr>
        <w:ind w:hanging="2"/>
        <w:jc w:val="both"/>
        <w:rPr>
          <w:rFonts w:ascii="Montserrat Medium" w:hAnsi="Montserrat Medium"/>
          <w:color w:val="595959"/>
          <w:sz w:val="22"/>
        </w:rPr>
      </w:pPr>
      <w:r w:rsidRPr="00D56579">
        <w:rPr>
          <w:rFonts w:ascii="Montserrat Medium" w:hAnsi="Montserrat Medium"/>
          <w:color w:val="595959"/>
          <w:sz w:val="22"/>
        </w:rPr>
        <w:t xml:space="preserve">No existen partes relacionadas que tengan influencia significativa en la toma de decisiones financieras y operativas de la administración de gobierno. </w:t>
      </w:r>
    </w:p>
    <w:p w14:paraId="559C39D0" w14:textId="77777777" w:rsidR="009A191D" w:rsidRDefault="009A191D" w:rsidP="002F131C">
      <w:pPr>
        <w:keepNext/>
        <w:keepLines/>
        <w:jc w:val="both"/>
        <w:outlineLvl w:val="6"/>
        <w:rPr>
          <w:rFonts w:ascii="Montserrat Medium" w:eastAsia="Times New Roman" w:hAnsi="Montserrat Medium" w:cs="Arial"/>
          <w:b/>
          <w:i/>
          <w:iCs/>
          <w:color w:val="595959"/>
          <w:sz w:val="22"/>
        </w:rPr>
      </w:pPr>
    </w:p>
    <w:p w14:paraId="57AF48E0" w14:textId="77777777" w:rsidR="002B37F7" w:rsidRPr="00D56579" w:rsidRDefault="00A1177D" w:rsidP="002F131C">
      <w:pPr>
        <w:keepNext/>
        <w:keepLines/>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1</w:t>
      </w:r>
      <w:r w:rsidR="00412190" w:rsidRPr="00D56579">
        <w:rPr>
          <w:rFonts w:ascii="Montserrat Medium" w:eastAsia="Times New Roman" w:hAnsi="Montserrat Medium" w:cs="Arial"/>
          <w:b/>
          <w:i/>
          <w:iCs/>
          <w:color w:val="595959"/>
          <w:sz w:val="22"/>
        </w:rPr>
        <w:t>6.</w:t>
      </w:r>
      <w:r w:rsidR="008257FE" w:rsidRPr="00D56579">
        <w:rPr>
          <w:rFonts w:ascii="Montserrat Medium" w:eastAsia="Times New Roman" w:hAnsi="Montserrat Medium" w:cs="Arial"/>
          <w:b/>
          <w:i/>
          <w:iCs/>
          <w:color w:val="595959"/>
          <w:sz w:val="22"/>
        </w:rPr>
        <w:t xml:space="preserve"> Responsabilidad Sobre la Presentación Razonable de la Información Contable</w:t>
      </w:r>
      <w:r w:rsidR="002B37F7" w:rsidRPr="00D56579">
        <w:rPr>
          <w:rFonts w:ascii="Montserrat Medium" w:eastAsia="Times New Roman" w:hAnsi="Montserrat Medium" w:cs="Arial"/>
          <w:b/>
          <w:i/>
          <w:iCs/>
          <w:color w:val="595959"/>
          <w:sz w:val="22"/>
        </w:rPr>
        <w:t xml:space="preserve"> </w:t>
      </w:r>
    </w:p>
    <w:p w14:paraId="7A8B954F" w14:textId="77777777" w:rsidR="00B71F3C" w:rsidRPr="00D56579" w:rsidRDefault="00B71F3C" w:rsidP="002F131C">
      <w:pPr>
        <w:keepNext/>
        <w:keepLines/>
        <w:jc w:val="both"/>
        <w:outlineLvl w:val="6"/>
        <w:rPr>
          <w:rFonts w:ascii="Montserrat Medium" w:eastAsia="Times New Roman" w:hAnsi="Montserrat Medium" w:cs="Arial"/>
          <w:b/>
          <w:i/>
          <w:iCs/>
          <w:color w:val="595959"/>
          <w:sz w:val="22"/>
        </w:rPr>
      </w:pPr>
    </w:p>
    <w:p w14:paraId="57EBF308" w14:textId="77777777" w:rsidR="00CC4862" w:rsidRPr="00D56579" w:rsidRDefault="00761D92" w:rsidP="002F131C">
      <w:pPr>
        <w:keepNext/>
        <w:keepLines/>
        <w:jc w:val="both"/>
        <w:outlineLvl w:val="6"/>
        <w:rPr>
          <w:rFonts w:ascii="Montserrat Medium" w:hAnsi="Montserrat Medium"/>
          <w:color w:val="595959"/>
          <w:sz w:val="22"/>
        </w:rPr>
      </w:pPr>
      <w:r w:rsidRPr="00D56579">
        <w:rPr>
          <w:rFonts w:ascii="Montserrat Medium" w:hAnsi="Montserrat Medium"/>
          <w:color w:val="595959"/>
          <w:sz w:val="22"/>
        </w:rPr>
        <w:t xml:space="preserve">A la fecha </w:t>
      </w:r>
      <w:r w:rsidR="000913CC" w:rsidRPr="00D56579">
        <w:rPr>
          <w:rFonts w:ascii="Montserrat Medium" w:hAnsi="Montserrat Medium"/>
          <w:color w:val="595959"/>
          <w:sz w:val="22"/>
        </w:rPr>
        <w:t>de presentación,</w:t>
      </w:r>
      <w:r w:rsidRPr="00D56579">
        <w:rPr>
          <w:rFonts w:ascii="Montserrat Medium" w:hAnsi="Montserrat Medium"/>
          <w:color w:val="595959"/>
          <w:sz w:val="22"/>
        </w:rPr>
        <w:t xml:space="preserve"> los Estados financieros contable</w:t>
      </w:r>
      <w:r w:rsidR="000913CC" w:rsidRPr="00D56579">
        <w:rPr>
          <w:rFonts w:ascii="Montserrat Medium" w:hAnsi="Montserrat Medium"/>
          <w:color w:val="595959"/>
          <w:sz w:val="22"/>
        </w:rPr>
        <w:t>s</w:t>
      </w:r>
      <w:r w:rsidRPr="00D56579">
        <w:rPr>
          <w:rFonts w:ascii="Montserrat Medium" w:hAnsi="Montserrat Medium"/>
          <w:color w:val="595959"/>
          <w:sz w:val="22"/>
        </w:rPr>
        <w:t xml:space="preserve"> </w:t>
      </w:r>
      <w:r w:rsidR="000913CC" w:rsidRPr="00D56579">
        <w:rPr>
          <w:rFonts w:ascii="Montserrat Medium" w:hAnsi="Montserrat Medium"/>
          <w:color w:val="595959"/>
          <w:sz w:val="22"/>
        </w:rPr>
        <w:t xml:space="preserve">están firmados y contienen la leyenda </w:t>
      </w:r>
      <w:r w:rsidR="00A1177D" w:rsidRPr="00D56579">
        <w:rPr>
          <w:rFonts w:ascii="Montserrat Medium" w:hAnsi="Montserrat Medium"/>
          <w:color w:val="595959"/>
          <w:sz w:val="22"/>
        </w:rPr>
        <w:t>“Bajo protesta de decir verdad declaramos que los Estados Financieros y sus Notas, son razonablemente correctos y s</w:t>
      </w:r>
      <w:r w:rsidR="00CC4862" w:rsidRPr="00D56579">
        <w:rPr>
          <w:rFonts w:ascii="Montserrat Medium" w:hAnsi="Montserrat Medium"/>
          <w:color w:val="595959"/>
          <w:sz w:val="22"/>
        </w:rPr>
        <w:t>on responsabilidad del emisor”.</w:t>
      </w:r>
    </w:p>
    <w:p w14:paraId="4DA973AE" w14:textId="77777777" w:rsidR="001E0831" w:rsidRPr="00D56579" w:rsidRDefault="001E0831" w:rsidP="002F131C">
      <w:pPr>
        <w:rPr>
          <w:rFonts w:ascii="Montserrat Medium" w:eastAsia="Times New Roman" w:hAnsi="Montserrat Medium" w:cs="Arial"/>
          <w:b/>
          <w:i/>
          <w:iCs/>
          <w:color w:val="595959"/>
          <w:szCs w:val="28"/>
        </w:rPr>
      </w:pPr>
    </w:p>
    <w:p w14:paraId="0C9D9919" w14:textId="3C08387B" w:rsidR="00A1177D" w:rsidRPr="00D56579" w:rsidRDefault="00412190" w:rsidP="002F131C">
      <w:pPr>
        <w:rPr>
          <w:rFonts w:ascii="Montserrat Medium" w:eastAsia="Times New Roman" w:hAnsi="Montserrat Medium" w:cs="Arial"/>
          <w:b/>
          <w:i/>
          <w:iCs/>
          <w:color w:val="595959"/>
          <w:szCs w:val="28"/>
        </w:rPr>
      </w:pPr>
      <w:r w:rsidRPr="00D56579">
        <w:rPr>
          <w:rFonts w:ascii="Montserrat Medium" w:eastAsia="Times New Roman" w:hAnsi="Montserrat Medium" w:cs="Arial"/>
          <w:b/>
          <w:i/>
          <w:iCs/>
          <w:color w:val="595959"/>
          <w:szCs w:val="28"/>
        </w:rPr>
        <w:t>b)</w:t>
      </w:r>
      <w:r w:rsidR="001E3866" w:rsidRPr="00D56579">
        <w:rPr>
          <w:rFonts w:ascii="Montserrat Medium" w:eastAsia="Times New Roman" w:hAnsi="Montserrat Medium" w:cs="Arial"/>
          <w:b/>
          <w:i/>
          <w:iCs/>
          <w:color w:val="595959"/>
          <w:szCs w:val="28"/>
        </w:rPr>
        <w:t xml:space="preserve"> NOTAS DE DESGLOSE</w:t>
      </w:r>
    </w:p>
    <w:p w14:paraId="150701B7" w14:textId="77777777" w:rsidR="00A60B5A" w:rsidRPr="00D56579" w:rsidRDefault="00A60B5A" w:rsidP="002F131C">
      <w:pPr>
        <w:keepNext/>
        <w:keepLines/>
        <w:jc w:val="center"/>
        <w:outlineLvl w:val="6"/>
        <w:rPr>
          <w:rFonts w:ascii="Montserrat Medium" w:eastAsia="Times New Roman" w:hAnsi="Montserrat Medium" w:cs="Arial"/>
          <w:b/>
          <w:i/>
          <w:iCs/>
          <w:color w:val="595959"/>
          <w:sz w:val="14"/>
          <w:szCs w:val="20"/>
        </w:rPr>
      </w:pPr>
    </w:p>
    <w:p w14:paraId="48D994B5" w14:textId="77777777" w:rsidR="00A1177D" w:rsidRPr="00D56579" w:rsidRDefault="00412190" w:rsidP="002F131C">
      <w:pPr>
        <w:keepNext/>
        <w:keepLines/>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 xml:space="preserve">I) </w:t>
      </w:r>
      <w:r w:rsidR="00A1177D" w:rsidRPr="00D56579">
        <w:rPr>
          <w:rFonts w:ascii="Montserrat Medium" w:eastAsia="Times New Roman" w:hAnsi="Montserrat Medium" w:cs="Arial"/>
          <w:b/>
          <w:i/>
          <w:iCs/>
          <w:color w:val="595959"/>
          <w:sz w:val="22"/>
        </w:rPr>
        <w:t>NOTAS AL ESTADO DE ACTIVIDADES</w:t>
      </w:r>
    </w:p>
    <w:p w14:paraId="5E2ACBAE" w14:textId="77777777" w:rsidR="008768C0" w:rsidRPr="00D56579" w:rsidRDefault="008768C0" w:rsidP="002F131C">
      <w:pPr>
        <w:rPr>
          <w:rFonts w:ascii="Montserrat Medium" w:eastAsia="Times New Roman" w:hAnsi="Montserrat Medium" w:cs="Arial"/>
          <w:b/>
          <w:i/>
          <w:color w:val="595959"/>
          <w:sz w:val="22"/>
          <w:lang w:eastAsia="en-US"/>
        </w:rPr>
      </w:pPr>
    </w:p>
    <w:p w14:paraId="2AD4A994" w14:textId="46B211AD" w:rsidR="008768C0" w:rsidRPr="00C70CE4" w:rsidRDefault="00A1177D" w:rsidP="002F131C">
      <w:pPr>
        <w:pStyle w:val="Prrafodelista"/>
        <w:keepNext/>
        <w:keepLines/>
        <w:numPr>
          <w:ilvl w:val="0"/>
          <w:numId w:val="31"/>
        </w:numPr>
        <w:jc w:val="both"/>
        <w:outlineLvl w:val="6"/>
        <w:rPr>
          <w:rFonts w:ascii="Montserrat Medium" w:eastAsia="Times New Roman" w:hAnsi="Montserrat Medium" w:cs="Arial"/>
          <w:b/>
          <w:iCs/>
          <w:color w:val="595959"/>
          <w:sz w:val="22"/>
        </w:rPr>
      </w:pPr>
      <w:r w:rsidRPr="00C70CE4">
        <w:rPr>
          <w:rFonts w:ascii="Montserrat Medium" w:eastAsia="Times New Roman" w:hAnsi="Montserrat Medium" w:cs="Arial"/>
          <w:b/>
          <w:iCs/>
          <w:color w:val="595959"/>
          <w:sz w:val="22"/>
        </w:rPr>
        <w:t>Ingresos y Otros Beneficios</w:t>
      </w:r>
    </w:p>
    <w:p w14:paraId="636CD2D6" w14:textId="77777777" w:rsidR="003B3579" w:rsidRPr="00C70CE4" w:rsidRDefault="003B3579" w:rsidP="002F131C">
      <w:pPr>
        <w:keepNext/>
        <w:keepLines/>
        <w:ind w:left="720"/>
        <w:jc w:val="both"/>
        <w:outlineLvl w:val="6"/>
        <w:rPr>
          <w:rFonts w:ascii="Montserrat Medium" w:eastAsia="Times New Roman" w:hAnsi="Montserrat Medium" w:cs="Arial"/>
          <w:b/>
          <w:iCs/>
          <w:color w:val="595959"/>
          <w:sz w:val="22"/>
        </w:rPr>
      </w:pPr>
    </w:p>
    <w:p w14:paraId="3B7A64AA" w14:textId="77777777" w:rsidR="00A1177D" w:rsidRPr="00C70CE4" w:rsidRDefault="00A1177D" w:rsidP="002F131C">
      <w:pPr>
        <w:keepNext/>
        <w:keepLines/>
        <w:ind w:left="720"/>
        <w:jc w:val="both"/>
        <w:outlineLvl w:val="6"/>
        <w:rPr>
          <w:rFonts w:ascii="Montserrat Medium" w:eastAsia="Times New Roman" w:hAnsi="Montserrat Medium" w:cs="Arial"/>
          <w:b/>
          <w:iCs/>
          <w:color w:val="595959"/>
          <w:sz w:val="22"/>
        </w:rPr>
      </w:pPr>
      <w:r w:rsidRPr="00C70CE4">
        <w:rPr>
          <w:rFonts w:ascii="Montserrat Medium" w:eastAsia="Times New Roman" w:hAnsi="Montserrat Medium" w:cs="Arial"/>
          <w:b/>
          <w:iCs/>
          <w:color w:val="595959"/>
          <w:sz w:val="22"/>
        </w:rPr>
        <w:t>Ingresos de Gestión</w:t>
      </w:r>
    </w:p>
    <w:p w14:paraId="617495B0" w14:textId="77777777" w:rsidR="00A1177D" w:rsidRPr="009C26EF" w:rsidRDefault="00A1177D" w:rsidP="002F131C">
      <w:pPr>
        <w:jc w:val="both"/>
        <w:rPr>
          <w:rFonts w:ascii="Montserrat Medium" w:eastAsia="Times New Roman" w:hAnsi="Montserrat Medium" w:cs="Arial"/>
          <w:color w:val="595959"/>
          <w:sz w:val="22"/>
          <w:highlight w:val="yellow"/>
          <w:lang w:eastAsia="en-US"/>
        </w:rPr>
      </w:pPr>
    </w:p>
    <w:p w14:paraId="509F6929" w14:textId="34EB4EF5" w:rsidR="003F0151" w:rsidRDefault="00A1177D" w:rsidP="002F131C">
      <w:pPr>
        <w:jc w:val="both"/>
        <w:rPr>
          <w:rFonts w:ascii="Montserrat Medium" w:eastAsia="Times New Roman" w:hAnsi="Montserrat Medium" w:cs="Arial"/>
          <w:color w:val="595959"/>
          <w:sz w:val="22"/>
          <w:lang w:eastAsia="en-US"/>
        </w:rPr>
      </w:pPr>
      <w:r w:rsidRPr="00C70CE4">
        <w:rPr>
          <w:rFonts w:ascii="Montserrat Medium" w:eastAsia="Times New Roman" w:hAnsi="Montserrat Medium" w:cs="Arial"/>
          <w:color w:val="595959"/>
          <w:sz w:val="22"/>
          <w:lang w:eastAsia="en-US"/>
        </w:rPr>
        <w:t xml:space="preserve">Los ingresos de gestión corresponden a los impuestos, contribuciones y aportaciones de seguridad social, derechos, productos y aprovechamientos, así como la venta de bienes y servicios, </w:t>
      </w:r>
      <w:r w:rsidR="000901FA" w:rsidRPr="00C70CE4">
        <w:rPr>
          <w:rFonts w:ascii="Montserrat Medium" w:eastAsia="Times New Roman" w:hAnsi="Montserrat Medium" w:cs="Arial"/>
          <w:color w:val="595959"/>
          <w:sz w:val="22"/>
          <w:lang w:eastAsia="en-US"/>
        </w:rPr>
        <w:t>a</w:t>
      </w:r>
      <w:r w:rsidR="00A4586C" w:rsidRPr="00C70CE4">
        <w:rPr>
          <w:rFonts w:ascii="Montserrat Medium" w:eastAsia="Times New Roman" w:hAnsi="Montserrat Medium" w:cs="Arial"/>
          <w:color w:val="595959"/>
          <w:sz w:val="22"/>
          <w:lang w:eastAsia="en-US"/>
        </w:rPr>
        <w:t>l 3</w:t>
      </w:r>
      <w:r w:rsidR="00C70CE4" w:rsidRPr="00C70CE4">
        <w:rPr>
          <w:rFonts w:ascii="Montserrat Medium" w:eastAsia="Times New Roman" w:hAnsi="Montserrat Medium" w:cs="Arial"/>
          <w:color w:val="595959"/>
          <w:sz w:val="22"/>
          <w:lang w:eastAsia="en-US"/>
        </w:rPr>
        <w:t>0</w:t>
      </w:r>
      <w:r w:rsidR="00A4586C" w:rsidRPr="00C70CE4">
        <w:rPr>
          <w:rFonts w:ascii="Montserrat Medium" w:eastAsia="Times New Roman" w:hAnsi="Montserrat Medium" w:cs="Arial"/>
          <w:color w:val="595959"/>
          <w:sz w:val="22"/>
          <w:lang w:eastAsia="en-US"/>
        </w:rPr>
        <w:t xml:space="preserve"> de </w:t>
      </w:r>
      <w:r w:rsidR="00C70CE4" w:rsidRPr="00C70CE4">
        <w:rPr>
          <w:rFonts w:ascii="Montserrat Medium" w:eastAsia="Times New Roman" w:hAnsi="Montserrat Medium" w:cs="Arial"/>
          <w:color w:val="595959"/>
          <w:sz w:val="22"/>
          <w:lang w:eastAsia="en-US"/>
        </w:rPr>
        <w:t>junio</w:t>
      </w:r>
      <w:r w:rsidR="00A4586C" w:rsidRPr="00C70CE4">
        <w:rPr>
          <w:rFonts w:ascii="Montserrat Medium" w:eastAsia="Times New Roman" w:hAnsi="Montserrat Medium" w:cs="Arial"/>
          <w:color w:val="595959"/>
          <w:sz w:val="22"/>
          <w:lang w:eastAsia="en-US"/>
        </w:rPr>
        <w:t xml:space="preserve"> de 202</w:t>
      </w:r>
      <w:r w:rsidR="00613488" w:rsidRPr="00C70CE4">
        <w:rPr>
          <w:rFonts w:ascii="Montserrat Medium" w:eastAsia="Times New Roman" w:hAnsi="Montserrat Medium" w:cs="Arial"/>
          <w:color w:val="595959"/>
          <w:sz w:val="22"/>
          <w:lang w:eastAsia="en-US"/>
        </w:rPr>
        <w:t>5</w:t>
      </w:r>
      <w:r w:rsidRPr="00C70CE4">
        <w:rPr>
          <w:rFonts w:ascii="Montserrat Medium" w:eastAsia="Times New Roman" w:hAnsi="Montserrat Medium" w:cs="Arial"/>
          <w:color w:val="595959"/>
          <w:sz w:val="22"/>
          <w:lang w:eastAsia="en-US"/>
        </w:rPr>
        <w:t xml:space="preserve"> y </w:t>
      </w:r>
      <w:r w:rsidR="00434BD5" w:rsidRPr="00C70CE4">
        <w:rPr>
          <w:rFonts w:ascii="Montserrat Medium" w:eastAsia="Times New Roman" w:hAnsi="Montserrat Medium" w:cs="Arial"/>
          <w:color w:val="595959"/>
          <w:sz w:val="22"/>
          <w:lang w:eastAsia="en-US"/>
        </w:rPr>
        <w:t>ejercicio fiscal 202</w:t>
      </w:r>
      <w:r w:rsidR="00613488" w:rsidRPr="00C70CE4">
        <w:rPr>
          <w:rFonts w:ascii="Montserrat Medium" w:eastAsia="Times New Roman" w:hAnsi="Montserrat Medium" w:cs="Arial"/>
          <w:color w:val="595959"/>
          <w:sz w:val="22"/>
          <w:lang w:eastAsia="en-US"/>
        </w:rPr>
        <w:t>4</w:t>
      </w:r>
      <w:r w:rsidRPr="00C70CE4">
        <w:rPr>
          <w:rFonts w:ascii="Montserrat Medium" w:eastAsia="Times New Roman" w:hAnsi="Montserrat Medium" w:cs="Arial"/>
          <w:color w:val="595959"/>
          <w:sz w:val="22"/>
          <w:lang w:eastAsia="en-US"/>
        </w:rPr>
        <w:t>, se integran como sigue:</w:t>
      </w:r>
    </w:p>
    <w:p w14:paraId="096BDB3F" w14:textId="77777777" w:rsidR="00F8375F" w:rsidRPr="009C26EF" w:rsidRDefault="00F8375F" w:rsidP="002F131C">
      <w:pPr>
        <w:jc w:val="both"/>
        <w:rPr>
          <w:rFonts w:ascii="Montserrat Medium" w:eastAsia="Times New Roman" w:hAnsi="Montserrat Medium" w:cs="Arial"/>
          <w:color w:val="595959"/>
          <w:sz w:val="22"/>
          <w:highlight w:val="yellow"/>
          <w:lang w:eastAsia="en-US"/>
        </w:rPr>
      </w:pPr>
    </w:p>
    <w:tbl>
      <w:tblPr>
        <w:tblW w:w="9781" w:type="dxa"/>
        <w:tblInd w:w="212" w:type="dxa"/>
        <w:tblCellMar>
          <w:left w:w="70" w:type="dxa"/>
          <w:right w:w="70" w:type="dxa"/>
        </w:tblCellMar>
        <w:tblLook w:val="04A0" w:firstRow="1" w:lastRow="0" w:firstColumn="1" w:lastColumn="0" w:noHBand="0" w:noVBand="1"/>
      </w:tblPr>
      <w:tblGrid>
        <w:gridCol w:w="4394"/>
        <w:gridCol w:w="1985"/>
        <w:gridCol w:w="1709"/>
        <w:gridCol w:w="1693"/>
      </w:tblGrid>
      <w:tr w:rsidR="00613488" w:rsidRPr="009C26EF" w14:paraId="07C99602" w14:textId="77777777" w:rsidTr="00F8375F">
        <w:trPr>
          <w:trHeight w:val="495"/>
          <w:tblHeader/>
        </w:trPr>
        <w:tc>
          <w:tcPr>
            <w:tcW w:w="4394"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4B1A8FED" w14:textId="77777777" w:rsidR="00613488" w:rsidRPr="005C6630" w:rsidRDefault="00613488" w:rsidP="002F131C">
            <w:pPr>
              <w:jc w:val="center"/>
              <w:rPr>
                <w:rFonts w:ascii="Montserrat Medium" w:eastAsia="Times New Roman" w:hAnsi="Montserrat Medium" w:cs="Calibri"/>
                <w:b/>
                <w:bCs/>
                <w:color w:val="000000"/>
                <w:sz w:val="16"/>
                <w:szCs w:val="18"/>
                <w:lang w:val="es-MX" w:eastAsia="es-MX"/>
              </w:rPr>
            </w:pPr>
            <w:r w:rsidRPr="005C6630">
              <w:rPr>
                <w:rFonts w:ascii="Montserrat Medium" w:eastAsia="Times New Roman" w:hAnsi="Montserrat Medium" w:cs="Calibri"/>
                <w:b/>
                <w:bCs/>
                <w:color w:val="000000"/>
                <w:sz w:val="16"/>
                <w:szCs w:val="18"/>
                <w:lang w:val="es-MX" w:eastAsia="es-MX"/>
              </w:rPr>
              <w:t>Concepto</w:t>
            </w:r>
          </w:p>
        </w:tc>
        <w:tc>
          <w:tcPr>
            <w:tcW w:w="1985" w:type="dxa"/>
            <w:tcBorders>
              <w:top w:val="single" w:sz="8" w:space="0" w:color="auto"/>
              <w:left w:val="nil"/>
              <w:bottom w:val="single" w:sz="8" w:space="0" w:color="auto"/>
              <w:right w:val="single" w:sz="8" w:space="0" w:color="auto"/>
            </w:tcBorders>
            <w:shd w:val="clear" w:color="000000" w:fill="A6A6A6"/>
            <w:vAlign w:val="center"/>
            <w:hideMark/>
          </w:tcPr>
          <w:p w14:paraId="55104732" w14:textId="58129CFB" w:rsidR="00613488" w:rsidRPr="005C6630" w:rsidRDefault="00613488" w:rsidP="002F131C">
            <w:pPr>
              <w:jc w:val="center"/>
              <w:rPr>
                <w:rFonts w:ascii="Montserrat Medium" w:eastAsia="Times New Roman" w:hAnsi="Montserrat Medium" w:cs="Calibri"/>
                <w:b/>
                <w:bCs/>
                <w:color w:val="000000"/>
                <w:sz w:val="16"/>
                <w:szCs w:val="18"/>
                <w:lang w:val="es-MX" w:eastAsia="es-MX"/>
              </w:rPr>
            </w:pPr>
            <w:r w:rsidRPr="005C6630">
              <w:rPr>
                <w:rFonts w:ascii="Montserrat Medium" w:eastAsia="Times New Roman" w:hAnsi="Montserrat Medium" w:cs="Calibri"/>
                <w:b/>
                <w:bCs/>
                <w:color w:val="000000"/>
                <w:sz w:val="16"/>
                <w:szCs w:val="18"/>
                <w:lang w:val="es-MX" w:eastAsia="es-MX"/>
              </w:rPr>
              <w:t>Al 3</w:t>
            </w:r>
            <w:r w:rsidR="00C70CE4" w:rsidRPr="005C6630">
              <w:rPr>
                <w:rFonts w:ascii="Montserrat Medium" w:eastAsia="Times New Roman" w:hAnsi="Montserrat Medium" w:cs="Calibri"/>
                <w:b/>
                <w:bCs/>
                <w:color w:val="000000"/>
                <w:sz w:val="16"/>
                <w:szCs w:val="18"/>
                <w:lang w:val="es-MX" w:eastAsia="es-MX"/>
              </w:rPr>
              <w:t>0</w:t>
            </w:r>
            <w:r w:rsidRPr="005C6630">
              <w:rPr>
                <w:rFonts w:ascii="Montserrat Medium" w:eastAsia="Times New Roman" w:hAnsi="Montserrat Medium" w:cs="Calibri"/>
                <w:b/>
                <w:bCs/>
                <w:color w:val="000000"/>
                <w:sz w:val="16"/>
                <w:szCs w:val="18"/>
                <w:lang w:val="es-MX" w:eastAsia="es-MX"/>
              </w:rPr>
              <w:t xml:space="preserve"> de </w:t>
            </w:r>
            <w:r w:rsidR="00C70CE4" w:rsidRPr="005C6630">
              <w:rPr>
                <w:rFonts w:ascii="Montserrat Medium" w:eastAsia="Times New Roman" w:hAnsi="Montserrat Medium" w:cs="Calibri"/>
                <w:b/>
                <w:bCs/>
                <w:color w:val="000000"/>
                <w:sz w:val="16"/>
                <w:szCs w:val="18"/>
                <w:lang w:val="es-MX" w:eastAsia="es-MX"/>
              </w:rPr>
              <w:t>junio</w:t>
            </w:r>
            <w:r w:rsidRPr="005C6630">
              <w:rPr>
                <w:rFonts w:ascii="Montserrat Medium" w:eastAsia="Times New Roman" w:hAnsi="Montserrat Medium" w:cs="Calibri"/>
                <w:b/>
                <w:bCs/>
                <w:color w:val="000000"/>
                <w:sz w:val="16"/>
                <w:szCs w:val="18"/>
                <w:lang w:val="es-MX" w:eastAsia="es-MX"/>
              </w:rPr>
              <w:t xml:space="preserve"> de 2025</w:t>
            </w:r>
          </w:p>
        </w:tc>
        <w:tc>
          <w:tcPr>
            <w:tcW w:w="1709" w:type="dxa"/>
            <w:tcBorders>
              <w:top w:val="single" w:sz="8" w:space="0" w:color="auto"/>
              <w:left w:val="nil"/>
              <w:bottom w:val="single" w:sz="8" w:space="0" w:color="auto"/>
              <w:right w:val="single" w:sz="8" w:space="0" w:color="auto"/>
            </w:tcBorders>
            <w:shd w:val="clear" w:color="000000" w:fill="A6A6A6"/>
            <w:noWrap/>
            <w:vAlign w:val="center"/>
            <w:hideMark/>
          </w:tcPr>
          <w:p w14:paraId="6C8829AB" w14:textId="77777777" w:rsidR="00613488" w:rsidRPr="005C6630" w:rsidRDefault="00613488" w:rsidP="002F131C">
            <w:pPr>
              <w:jc w:val="center"/>
              <w:rPr>
                <w:rFonts w:ascii="Montserrat Medium" w:eastAsia="Times New Roman" w:hAnsi="Montserrat Medium" w:cs="Calibri"/>
                <w:b/>
                <w:bCs/>
                <w:color w:val="000000"/>
                <w:sz w:val="16"/>
                <w:szCs w:val="18"/>
                <w:lang w:val="es-MX" w:eastAsia="es-MX"/>
              </w:rPr>
            </w:pPr>
            <w:r w:rsidRPr="005C6630">
              <w:rPr>
                <w:rFonts w:ascii="Montserrat Medium" w:eastAsia="Times New Roman" w:hAnsi="Montserrat Medium" w:cs="Calibri"/>
                <w:b/>
                <w:bCs/>
                <w:color w:val="000000"/>
                <w:sz w:val="16"/>
                <w:szCs w:val="18"/>
                <w:lang w:val="es-MX" w:eastAsia="es-MX"/>
              </w:rPr>
              <w:t>2024</w:t>
            </w:r>
          </w:p>
        </w:tc>
        <w:tc>
          <w:tcPr>
            <w:tcW w:w="1693" w:type="dxa"/>
            <w:tcBorders>
              <w:top w:val="single" w:sz="8" w:space="0" w:color="auto"/>
              <w:left w:val="nil"/>
              <w:bottom w:val="single" w:sz="8" w:space="0" w:color="auto"/>
              <w:right w:val="single" w:sz="8" w:space="0" w:color="auto"/>
            </w:tcBorders>
            <w:shd w:val="clear" w:color="000000" w:fill="A6A6A6"/>
            <w:noWrap/>
            <w:vAlign w:val="center"/>
            <w:hideMark/>
          </w:tcPr>
          <w:p w14:paraId="3EB38387" w14:textId="77777777" w:rsidR="00613488" w:rsidRPr="005C6630" w:rsidRDefault="00613488" w:rsidP="002F131C">
            <w:pPr>
              <w:jc w:val="center"/>
              <w:rPr>
                <w:rFonts w:ascii="Montserrat Medium" w:eastAsia="Times New Roman" w:hAnsi="Montserrat Medium" w:cs="Calibri"/>
                <w:b/>
                <w:bCs/>
                <w:color w:val="000000"/>
                <w:sz w:val="16"/>
                <w:szCs w:val="18"/>
                <w:lang w:val="es-MX" w:eastAsia="es-MX"/>
              </w:rPr>
            </w:pPr>
            <w:r w:rsidRPr="005C6630">
              <w:rPr>
                <w:rFonts w:ascii="Montserrat Medium" w:eastAsia="Times New Roman" w:hAnsi="Montserrat Medium" w:cs="Calibri"/>
                <w:b/>
                <w:bCs/>
                <w:color w:val="000000"/>
                <w:sz w:val="16"/>
                <w:szCs w:val="18"/>
                <w:lang w:val="es-MX" w:eastAsia="es-MX"/>
              </w:rPr>
              <w:t>Variación</w:t>
            </w:r>
          </w:p>
        </w:tc>
      </w:tr>
      <w:tr w:rsidR="005C6630" w:rsidRPr="009C26EF" w14:paraId="4E41BC8D" w14:textId="77777777" w:rsidTr="00F8375F">
        <w:trPr>
          <w:trHeight w:val="300"/>
        </w:trPr>
        <w:tc>
          <w:tcPr>
            <w:tcW w:w="4394" w:type="dxa"/>
            <w:tcBorders>
              <w:top w:val="nil"/>
              <w:left w:val="single" w:sz="8" w:space="0" w:color="auto"/>
              <w:bottom w:val="nil"/>
              <w:right w:val="single" w:sz="8" w:space="0" w:color="auto"/>
            </w:tcBorders>
            <w:shd w:val="clear" w:color="000000" w:fill="BFBFBF"/>
            <w:vAlign w:val="center"/>
            <w:hideMark/>
          </w:tcPr>
          <w:p w14:paraId="5B8C7489" w14:textId="77777777" w:rsidR="005C6630" w:rsidRPr="005C6630" w:rsidRDefault="005C6630" w:rsidP="002F131C">
            <w:pPr>
              <w:rPr>
                <w:rFonts w:ascii="Montserrat Medium" w:eastAsia="Times New Roman" w:hAnsi="Montserrat Medium" w:cs="Calibri"/>
                <w:b/>
                <w:bCs/>
                <w:color w:val="000000"/>
                <w:sz w:val="16"/>
                <w:szCs w:val="18"/>
                <w:lang w:val="es-MX" w:eastAsia="es-MX"/>
              </w:rPr>
            </w:pPr>
            <w:r w:rsidRPr="005C6630">
              <w:rPr>
                <w:rFonts w:ascii="Montserrat Medium" w:eastAsia="Times New Roman" w:hAnsi="Montserrat Medium" w:cs="Calibri"/>
                <w:b/>
                <w:bCs/>
                <w:color w:val="000000"/>
                <w:sz w:val="16"/>
                <w:szCs w:val="18"/>
                <w:lang w:val="es-MX" w:eastAsia="es-MX"/>
              </w:rPr>
              <w:t>Impuestos</w:t>
            </w:r>
          </w:p>
        </w:tc>
        <w:tc>
          <w:tcPr>
            <w:tcW w:w="1985" w:type="dxa"/>
            <w:tcBorders>
              <w:top w:val="nil"/>
              <w:left w:val="nil"/>
              <w:bottom w:val="nil"/>
              <w:right w:val="single" w:sz="8" w:space="0" w:color="auto"/>
            </w:tcBorders>
            <w:shd w:val="clear" w:color="000000" w:fill="BFBFBF"/>
            <w:noWrap/>
            <w:vAlign w:val="center"/>
            <w:hideMark/>
          </w:tcPr>
          <w:p w14:paraId="365F933F" w14:textId="1E43A0F8"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5,894,312,552.41</w:t>
            </w:r>
          </w:p>
        </w:tc>
        <w:tc>
          <w:tcPr>
            <w:tcW w:w="1709" w:type="dxa"/>
            <w:tcBorders>
              <w:top w:val="nil"/>
              <w:left w:val="nil"/>
              <w:bottom w:val="nil"/>
              <w:right w:val="single" w:sz="8" w:space="0" w:color="auto"/>
            </w:tcBorders>
            <w:shd w:val="clear" w:color="000000" w:fill="BFBFBF"/>
            <w:noWrap/>
            <w:vAlign w:val="center"/>
            <w:hideMark/>
          </w:tcPr>
          <w:p w14:paraId="0BA0ABCF" w14:textId="73327C9D"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10,086,781,440.55</w:t>
            </w:r>
          </w:p>
        </w:tc>
        <w:tc>
          <w:tcPr>
            <w:tcW w:w="1693" w:type="dxa"/>
            <w:tcBorders>
              <w:top w:val="nil"/>
              <w:left w:val="nil"/>
              <w:bottom w:val="nil"/>
              <w:right w:val="single" w:sz="8" w:space="0" w:color="auto"/>
            </w:tcBorders>
            <w:shd w:val="clear" w:color="000000" w:fill="BFBFBF"/>
            <w:noWrap/>
            <w:vAlign w:val="center"/>
            <w:hideMark/>
          </w:tcPr>
          <w:p w14:paraId="2DEBE876" w14:textId="1E160E2F"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-4,195,030,488.14</w:t>
            </w:r>
          </w:p>
        </w:tc>
      </w:tr>
      <w:tr w:rsidR="005C6630" w:rsidRPr="009C26EF" w14:paraId="6220CABD" w14:textId="77777777" w:rsidTr="00F8375F">
        <w:trPr>
          <w:trHeight w:val="247"/>
        </w:trPr>
        <w:tc>
          <w:tcPr>
            <w:tcW w:w="4394" w:type="dxa"/>
            <w:tcBorders>
              <w:top w:val="nil"/>
              <w:left w:val="single" w:sz="8" w:space="0" w:color="auto"/>
              <w:bottom w:val="nil"/>
              <w:right w:val="single" w:sz="8" w:space="0" w:color="auto"/>
            </w:tcBorders>
            <w:shd w:val="clear" w:color="auto" w:fill="auto"/>
            <w:vAlign w:val="center"/>
            <w:hideMark/>
          </w:tcPr>
          <w:p w14:paraId="4AEB4437" w14:textId="77777777" w:rsidR="005C6630" w:rsidRPr="005C6630" w:rsidRDefault="005C6630" w:rsidP="002F131C">
            <w:pPr>
              <w:rPr>
                <w:rFonts w:ascii="Montserrat Medium" w:eastAsia="Times New Roman" w:hAnsi="Montserrat Medium" w:cs="Calibri"/>
                <w:b/>
                <w:bCs/>
                <w:color w:val="000000"/>
                <w:sz w:val="16"/>
                <w:szCs w:val="18"/>
                <w:lang w:val="es-MX" w:eastAsia="es-MX"/>
              </w:rPr>
            </w:pPr>
            <w:r w:rsidRPr="005C6630">
              <w:rPr>
                <w:rFonts w:ascii="Montserrat Medium" w:eastAsia="Times New Roman" w:hAnsi="Montserrat Medium" w:cs="Calibri"/>
                <w:b/>
                <w:bCs/>
                <w:color w:val="000000"/>
                <w:sz w:val="16"/>
                <w:szCs w:val="18"/>
                <w:lang w:val="es-MX" w:eastAsia="es-MX"/>
              </w:rPr>
              <w:t>Impuestos sobre los ingresos</w:t>
            </w:r>
          </w:p>
        </w:tc>
        <w:tc>
          <w:tcPr>
            <w:tcW w:w="1985" w:type="dxa"/>
            <w:tcBorders>
              <w:top w:val="nil"/>
              <w:left w:val="nil"/>
              <w:bottom w:val="nil"/>
              <w:right w:val="single" w:sz="8" w:space="0" w:color="auto"/>
            </w:tcBorders>
            <w:shd w:val="clear" w:color="auto" w:fill="auto"/>
            <w:noWrap/>
            <w:vAlign w:val="center"/>
            <w:hideMark/>
          </w:tcPr>
          <w:p w14:paraId="3EA4C766" w14:textId="3CD7CC7A"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115,427,064.00</w:t>
            </w:r>
          </w:p>
        </w:tc>
        <w:tc>
          <w:tcPr>
            <w:tcW w:w="1709" w:type="dxa"/>
            <w:tcBorders>
              <w:top w:val="nil"/>
              <w:left w:val="nil"/>
              <w:bottom w:val="nil"/>
              <w:right w:val="single" w:sz="8" w:space="0" w:color="auto"/>
            </w:tcBorders>
            <w:shd w:val="clear" w:color="auto" w:fill="auto"/>
            <w:noWrap/>
            <w:vAlign w:val="center"/>
            <w:hideMark/>
          </w:tcPr>
          <w:p w14:paraId="52827097" w14:textId="5E0F4CDC"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236,437,871.00</w:t>
            </w:r>
          </w:p>
        </w:tc>
        <w:tc>
          <w:tcPr>
            <w:tcW w:w="1693" w:type="dxa"/>
            <w:tcBorders>
              <w:top w:val="nil"/>
              <w:left w:val="nil"/>
              <w:bottom w:val="nil"/>
              <w:right w:val="single" w:sz="8" w:space="0" w:color="auto"/>
            </w:tcBorders>
            <w:shd w:val="clear" w:color="auto" w:fill="auto"/>
            <w:noWrap/>
            <w:vAlign w:val="center"/>
            <w:hideMark/>
          </w:tcPr>
          <w:p w14:paraId="71263734" w14:textId="23F600DB"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-121,010,807.00</w:t>
            </w:r>
          </w:p>
        </w:tc>
      </w:tr>
      <w:tr w:rsidR="005C6630" w:rsidRPr="009C26EF" w14:paraId="12E204F2" w14:textId="77777777" w:rsidTr="00F8375F">
        <w:trPr>
          <w:trHeight w:val="300"/>
        </w:trPr>
        <w:tc>
          <w:tcPr>
            <w:tcW w:w="4394" w:type="dxa"/>
            <w:tcBorders>
              <w:top w:val="nil"/>
              <w:left w:val="single" w:sz="8" w:space="0" w:color="auto"/>
              <w:bottom w:val="nil"/>
              <w:right w:val="single" w:sz="8" w:space="0" w:color="auto"/>
            </w:tcBorders>
            <w:shd w:val="clear" w:color="auto" w:fill="auto"/>
            <w:vAlign w:val="center"/>
            <w:hideMark/>
          </w:tcPr>
          <w:p w14:paraId="1F0E9073"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Sobre Libre Ejercicio de Profesiones</w:t>
            </w:r>
          </w:p>
        </w:tc>
        <w:tc>
          <w:tcPr>
            <w:tcW w:w="1985" w:type="dxa"/>
            <w:tcBorders>
              <w:top w:val="nil"/>
              <w:left w:val="nil"/>
              <w:bottom w:val="nil"/>
              <w:right w:val="single" w:sz="8" w:space="0" w:color="auto"/>
            </w:tcBorders>
            <w:shd w:val="clear" w:color="auto" w:fill="auto"/>
            <w:noWrap/>
            <w:vAlign w:val="center"/>
            <w:hideMark/>
          </w:tcPr>
          <w:p w14:paraId="0CC852D0" w14:textId="17A0AEC1"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17,417,255.00</w:t>
            </w:r>
          </w:p>
        </w:tc>
        <w:tc>
          <w:tcPr>
            <w:tcW w:w="1709" w:type="dxa"/>
            <w:tcBorders>
              <w:top w:val="nil"/>
              <w:left w:val="nil"/>
              <w:bottom w:val="nil"/>
              <w:right w:val="single" w:sz="8" w:space="0" w:color="auto"/>
            </w:tcBorders>
            <w:shd w:val="clear" w:color="auto" w:fill="auto"/>
            <w:noWrap/>
            <w:vAlign w:val="center"/>
            <w:hideMark/>
          </w:tcPr>
          <w:p w14:paraId="7C1DB087" w14:textId="26A8D176"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28,280,996.00</w:t>
            </w:r>
          </w:p>
        </w:tc>
        <w:tc>
          <w:tcPr>
            <w:tcW w:w="1693" w:type="dxa"/>
            <w:tcBorders>
              <w:top w:val="nil"/>
              <w:left w:val="nil"/>
              <w:bottom w:val="nil"/>
              <w:right w:val="single" w:sz="8" w:space="0" w:color="auto"/>
            </w:tcBorders>
            <w:shd w:val="clear" w:color="auto" w:fill="auto"/>
            <w:noWrap/>
            <w:vAlign w:val="center"/>
            <w:hideMark/>
          </w:tcPr>
          <w:p w14:paraId="1A0A2960" w14:textId="651562CB"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-10,863,741.00</w:t>
            </w:r>
          </w:p>
        </w:tc>
      </w:tr>
      <w:tr w:rsidR="005C6630" w:rsidRPr="009C26EF" w14:paraId="3175335A" w14:textId="77777777" w:rsidTr="00B552D2">
        <w:trPr>
          <w:trHeight w:val="213"/>
        </w:trPr>
        <w:tc>
          <w:tcPr>
            <w:tcW w:w="4394" w:type="dxa"/>
            <w:tcBorders>
              <w:top w:val="nil"/>
              <w:left w:val="single" w:sz="8" w:space="0" w:color="auto"/>
              <w:right w:val="single" w:sz="8" w:space="0" w:color="auto"/>
            </w:tcBorders>
            <w:shd w:val="clear" w:color="auto" w:fill="auto"/>
            <w:vAlign w:val="center"/>
            <w:hideMark/>
          </w:tcPr>
          <w:p w14:paraId="03E46CD1"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Cedular por la enajenación de bienes inmuebles</w:t>
            </w:r>
          </w:p>
        </w:tc>
        <w:tc>
          <w:tcPr>
            <w:tcW w:w="1985" w:type="dxa"/>
            <w:tcBorders>
              <w:top w:val="nil"/>
              <w:left w:val="nil"/>
              <w:right w:val="single" w:sz="8" w:space="0" w:color="auto"/>
            </w:tcBorders>
            <w:shd w:val="clear" w:color="auto" w:fill="auto"/>
            <w:noWrap/>
            <w:vAlign w:val="center"/>
            <w:hideMark/>
          </w:tcPr>
          <w:p w14:paraId="6D2F4A8A" w14:textId="2C2EC44D"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65,344,983.00</w:t>
            </w:r>
          </w:p>
        </w:tc>
        <w:tc>
          <w:tcPr>
            <w:tcW w:w="1709" w:type="dxa"/>
            <w:tcBorders>
              <w:top w:val="nil"/>
              <w:left w:val="nil"/>
              <w:right w:val="single" w:sz="8" w:space="0" w:color="auto"/>
            </w:tcBorders>
            <w:shd w:val="clear" w:color="auto" w:fill="auto"/>
            <w:noWrap/>
            <w:vAlign w:val="center"/>
            <w:hideMark/>
          </w:tcPr>
          <w:p w14:paraId="4A4B8E50" w14:textId="04F22611"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138,284,963.00</w:t>
            </w:r>
          </w:p>
        </w:tc>
        <w:tc>
          <w:tcPr>
            <w:tcW w:w="1693" w:type="dxa"/>
            <w:tcBorders>
              <w:top w:val="nil"/>
              <w:left w:val="nil"/>
              <w:right w:val="single" w:sz="8" w:space="0" w:color="auto"/>
            </w:tcBorders>
            <w:shd w:val="clear" w:color="auto" w:fill="auto"/>
            <w:noWrap/>
            <w:vAlign w:val="center"/>
            <w:hideMark/>
          </w:tcPr>
          <w:p w14:paraId="4F9F6868" w14:textId="36F68D3B"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-72,939,980.00</w:t>
            </w:r>
          </w:p>
        </w:tc>
      </w:tr>
      <w:tr w:rsidR="005C6630" w:rsidRPr="009C26EF" w14:paraId="4A0651B0" w14:textId="77777777" w:rsidTr="00B552D2">
        <w:trPr>
          <w:trHeight w:val="300"/>
        </w:trPr>
        <w:tc>
          <w:tcPr>
            <w:tcW w:w="4394" w:type="dxa"/>
            <w:tcBorders>
              <w:top w:val="nil"/>
              <w:left w:val="single" w:sz="8" w:space="0" w:color="auto"/>
              <w:right w:val="single" w:sz="8" w:space="0" w:color="auto"/>
            </w:tcBorders>
            <w:shd w:val="clear" w:color="auto" w:fill="auto"/>
            <w:vAlign w:val="center"/>
            <w:hideMark/>
          </w:tcPr>
          <w:p w14:paraId="783FC7CD"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A las erogaciones en juegos y concursos</w:t>
            </w:r>
          </w:p>
        </w:tc>
        <w:tc>
          <w:tcPr>
            <w:tcW w:w="1985" w:type="dxa"/>
            <w:tcBorders>
              <w:top w:val="nil"/>
              <w:left w:val="nil"/>
              <w:right w:val="single" w:sz="8" w:space="0" w:color="auto"/>
            </w:tcBorders>
            <w:shd w:val="clear" w:color="auto" w:fill="auto"/>
            <w:noWrap/>
            <w:vAlign w:val="center"/>
            <w:hideMark/>
          </w:tcPr>
          <w:p w14:paraId="41E107F2" w14:textId="09AD3F76"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30,862,756.00</w:t>
            </w:r>
          </w:p>
        </w:tc>
        <w:tc>
          <w:tcPr>
            <w:tcW w:w="1709" w:type="dxa"/>
            <w:tcBorders>
              <w:top w:val="nil"/>
              <w:left w:val="nil"/>
              <w:right w:val="single" w:sz="8" w:space="0" w:color="auto"/>
            </w:tcBorders>
            <w:shd w:val="clear" w:color="auto" w:fill="auto"/>
            <w:noWrap/>
            <w:vAlign w:val="center"/>
            <w:hideMark/>
          </w:tcPr>
          <w:p w14:paraId="70FAAE25" w14:textId="78B7B875"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66,744,313.00</w:t>
            </w:r>
          </w:p>
        </w:tc>
        <w:tc>
          <w:tcPr>
            <w:tcW w:w="1693" w:type="dxa"/>
            <w:tcBorders>
              <w:top w:val="nil"/>
              <w:left w:val="nil"/>
              <w:right w:val="single" w:sz="8" w:space="0" w:color="auto"/>
            </w:tcBorders>
            <w:shd w:val="clear" w:color="auto" w:fill="auto"/>
            <w:noWrap/>
            <w:vAlign w:val="center"/>
            <w:hideMark/>
          </w:tcPr>
          <w:p w14:paraId="5BF7BC79" w14:textId="2F813D32"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-35,881,557.00</w:t>
            </w:r>
          </w:p>
        </w:tc>
      </w:tr>
      <w:tr w:rsidR="005C6630" w:rsidRPr="009C26EF" w14:paraId="5D8F31E8" w14:textId="77777777" w:rsidTr="00B552D2">
        <w:trPr>
          <w:trHeight w:val="124"/>
        </w:trPr>
        <w:tc>
          <w:tcPr>
            <w:tcW w:w="4394" w:type="dxa"/>
            <w:tcBorders>
              <w:left w:val="single" w:sz="8" w:space="0" w:color="auto"/>
              <w:bottom w:val="nil"/>
              <w:right w:val="single" w:sz="8" w:space="0" w:color="auto"/>
            </w:tcBorders>
            <w:shd w:val="clear" w:color="auto" w:fill="auto"/>
            <w:vAlign w:val="center"/>
            <w:hideMark/>
          </w:tcPr>
          <w:p w14:paraId="6F789DB5"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A casas de empeño</w:t>
            </w:r>
          </w:p>
        </w:tc>
        <w:tc>
          <w:tcPr>
            <w:tcW w:w="1985" w:type="dxa"/>
            <w:tcBorders>
              <w:left w:val="nil"/>
              <w:bottom w:val="nil"/>
              <w:right w:val="single" w:sz="8" w:space="0" w:color="auto"/>
            </w:tcBorders>
            <w:shd w:val="clear" w:color="auto" w:fill="auto"/>
            <w:noWrap/>
            <w:vAlign w:val="center"/>
            <w:hideMark/>
          </w:tcPr>
          <w:p w14:paraId="0147219E" w14:textId="2EA704AF"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1,802,070.00</w:t>
            </w:r>
          </w:p>
        </w:tc>
        <w:tc>
          <w:tcPr>
            <w:tcW w:w="1709" w:type="dxa"/>
            <w:tcBorders>
              <w:left w:val="nil"/>
              <w:bottom w:val="nil"/>
              <w:right w:val="single" w:sz="8" w:space="0" w:color="auto"/>
            </w:tcBorders>
            <w:shd w:val="clear" w:color="auto" w:fill="auto"/>
            <w:noWrap/>
            <w:vAlign w:val="center"/>
            <w:hideMark/>
          </w:tcPr>
          <w:p w14:paraId="20E15D6D" w14:textId="3022A016"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3,127,599.00</w:t>
            </w:r>
          </w:p>
        </w:tc>
        <w:tc>
          <w:tcPr>
            <w:tcW w:w="1693" w:type="dxa"/>
            <w:tcBorders>
              <w:left w:val="nil"/>
              <w:bottom w:val="nil"/>
              <w:right w:val="single" w:sz="8" w:space="0" w:color="auto"/>
            </w:tcBorders>
            <w:shd w:val="clear" w:color="auto" w:fill="auto"/>
            <w:noWrap/>
            <w:vAlign w:val="center"/>
            <w:hideMark/>
          </w:tcPr>
          <w:p w14:paraId="00C9ECD4" w14:textId="0F597F41"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-1,325,529.00</w:t>
            </w:r>
          </w:p>
        </w:tc>
      </w:tr>
      <w:tr w:rsidR="005C6630" w:rsidRPr="009C26EF" w14:paraId="499A2881" w14:textId="77777777" w:rsidTr="00F8375F">
        <w:trPr>
          <w:trHeight w:val="266"/>
        </w:trPr>
        <w:tc>
          <w:tcPr>
            <w:tcW w:w="4394" w:type="dxa"/>
            <w:tcBorders>
              <w:top w:val="nil"/>
              <w:left w:val="single" w:sz="8" w:space="0" w:color="auto"/>
              <w:bottom w:val="nil"/>
              <w:right w:val="single" w:sz="8" w:space="0" w:color="auto"/>
            </w:tcBorders>
            <w:shd w:val="clear" w:color="auto" w:fill="auto"/>
            <w:vAlign w:val="center"/>
            <w:hideMark/>
          </w:tcPr>
          <w:p w14:paraId="597A6BE8" w14:textId="77777777" w:rsidR="005C6630" w:rsidRPr="005C6630" w:rsidRDefault="005C6630" w:rsidP="002F131C">
            <w:pPr>
              <w:rPr>
                <w:rFonts w:ascii="Montserrat Medium" w:eastAsia="Times New Roman" w:hAnsi="Montserrat Medium" w:cs="Calibri"/>
                <w:b/>
                <w:bCs/>
                <w:color w:val="000000"/>
                <w:sz w:val="16"/>
                <w:szCs w:val="18"/>
                <w:lang w:val="es-MX" w:eastAsia="es-MX"/>
              </w:rPr>
            </w:pPr>
            <w:r w:rsidRPr="005C6630">
              <w:rPr>
                <w:rFonts w:ascii="Montserrat Medium" w:eastAsia="Times New Roman" w:hAnsi="Montserrat Medium" w:cs="Calibri"/>
                <w:b/>
                <w:bCs/>
                <w:color w:val="000000"/>
                <w:sz w:val="16"/>
                <w:szCs w:val="18"/>
                <w:lang w:val="es-MX" w:eastAsia="es-MX"/>
              </w:rPr>
              <w:t>Impuestos sobre el patrimonio</w:t>
            </w:r>
          </w:p>
        </w:tc>
        <w:tc>
          <w:tcPr>
            <w:tcW w:w="1985" w:type="dxa"/>
            <w:tcBorders>
              <w:top w:val="nil"/>
              <w:left w:val="nil"/>
              <w:bottom w:val="nil"/>
              <w:right w:val="single" w:sz="8" w:space="0" w:color="auto"/>
            </w:tcBorders>
            <w:shd w:val="clear" w:color="auto" w:fill="auto"/>
            <w:noWrap/>
            <w:vAlign w:val="center"/>
            <w:hideMark/>
          </w:tcPr>
          <w:p w14:paraId="488A9014" w14:textId="299A55CB"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185,475,753.00</w:t>
            </w:r>
          </w:p>
        </w:tc>
        <w:tc>
          <w:tcPr>
            <w:tcW w:w="1709" w:type="dxa"/>
            <w:tcBorders>
              <w:top w:val="nil"/>
              <w:left w:val="nil"/>
              <w:bottom w:val="nil"/>
              <w:right w:val="single" w:sz="8" w:space="0" w:color="auto"/>
            </w:tcBorders>
            <w:shd w:val="clear" w:color="auto" w:fill="auto"/>
            <w:noWrap/>
            <w:vAlign w:val="center"/>
            <w:hideMark/>
          </w:tcPr>
          <w:p w14:paraId="06C61F38" w14:textId="6B212482"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200,991,860.00</w:t>
            </w:r>
          </w:p>
        </w:tc>
        <w:tc>
          <w:tcPr>
            <w:tcW w:w="1693" w:type="dxa"/>
            <w:tcBorders>
              <w:top w:val="nil"/>
              <w:left w:val="nil"/>
              <w:bottom w:val="nil"/>
              <w:right w:val="single" w:sz="8" w:space="0" w:color="auto"/>
            </w:tcBorders>
            <w:shd w:val="clear" w:color="auto" w:fill="auto"/>
            <w:noWrap/>
            <w:vAlign w:val="center"/>
            <w:hideMark/>
          </w:tcPr>
          <w:p w14:paraId="79A8538C" w14:textId="365E1C62"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-15,516,107.00</w:t>
            </w:r>
          </w:p>
        </w:tc>
      </w:tr>
      <w:tr w:rsidR="005C6630" w:rsidRPr="009C26EF" w14:paraId="41EC8F24" w14:textId="77777777" w:rsidTr="00B552D2">
        <w:trPr>
          <w:trHeight w:val="300"/>
        </w:trPr>
        <w:tc>
          <w:tcPr>
            <w:tcW w:w="4394" w:type="dxa"/>
            <w:tcBorders>
              <w:top w:val="nil"/>
              <w:left w:val="single" w:sz="8" w:space="0" w:color="auto"/>
              <w:right w:val="single" w:sz="8" w:space="0" w:color="auto"/>
            </w:tcBorders>
            <w:shd w:val="clear" w:color="auto" w:fill="auto"/>
            <w:vAlign w:val="center"/>
            <w:hideMark/>
          </w:tcPr>
          <w:p w14:paraId="3A10C670"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Sobre Uso o Tenencia Vehicular</w:t>
            </w:r>
          </w:p>
        </w:tc>
        <w:tc>
          <w:tcPr>
            <w:tcW w:w="1985" w:type="dxa"/>
            <w:tcBorders>
              <w:top w:val="nil"/>
              <w:left w:val="nil"/>
              <w:right w:val="single" w:sz="8" w:space="0" w:color="auto"/>
            </w:tcBorders>
            <w:shd w:val="clear" w:color="auto" w:fill="auto"/>
            <w:noWrap/>
            <w:vAlign w:val="center"/>
            <w:hideMark/>
          </w:tcPr>
          <w:p w14:paraId="30998DE8" w14:textId="19F0371F"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185,475,753.00</w:t>
            </w:r>
          </w:p>
        </w:tc>
        <w:tc>
          <w:tcPr>
            <w:tcW w:w="1709" w:type="dxa"/>
            <w:tcBorders>
              <w:top w:val="nil"/>
              <w:left w:val="nil"/>
              <w:right w:val="single" w:sz="8" w:space="0" w:color="auto"/>
            </w:tcBorders>
            <w:shd w:val="clear" w:color="auto" w:fill="auto"/>
            <w:noWrap/>
            <w:vAlign w:val="center"/>
            <w:hideMark/>
          </w:tcPr>
          <w:p w14:paraId="0DE5C13F" w14:textId="43C4BF6F"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200,991,860.00</w:t>
            </w:r>
          </w:p>
        </w:tc>
        <w:tc>
          <w:tcPr>
            <w:tcW w:w="1693" w:type="dxa"/>
            <w:tcBorders>
              <w:top w:val="nil"/>
              <w:left w:val="nil"/>
              <w:right w:val="single" w:sz="8" w:space="0" w:color="auto"/>
            </w:tcBorders>
            <w:shd w:val="clear" w:color="auto" w:fill="auto"/>
            <w:noWrap/>
            <w:vAlign w:val="center"/>
            <w:hideMark/>
          </w:tcPr>
          <w:p w14:paraId="423337B2" w14:textId="4D4958F2"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-15,516,107.00</w:t>
            </w:r>
          </w:p>
        </w:tc>
      </w:tr>
      <w:tr w:rsidR="005C6630" w:rsidRPr="009C26EF" w14:paraId="53CC2667" w14:textId="77777777" w:rsidTr="00B552D2">
        <w:trPr>
          <w:trHeight w:val="415"/>
        </w:trPr>
        <w:tc>
          <w:tcPr>
            <w:tcW w:w="4394" w:type="dxa"/>
            <w:tcBorders>
              <w:top w:val="nil"/>
              <w:left w:val="single" w:sz="8" w:space="0" w:color="auto"/>
              <w:bottom w:val="single" w:sz="4" w:space="0" w:color="auto"/>
              <w:right w:val="single" w:sz="8" w:space="0" w:color="auto"/>
            </w:tcBorders>
            <w:shd w:val="clear" w:color="auto" w:fill="auto"/>
            <w:vAlign w:val="center"/>
            <w:hideMark/>
          </w:tcPr>
          <w:p w14:paraId="2B3C2C00" w14:textId="77777777" w:rsidR="005C6630" w:rsidRPr="005C6630" w:rsidRDefault="005C6630" w:rsidP="002F131C">
            <w:pPr>
              <w:rPr>
                <w:rFonts w:ascii="Montserrat Medium" w:eastAsia="Times New Roman" w:hAnsi="Montserrat Medium" w:cs="Calibri"/>
                <w:b/>
                <w:bCs/>
                <w:color w:val="000000"/>
                <w:sz w:val="16"/>
                <w:szCs w:val="18"/>
                <w:lang w:val="es-MX" w:eastAsia="es-MX"/>
              </w:rPr>
            </w:pPr>
            <w:r w:rsidRPr="005C6630">
              <w:rPr>
                <w:rFonts w:ascii="Montserrat Medium" w:eastAsia="Times New Roman" w:hAnsi="Montserrat Medium" w:cs="Calibri"/>
                <w:b/>
                <w:bCs/>
                <w:color w:val="000000"/>
                <w:sz w:val="16"/>
                <w:szCs w:val="18"/>
                <w:lang w:val="es-MX" w:eastAsia="es-MX"/>
              </w:rPr>
              <w:t>Impuestos sobre la producción, el consumo y las transacciones</w:t>
            </w:r>
          </w:p>
        </w:tc>
        <w:tc>
          <w:tcPr>
            <w:tcW w:w="1985" w:type="dxa"/>
            <w:tcBorders>
              <w:top w:val="nil"/>
              <w:left w:val="nil"/>
              <w:bottom w:val="single" w:sz="4" w:space="0" w:color="auto"/>
              <w:right w:val="single" w:sz="8" w:space="0" w:color="auto"/>
            </w:tcBorders>
            <w:shd w:val="clear" w:color="auto" w:fill="auto"/>
            <w:noWrap/>
            <w:vAlign w:val="center"/>
            <w:hideMark/>
          </w:tcPr>
          <w:p w14:paraId="3E70C043" w14:textId="43F1525F"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2,571,986,599.38</w:t>
            </w:r>
          </w:p>
        </w:tc>
        <w:tc>
          <w:tcPr>
            <w:tcW w:w="1709" w:type="dxa"/>
            <w:tcBorders>
              <w:top w:val="nil"/>
              <w:left w:val="nil"/>
              <w:bottom w:val="single" w:sz="4" w:space="0" w:color="auto"/>
              <w:right w:val="single" w:sz="8" w:space="0" w:color="auto"/>
            </w:tcBorders>
            <w:shd w:val="clear" w:color="auto" w:fill="auto"/>
            <w:noWrap/>
            <w:vAlign w:val="center"/>
            <w:hideMark/>
          </w:tcPr>
          <w:p w14:paraId="068C9007" w14:textId="275B83D6"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4,136,906,506.25</w:t>
            </w:r>
          </w:p>
        </w:tc>
        <w:tc>
          <w:tcPr>
            <w:tcW w:w="1693" w:type="dxa"/>
            <w:tcBorders>
              <w:top w:val="nil"/>
              <w:left w:val="nil"/>
              <w:bottom w:val="single" w:sz="4" w:space="0" w:color="auto"/>
              <w:right w:val="single" w:sz="8" w:space="0" w:color="auto"/>
            </w:tcBorders>
            <w:shd w:val="clear" w:color="auto" w:fill="auto"/>
            <w:noWrap/>
            <w:vAlign w:val="center"/>
            <w:hideMark/>
          </w:tcPr>
          <w:p w14:paraId="597E0D2C" w14:textId="57DEEBB3"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-1,567,481,506.87</w:t>
            </w:r>
          </w:p>
        </w:tc>
      </w:tr>
      <w:tr w:rsidR="005C6630" w:rsidRPr="009C26EF" w14:paraId="5FAB22DD" w14:textId="77777777" w:rsidTr="00B552D2">
        <w:trPr>
          <w:trHeight w:val="420"/>
        </w:trPr>
        <w:tc>
          <w:tcPr>
            <w:tcW w:w="4394" w:type="dxa"/>
            <w:tcBorders>
              <w:top w:val="single" w:sz="4" w:space="0" w:color="auto"/>
              <w:left w:val="single" w:sz="8" w:space="0" w:color="auto"/>
              <w:bottom w:val="nil"/>
              <w:right w:val="single" w:sz="8" w:space="0" w:color="auto"/>
            </w:tcBorders>
            <w:shd w:val="clear" w:color="auto" w:fill="auto"/>
            <w:vAlign w:val="center"/>
            <w:hideMark/>
          </w:tcPr>
          <w:p w14:paraId="59EA19F4"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lastRenderedPageBreak/>
              <w:t>Sobre Adquisición de Vehículos de Motor Usados Entre Particulares</w:t>
            </w:r>
          </w:p>
        </w:tc>
        <w:tc>
          <w:tcPr>
            <w:tcW w:w="1985" w:type="dxa"/>
            <w:tcBorders>
              <w:top w:val="single" w:sz="4" w:space="0" w:color="auto"/>
              <w:left w:val="nil"/>
              <w:bottom w:val="nil"/>
              <w:right w:val="single" w:sz="8" w:space="0" w:color="auto"/>
            </w:tcBorders>
            <w:shd w:val="clear" w:color="auto" w:fill="auto"/>
            <w:noWrap/>
            <w:vAlign w:val="center"/>
            <w:hideMark/>
          </w:tcPr>
          <w:p w14:paraId="04F28BFF" w14:textId="41ED1D99"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18,410,915.00</w:t>
            </w:r>
          </w:p>
        </w:tc>
        <w:tc>
          <w:tcPr>
            <w:tcW w:w="1709" w:type="dxa"/>
            <w:tcBorders>
              <w:top w:val="single" w:sz="4" w:space="0" w:color="auto"/>
              <w:left w:val="nil"/>
              <w:bottom w:val="nil"/>
              <w:right w:val="single" w:sz="8" w:space="0" w:color="auto"/>
            </w:tcBorders>
            <w:shd w:val="clear" w:color="auto" w:fill="auto"/>
            <w:noWrap/>
            <w:vAlign w:val="center"/>
            <w:hideMark/>
          </w:tcPr>
          <w:p w14:paraId="67F16DC2" w14:textId="3A71D9F6"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41,676,371.00</w:t>
            </w:r>
          </w:p>
        </w:tc>
        <w:tc>
          <w:tcPr>
            <w:tcW w:w="1693" w:type="dxa"/>
            <w:tcBorders>
              <w:top w:val="single" w:sz="4" w:space="0" w:color="auto"/>
              <w:left w:val="nil"/>
              <w:bottom w:val="nil"/>
              <w:right w:val="single" w:sz="8" w:space="0" w:color="auto"/>
            </w:tcBorders>
            <w:shd w:val="clear" w:color="auto" w:fill="auto"/>
            <w:noWrap/>
            <w:vAlign w:val="center"/>
            <w:hideMark/>
          </w:tcPr>
          <w:p w14:paraId="340C8731" w14:textId="32123F84"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-23,265,456.00</w:t>
            </w:r>
          </w:p>
        </w:tc>
      </w:tr>
      <w:tr w:rsidR="005C6630" w:rsidRPr="009C26EF" w14:paraId="4179A104" w14:textId="77777777" w:rsidTr="00F8375F">
        <w:trPr>
          <w:trHeight w:val="143"/>
        </w:trPr>
        <w:tc>
          <w:tcPr>
            <w:tcW w:w="4394" w:type="dxa"/>
            <w:tcBorders>
              <w:top w:val="nil"/>
              <w:left w:val="single" w:sz="8" w:space="0" w:color="auto"/>
              <w:bottom w:val="nil"/>
              <w:right w:val="single" w:sz="8" w:space="0" w:color="auto"/>
            </w:tcBorders>
            <w:shd w:val="clear" w:color="auto" w:fill="auto"/>
            <w:vAlign w:val="center"/>
            <w:hideMark/>
          </w:tcPr>
          <w:p w14:paraId="43655DBD"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Al Hospedaje</w:t>
            </w:r>
          </w:p>
        </w:tc>
        <w:tc>
          <w:tcPr>
            <w:tcW w:w="1985" w:type="dxa"/>
            <w:tcBorders>
              <w:top w:val="nil"/>
              <w:left w:val="nil"/>
              <w:bottom w:val="nil"/>
              <w:right w:val="single" w:sz="8" w:space="0" w:color="auto"/>
            </w:tcBorders>
            <w:shd w:val="clear" w:color="auto" w:fill="auto"/>
            <w:noWrap/>
            <w:vAlign w:val="center"/>
            <w:hideMark/>
          </w:tcPr>
          <w:p w14:paraId="22C9F341" w14:textId="18186D8A"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2,434,260,023.38</w:t>
            </w:r>
          </w:p>
        </w:tc>
        <w:tc>
          <w:tcPr>
            <w:tcW w:w="1709" w:type="dxa"/>
            <w:tcBorders>
              <w:top w:val="nil"/>
              <w:left w:val="nil"/>
              <w:bottom w:val="nil"/>
              <w:right w:val="single" w:sz="8" w:space="0" w:color="auto"/>
            </w:tcBorders>
            <w:shd w:val="clear" w:color="auto" w:fill="auto"/>
            <w:noWrap/>
            <w:vAlign w:val="center"/>
            <w:hideMark/>
          </w:tcPr>
          <w:p w14:paraId="3885C50D" w14:textId="35B7DD27"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3,877,303,285.30</w:t>
            </w:r>
          </w:p>
        </w:tc>
        <w:tc>
          <w:tcPr>
            <w:tcW w:w="1693" w:type="dxa"/>
            <w:tcBorders>
              <w:top w:val="nil"/>
              <w:left w:val="nil"/>
              <w:bottom w:val="nil"/>
              <w:right w:val="single" w:sz="8" w:space="0" w:color="auto"/>
            </w:tcBorders>
            <w:shd w:val="clear" w:color="auto" w:fill="auto"/>
            <w:noWrap/>
            <w:vAlign w:val="center"/>
            <w:hideMark/>
          </w:tcPr>
          <w:p w14:paraId="7EE565A7" w14:textId="018ABE4A"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-1,443,043,261.92</w:t>
            </w:r>
          </w:p>
        </w:tc>
      </w:tr>
      <w:tr w:rsidR="005C6630" w:rsidRPr="009C26EF" w14:paraId="1E9DBE83" w14:textId="77777777" w:rsidTr="00F8375F">
        <w:trPr>
          <w:trHeight w:val="275"/>
        </w:trPr>
        <w:tc>
          <w:tcPr>
            <w:tcW w:w="4394" w:type="dxa"/>
            <w:tcBorders>
              <w:top w:val="nil"/>
              <w:left w:val="single" w:sz="8" w:space="0" w:color="auto"/>
              <w:bottom w:val="nil"/>
              <w:right w:val="single" w:sz="8" w:space="0" w:color="auto"/>
            </w:tcBorders>
            <w:shd w:val="clear" w:color="auto" w:fill="auto"/>
            <w:vAlign w:val="center"/>
            <w:hideMark/>
          </w:tcPr>
          <w:p w14:paraId="7222FF46"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Del impuesto a la Venta Final de Bebidas con Contenido Alcohólico en Envase Cerrado</w:t>
            </w:r>
          </w:p>
        </w:tc>
        <w:tc>
          <w:tcPr>
            <w:tcW w:w="1985" w:type="dxa"/>
            <w:tcBorders>
              <w:top w:val="nil"/>
              <w:left w:val="nil"/>
              <w:bottom w:val="nil"/>
              <w:right w:val="single" w:sz="8" w:space="0" w:color="auto"/>
            </w:tcBorders>
            <w:shd w:val="clear" w:color="auto" w:fill="auto"/>
            <w:noWrap/>
            <w:vAlign w:val="center"/>
            <w:hideMark/>
          </w:tcPr>
          <w:p w14:paraId="43A8250E" w14:textId="5E9A45FE"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116,754,061.00</w:t>
            </w:r>
          </w:p>
        </w:tc>
        <w:tc>
          <w:tcPr>
            <w:tcW w:w="1709" w:type="dxa"/>
            <w:tcBorders>
              <w:top w:val="nil"/>
              <w:left w:val="nil"/>
              <w:bottom w:val="nil"/>
              <w:right w:val="single" w:sz="8" w:space="0" w:color="auto"/>
            </w:tcBorders>
            <w:shd w:val="clear" w:color="auto" w:fill="auto"/>
            <w:noWrap/>
            <w:vAlign w:val="center"/>
            <w:hideMark/>
          </w:tcPr>
          <w:p w14:paraId="24A2510C" w14:textId="35FDCF70"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217,926,849.95</w:t>
            </w:r>
          </w:p>
        </w:tc>
        <w:tc>
          <w:tcPr>
            <w:tcW w:w="1693" w:type="dxa"/>
            <w:tcBorders>
              <w:top w:val="nil"/>
              <w:left w:val="nil"/>
              <w:bottom w:val="nil"/>
              <w:right w:val="single" w:sz="8" w:space="0" w:color="auto"/>
            </w:tcBorders>
            <w:shd w:val="clear" w:color="auto" w:fill="auto"/>
            <w:noWrap/>
            <w:vAlign w:val="center"/>
            <w:hideMark/>
          </w:tcPr>
          <w:p w14:paraId="020BED5D" w14:textId="0DF7FCAA"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-101,172,788.95</w:t>
            </w:r>
          </w:p>
        </w:tc>
      </w:tr>
      <w:tr w:rsidR="005C6630" w:rsidRPr="009C26EF" w14:paraId="6CBD9919" w14:textId="77777777" w:rsidTr="00F8375F">
        <w:trPr>
          <w:trHeight w:val="275"/>
        </w:trPr>
        <w:tc>
          <w:tcPr>
            <w:tcW w:w="4394" w:type="dxa"/>
            <w:tcBorders>
              <w:top w:val="nil"/>
              <w:left w:val="single" w:sz="8" w:space="0" w:color="auto"/>
              <w:bottom w:val="nil"/>
              <w:right w:val="single" w:sz="8" w:space="0" w:color="auto"/>
            </w:tcBorders>
            <w:shd w:val="clear" w:color="auto" w:fill="auto"/>
            <w:vAlign w:val="center"/>
          </w:tcPr>
          <w:p w14:paraId="42D2925F" w14:textId="2A72ACBE"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Del Impuesto sobre los Servicios con Animales Acuáticos</w:t>
            </w:r>
          </w:p>
        </w:tc>
        <w:tc>
          <w:tcPr>
            <w:tcW w:w="1985" w:type="dxa"/>
            <w:tcBorders>
              <w:top w:val="nil"/>
              <w:left w:val="nil"/>
              <w:bottom w:val="nil"/>
              <w:right w:val="single" w:sz="8" w:space="0" w:color="auto"/>
            </w:tcBorders>
            <w:shd w:val="clear" w:color="auto" w:fill="auto"/>
            <w:noWrap/>
            <w:vAlign w:val="center"/>
          </w:tcPr>
          <w:p w14:paraId="23461EC8" w14:textId="7DA4B88E"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2,561,600.00</w:t>
            </w:r>
          </w:p>
        </w:tc>
        <w:tc>
          <w:tcPr>
            <w:tcW w:w="1709" w:type="dxa"/>
            <w:tcBorders>
              <w:top w:val="nil"/>
              <w:left w:val="nil"/>
              <w:bottom w:val="nil"/>
              <w:right w:val="single" w:sz="8" w:space="0" w:color="auto"/>
            </w:tcBorders>
            <w:shd w:val="clear" w:color="auto" w:fill="auto"/>
            <w:noWrap/>
            <w:vAlign w:val="center"/>
          </w:tcPr>
          <w:p w14:paraId="54179115" w14:textId="334925A2"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693" w:type="dxa"/>
            <w:tcBorders>
              <w:top w:val="nil"/>
              <w:left w:val="nil"/>
              <w:bottom w:val="nil"/>
              <w:right w:val="single" w:sz="8" w:space="0" w:color="auto"/>
            </w:tcBorders>
            <w:shd w:val="clear" w:color="auto" w:fill="auto"/>
            <w:noWrap/>
            <w:vAlign w:val="center"/>
          </w:tcPr>
          <w:p w14:paraId="2725B5D6" w14:textId="1835900B"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2,561,600.00</w:t>
            </w:r>
          </w:p>
        </w:tc>
      </w:tr>
      <w:tr w:rsidR="005C6630" w:rsidRPr="009C26EF" w14:paraId="74AE7879" w14:textId="77777777" w:rsidTr="00F8375F">
        <w:trPr>
          <w:trHeight w:val="300"/>
        </w:trPr>
        <w:tc>
          <w:tcPr>
            <w:tcW w:w="4394" w:type="dxa"/>
            <w:tcBorders>
              <w:top w:val="nil"/>
              <w:left w:val="single" w:sz="8" w:space="0" w:color="auto"/>
              <w:bottom w:val="nil"/>
              <w:right w:val="single" w:sz="8" w:space="0" w:color="auto"/>
            </w:tcBorders>
            <w:shd w:val="clear" w:color="auto" w:fill="auto"/>
            <w:vAlign w:val="center"/>
            <w:hideMark/>
          </w:tcPr>
          <w:p w14:paraId="24A26423" w14:textId="77777777" w:rsidR="005C6630" w:rsidRPr="005C6630" w:rsidRDefault="005C6630" w:rsidP="002F131C">
            <w:pPr>
              <w:rPr>
                <w:rFonts w:ascii="Montserrat Medium" w:eastAsia="Times New Roman" w:hAnsi="Montserrat Medium" w:cs="Calibri"/>
                <w:b/>
                <w:bCs/>
                <w:color w:val="000000"/>
                <w:sz w:val="16"/>
                <w:szCs w:val="18"/>
                <w:lang w:val="es-MX" w:eastAsia="es-MX"/>
              </w:rPr>
            </w:pPr>
            <w:r w:rsidRPr="005C6630">
              <w:rPr>
                <w:rFonts w:ascii="Montserrat Medium" w:eastAsia="Times New Roman" w:hAnsi="Montserrat Medium" w:cs="Calibri"/>
                <w:b/>
                <w:bCs/>
                <w:color w:val="000000"/>
                <w:sz w:val="16"/>
                <w:szCs w:val="18"/>
                <w:lang w:val="es-MX" w:eastAsia="es-MX"/>
              </w:rPr>
              <w:t>Impuestos al comercio exterior</w:t>
            </w:r>
          </w:p>
        </w:tc>
        <w:tc>
          <w:tcPr>
            <w:tcW w:w="1985" w:type="dxa"/>
            <w:tcBorders>
              <w:top w:val="nil"/>
              <w:left w:val="nil"/>
              <w:bottom w:val="nil"/>
              <w:right w:val="single" w:sz="8" w:space="0" w:color="auto"/>
            </w:tcBorders>
            <w:shd w:val="clear" w:color="auto" w:fill="auto"/>
            <w:noWrap/>
            <w:vAlign w:val="center"/>
            <w:hideMark/>
          </w:tcPr>
          <w:p w14:paraId="04E85435" w14:textId="12758441"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0.00</w:t>
            </w:r>
          </w:p>
        </w:tc>
        <w:tc>
          <w:tcPr>
            <w:tcW w:w="1709" w:type="dxa"/>
            <w:tcBorders>
              <w:top w:val="nil"/>
              <w:left w:val="nil"/>
              <w:bottom w:val="nil"/>
              <w:right w:val="single" w:sz="8" w:space="0" w:color="auto"/>
            </w:tcBorders>
            <w:shd w:val="clear" w:color="auto" w:fill="auto"/>
            <w:noWrap/>
            <w:vAlign w:val="center"/>
            <w:hideMark/>
          </w:tcPr>
          <w:p w14:paraId="5FF31F49" w14:textId="067BF516"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0.00</w:t>
            </w:r>
          </w:p>
        </w:tc>
        <w:tc>
          <w:tcPr>
            <w:tcW w:w="1693" w:type="dxa"/>
            <w:tcBorders>
              <w:top w:val="nil"/>
              <w:left w:val="nil"/>
              <w:bottom w:val="nil"/>
              <w:right w:val="single" w:sz="8" w:space="0" w:color="auto"/>
            </w:tcBorders>
            <w:shd w:val="clear" w:color="auto" w:fill="auto"/>
            <w:noWrap/>
            <w:vAlign w:val="center"/>
            <w:hideMark/>
          </w:tcPr>
          <w:p w14:paraId="0D042FE7" w14:textId="389A8F22"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0.00</w:t>
            </w:r>
          </w:p>
        </w:tc>
      </w:tr>
      <w:tr w:rsidR="005C6630" w:rsidRPr="009C26EF" w14:paraId="27D5BDD8" w14:textId="77777777" w:rsidTr="00F8375F">
        <w:trPr>
          <w:trHeight w:val="300"/>
        </w:trPr>
        <w:tc>
          <w:tcPr>
            <w:tcW w:w="4394" w:type="dxa"/>
            <w:tcBorders>
              <w:top w:val="nil"/>
              <w:left w:val="single" w:sz="8" w:space="0" w:color="auto"/>
              <w:bottom w:val="nil"/>
              <w:right w:val="single" w:sz="8" w:space="0" w:color="auto"/>
            </w:tcBorders>
            <w:shd w:val="clear" w:color="auto" w:fill="auto"/>
            <w:vAlign w:val="center"/>
            <w:hideMark/>
          </w:tcPr>
          <w:p w14:paraId="6450A5B4" w14:textId="77777777" w:rsidR="005C6630" w:rsidRPr="005C6630" w:rsidRDefault="005C6630" w:rsidP="002F131C">
            <w:pPr>
              <w:rPr>
                <w:rFonts w:ascii="Montserrat Medium" w:eastAsia="Times New Roman" w:hAnsi="Montserrat Medium" w:cs="Calibri"/>
                <w:b/>
                <w:bCs/>
                <w:color w:val="000000"/>
                <w:sz w:val="16"/>
                <w:szCs w:val="18"/>
                <w:lang w:val="es-MX" w:eastAsia="es-MX"/>
              </w:rPr>
            </w:pPr>
            <w:r w:rsidRPr="005C6630">
              <w:rPr>
                <w:rFonts w:ascii="Montserrat Medium" w:eastAsia="Times New Roman" w:hAnsi="Montserrat Medium" w:cs="Calibri"/>
                <w:b/>
                <w:bCs/>
                <w:color w:val="000000"/>
                <w:sz w:val="16"/>
                <w:szCs w:val="18"/>
                <w:lang w:val="es-MX" w:eastAsia="es-MX"/>
              </w:rPr>
              <w:t>Impuestos sobre nóminas y asimilables</w:t>
            </w:r>
          </w:p>
        </w:tc>
        <w:tc>
          <w:tcPr>
            <w:tcW w:w="1985" w:type="dxa"/>
            <w:tcBorders>
              <w:top w:val="nil"/>
              <w:left w:val="nil"/>
              <w:bottom w:val="nil"/>
              <w:right w:val="single" w:sz="8" w:space="0" w:color="auto"/>
            </w:tcBorders>
            <w:shd w:val="clear" w:color="auto" w:fill="auto"/>
            <w:noWrap/>
            <w:vAlign w:val="center"/>
            <w:hideMark/>
          </w:tcPr>
          <w:p w14:paraId="04F1CC07" w14:textId="5835FD30"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2,933,323,121.00</w:t>
            </w:r>
          </w:p>
        </w:tc>
        <w:tc>
          <w:tcPr>
            <w:tcW w:w="1709" w:type="dxa"/>
            <w:tcBorders>
              <w:top w:val="nil"/>
              <w:left w:val="nil"/>
              <w:bottom w:val="nil"/>
              <w:right w:val="single" w:sz="8" w:space="0" w:color="auto"/>
            </w:tcBorders>
            <w:shd w:val="clear" w:color="auto" w:fill="auto"/>
            <w:noWrap/>
            <w:vAlign w:val="center"/>
            <w:hideMark/>
          </w:tcPr>
          <w:p w14:paraId="4B2CCFA8" w14:textId="4D95694C"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5,096,980,715.22</w:t>
            </w:r>
          </w:p>
        </w:tc>
        <w:tc>
          <w:tcPr>
            <w:tcW w:w="1693" w:type="dxa"/>
            <w:tcBorders>
              <w:top w:val="nil"/>
              <w:left w:val="nil"/>
              <w:bottom w:val="nil"/>
              <w:right w:val="single" w:sz="8" w:space="0" w:color="auto"/>
            </w:tcBorders>
            <w:shd w:val="clear" w:color="auto" w:fill="auto"/>
            <w:noWrap/>
            <w:vAlign w:val="center"/>
            <w:hideMark/>
          </w:tcPr>
          <w:p w14:paraId="112732D5" w14:textId="1F07A256"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-2,163,657,594.22</w:t>
            </w:r>
          </w:p>
        </w:tc>
      </w:tr>
      <w:tr w:rsidR="005C6630" w:rsidRPr="009C26EF" w14:paraId="4AE95081" w14:textId="77777777" w:rsidTr="00F8375F">
        <w:trPr>
          <w:trHeight w:val="89"/>
        </w:trPr>
        <w:tc>
          <w:tcPr>
            <w:tcW w:w="4394" w:type="dxa"/>
            <w:tcBorders>
              <w:top w:val="nil"/>
              <w:left w:val="single" w:sz="8" w:space="0" w:color="auto"/>
              <w:right w:val="single" w:sz="8" w:space="0" w:color="auto"/>
            </w:tcBorders>
            <w:shd w:val="clear" w:color="auto" w:fill="auto"/>
            <w:vAlign w:val="center"/>
            <w:hideMark/>
          </w:tcPr>
          <w:p w14:paraId="4DE0BE3E"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Sobre Nóminas</w:t>
            </w:r>
          </w:p>
        </w:tc>
        <w:tc>
          <w:tcPr>
            <w:tcW w:w="1985" w:type="dxa"/>
            <w:tcBorders>
              <w:top w:val="nil"/>
              <w:left w:val="nil"/>
              <w:right w:val="single" w:sz="8" w:space="0" w:color="auto"/>
            </w:tcBorders>
            <w:shd w:val="clear" w:color="auto" w:fill="auto"/>
            <w:noWrap/>
            <w:vAlign w:val="center"/>
            <w:hideMark/>
          </w:tcPr>
          <w:p w14:paraId="41EF21E5" w14:textId="1E3BC9EA"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2,933,323,121.00</w:t>
            </w:r>
          </w:p>
        </w:tc>
        <w:tc>
          <w:tcPr>
            <w:tcW w:w="1709" w:type="dxa"/>
            <w:tcBorders>
              <w:top w:val="nil"/>
              <w:left w:val="nil"/>
              <w:right w:val="single" w:sz="8" w:space="0" w:color="auto"/>
            </w:tcBorders>
            <w:shd w:val="clear" w:color="auto" w:fill="auto"/>
            <w:noWrap/>
            <w:vAlign w:val="center"/>
            <w:hideMark/>
          </w:tcPr>
          <w:p w14:paraId="0DF43213" w14:textId="6AEFF6D2"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5,100,760,944.22</w:t>
            </w:r>
          </w:p>
        </w:tc>
        <w:tc>
          <w:tcPr>
            <w:tcW w:w="1693" w:type="dxa"/>
            <w:tcBorders>
              <w:top w:val="nil"/>
              <w:left w:val="nil"/>
              <w:right w:val="single" w:sz="8" w:space="0" w:color="auto"/>
            </w:tcBorders>
            <w:shd w:val="clear" w:color="auto" w:fill="auto"/>
            <w:noWrap/>
            <w:vAlign w:val="center"/>
            <w:hideMark/>
          </w:tcPr>
          <w:p w14:paraId="6C31BB3F" w14:textId="3C5FBA0E"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-2,167,437,823.22</w:t>
            </w:r>
          </w:p>
        </w:tc>
      </w:tr>
      <w:tr w:rsidR="005C6630" w:rsidRPr="009C26EF" w14:paraId="50B6FCC7" w14:textId="77777777" w:rsidTr="00F8375F">
        <w:trPr>
          <w:trHeight w:val="235"/>
        </w:trPr>
        <w:tc>
          <w:tcPr>
            <w:tcW w:w="4394" w:type="dxa"/>
            <w:tcBorders>
              <w:top w:val="nil"/>
              <w:left w:val="single" w:sz="4" w:space="0" w:color="auto"/>
              <w:right w:val="single" w:sz="4" w:space="0" w:color="auto"/>
            </w:tcBorders>
            <w:shd w:val="clear" w:color="auto" w:fill="auto"/>
            <w:vAlign w:val="center"/>
            <w:hideMark/>
          </w:tcPr>
          <w:p w14:paraId="73C23F00"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Impuesto Adicional para el Fomento al Empleo</w:t>
            </w:r>
          </w:p>
        </w:tc>
        <w:tc>
          <w:tcPr>
            <w:tcW w:w="1985" w:type="dxa"/>
            <w:tcBorders>
              <w:top w:val="nil"/>
              <w:left w:val="single" w:sz="4" w:space="0" w:color="auto"/>
              <w:right w:val="single" w:sz="4" w:space="0" w:color="auto"/>
            </w:tcBorders>
            <w:shd w:val="clear" w:color="auto" w:fill="auto"/>
            <w:noWrap/>
            <w:vAlign w:val="center"/>
            <w:hideMark/>
          </w:tcPr>
          <w:p w14:paraId="7DF7D08B" w14:textId="02839893"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709" w:type="dxa"/>
            <w:tcBorders>
              <w:top w:val="nil"/>
              <w:left w:val="single" w:sz="4" w:space="0" w:color="auto"/>
              <w:right w:val="single" w:sz="4" w:space="0" w:color="auto"/>
            </w:tcBorders>
            <w:shd w:val="clear" w:color="auto" w:fill="auto"/>
            <w:noWrap/>
            <w:vAlign w:val="center"/>
            <w:hideMark/>
          </w:tcPr>
          <w:p w14:paraId="270853EB" w14:textId="253AA734"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-3,780,229.00</w:t>
            </w:r>
          </w:p>
        </w:tc>
        <w:tc>
          <w:tcPr>
            <w:tcW w:w="1693" w:type="dxa"/>
            <w:tcBorders>
              <w:top w:val="nil"/>
              <w:left w:val="single" w:sz="4" w:space="0" w:color="auto"/>
              <w:right w:val="single" w:sz="4" w:space="0" w:color="auto"/>
            </w:tcBorders>
            <w:shd w:val="clear" w:color="auto" w:fill="auto"/>
            <w:noWrap/>
            <w:vAlign w:val="center"/>
            <w:hideMark/>
          </w:tcPr>
          <w:p w14:paraId="058815BF" w14:textId="1DBB4B45"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3,780,229.00</w:t>
            </w:r>
          </w:p>
        </w:tc>
      </w:tr>
      <w:tr w:rsidR="005C6630" w:rsidRPr="009C26EF" w14:paraId="76911E77" w14:textId="77777777" w:rsidTr="00F8375F">
        <w:trPr>
          <w:trHeight w:val="300"/>
        </w:trPr>
        <w:tc>
          <w:tcPr>
            <w:tcW w:w="4394" w:type="dxa"/>
            <w:tcBorders>
              <w:left w:val="single" w:sz="4" w:space="0" w:color="auto"/>
              <w:bottom w:val="nil"/>
              <w:right w:val="single" w:sz="4" w:space="0" w:color="auto"/>
            </w:tcBorders>
            <w:shd w:val="clear" w:color="auto" w:fill="auto"/>
            <w:vAlign w:val="center"/>
            <w:hideMark/>
          </w:tcPr>
          <w:p w14:paraId="170C4792" w14:textId="77777777" w:rsidR="005C6630" w:rsidRPr="005C6630" w:rsidRDefault="005C6630" w:rsidP="002F131C">
            <w:pPr>
              <w:rPr>
                <w:rFonts w:ascii="Montserrat Medium" w:eastAsia="Times New Roman" w:hAnsi="Montserrat Medium" w:cs="Calibri"/>
                <w:b/>
                <w:bCs/>
                <w:color w:val="000000"/>
                <w:sz w:val="16"/>
                <w:szCs w:val="18"/>
                <w:lang w:val="es-MX" w:eastAsia="es-MX"/>
              </w:rPr>
            </w:pPr>
            <w:r w:rsidRPr="005C6630">
              <w:rPr>
                <w:rFonts w:ascii="Montserrat Medium" w:eastAsia="Times New Roman" w:hAnsi="Montserrat Medium" w:cs="Calibri"/>
                <w:b/>
                <w:bCs/>
                <w:color w:val="000000"/>
                <w:sz w:val="16"/>
                <w:szCs w:val="18"/>
                <w:lang w:val="es-MX" w:eastAsia="es-MX"/>
              </w:rPr>
              <w:t>Impuestos Ecológicos</w:t>
            </w:r>
          </w:p>
        </w:tc>
        <w:tc>
          <w:tcPr>
            <w:tcW w:w="1985" w:type="dxa"/>
            <w:tcBorders>
              <w:left w:val="single" w:sz="4" w:space="0" w:color="auto"/>
              <w:bottom w:val="nil"/>
              <w:right w:val="single" w:sz="4" w:space="0" w:color="auto"/>
            </w:tcBorders>
            <w:shd w:val="clear" w:color="auto" w:fill="auto"/>
            <w:noWrap/>
            <w:vAlign w:val="center"/>
            <w:hideMark/>
          </w:tcPr>
          <w:p w14:paraId="4D226762" w14:textId="756E3CDE"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9,197,750.00</w:t>
            </w:r>
          </w:p>
        </w:tc>
        <w:tc>
          <w:tcPr>
            <w:tcW w:w="1709" w:type="dxa"/>
            <w:tcBorders>
              <w:left w:val="single" w:sz="4" w:space="0" w:color="auto"/>
              <w:bottom w:val="nil"/>
              <w:right w:val="single" w:sz="4" w:space="0" w:color="auto"/>
            </w:tcBorders>
            <w:shd w:val="clear" w:color="auto" w:fill="auto"/>
            <w:noWrap/>
            <w:vAlign w:val="center"/>
            <w:hideMark/>
          </w:tcPr>
          <w:p w14:paraId="3BE4EF0C" w14:textId="303B6BFB"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254,042,046.00</w:t>
            </w:r>
          </w:p>
        </w:tc>
        <w:tc>
          <w:tcPr>
            <w:tcW w:w="1693" w:type="dxa"/>
            <w:tcBorders>
              <w:left w:val="single" w:sz="4" w:space="0" w:color="auto"/>
              <w:bottom w:val="nil"/>
              <w:right w:val="single" w:sz="4" w:space="0" w:color="auto"/>
            </w:tcBorders>
            <w:shd w:val="clear" w:color="auto" w:fill="auto"/>
            <w:noWrap/>
            <w:vAlign w:val="center"/>
            <w:hideMark/>
          </w:tcPr>
          <w:p w14:paraId="58B36E08" w14:textId="0B6B1917"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-244,844,296.00</w:t>
            </w:r>
          </w:p>
        </w:tc>
      </w:tr>
      <w:tr w:rsidR="005C6630" w:rsidRPr="009C26EF" w14:paraId="203E774A" w14:textId="77777777" w:rsidTr="00F8375F">
        <w:trPr>
          <w:trHeight w:val="213"/>
        </w:trPr>
        <w:tc>
          <w:tcPr>
            <w:tcW w:w="4394" w:type="dxa"/>
            <w:tcBorders>
              <w:top w:val="nil"/>
              <w:left w:val="single" w:sz="8" w:space="0" w:color="auto"/>
              <w:bottom w:val="nil"/>
              <w:right w:val="single" w:sz="8" w:space="0" w:color="auto"/>
            </w:tcBorders>
            <w:shd w:val="clear" w:color="auto" w:fill="auto"/>
            <w:vAlign w:val="center"/>
            <w:hideMark/>
          </w:tcPr>
          <w:p w14:paraId="384ABB35"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Sobre la Extracción de Materiales del Suelo y Subsuelo</w:t>
            </w:r>
          </w:p>
        </w:tc>
        <w:tc>
          <w:tcPr>
            <w:tcW w:w="1985" w:type="dxa"/>
            <w:tcBorders>
              <w:top w:val="nil"/>
              <w:left w:val="nil"/>
              <w:bottom w:val="nil"/>
              <w:right w:val="single" w:sz="4" w:space="0" w:color="auto"/>
            </w:tcBorders>
            <w:shd w:val="clear" w:color="auto" w:fill="auto"/>
            <w:noWrap/>
            <w:vAlign w:val="center"/>
            <w:hideMark/>
          </w:tcPr>
          <w:p w14:paraId="25FCC363" w14:textId="0336A486"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9,197,750.00</w:t>
            </w:r>
          </w:p>
        </w:tc>
        <w:tc>
          <w:tcPr>
            <w:tcW w:w="1709" w:type="dxa"/>
            <w:tcBorders>
              <w:top w:val="nil"/>
              <w:left w:val="single" w:sz="4" w:space="0" w:color="auto"/>
              <w:bottom w:val="nil"/>
              <w:right w:val="single" w:sz="4" w:space="0" w:color="auto"/>
            </w:tcBorders>
            <w:shd w:val="clear" w:color="auto" w:fill="auto"/>
            <w:noWrap/>
            <w:vAlign w:val="center"/>
            <w:hideMark/>
          </w:tcPr>
          <w:p w14:paraId="6CE06C5A" w14:textId="0B9DC81B"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254,042,046.00</w:t>
            </w:r>
          </w:p>
        </w:tc>
        <w:tc>
          <w:tcPr>
            <w:tcW w:w="1693" w:type="dxa"/>
            <w:tcBorders>
              <w:top w:val="nil"/>
              <w:left w:val="single" w:sz="4" w:space="0" w:color="auto"/>
              <w:bottom w:val="nil"/>
              <w:right w:val="single" w:sz="4" w:space="0" w:color="auto"/>
            </w:tcBorders>
            <w:shd w:val="clear" w:color="auto" w:fill="auto"/>
            <w:noWrap/>
            <w:vAlign w:val="center"/>
            <w:hideMark/>
          </w:tcPr>
          <w:p w14:paraId="78A9AC28" w14:textId="42C5EE06"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-244,844,296.00</w:t>
            </w:r>
          </w:p>
        </w:tc>
      </w:tr>
      <w:tr w:rsidR="005C6630" w:rsidRPr="009C26EF" w14:paraId="455E76B9" w14:textId="77777777" w:rsidTr="00F8375F">
        <w:trPr>
          <w:trHeight w:val="300"/>
        </w:trPr>
        <w:tc>
          <w:tcPr>
            <w:tcW w:w="4394" w:type="dxa"/>
            <w:tcBorders>
              <w:top w:val="nil"/>
              <w:left w:val="single" w:sz="8" w:space="0" w:color="auto"/>
              <w:bottom w:val="nil"/>
              <w:right w:val="single" w:sz="8" w:space="0" w:color="auto"/>
            </w:tcBorders>
            <w:shd w:val="clear" w:color="auto" w:fill="auto"/>
            <w:vAlign w:val="center"/>
            <w:hideMark/>
          </w:tcPr>
          <w:p w14:paraId="177315FF" w14:textId="77777777" w:rsidR="005C6630" w:rsidRPr="005C6630" w:rsidRDefault="005C6630" w:rsidP="002F131C">
            <w:pPr>
              <w:rPr>
                <w:rFonts w:ascii="Montserrat Medium" w:eastAsia="Times New Roman" w:hAnsi="Montserrat Medium" w:cs="Calibri"/>
                <w:b/>
                <w:bCs/>
                <w:color w:val="000000"/>
                <w:sz w:val="16"/>
                <w:szCs w:val="18"/>
                <w:lang w:val="es-MX" w:eastAsia="es-MX"/>
              </w:rPr>
            </w:pPr>
            <w:r w:rsidRPr="005C6630">
              <w:rPr>
                <w:rFonts w:ascii="Montserrat Medium" w:eastAsia="Times New Roman" w:hAnsi="Montserrat Medium" w:cs="Calibri"/>
                <w:b/>
                <w:bCs/>
                <w:color w:val="000000"/>
                <w:sz w:val="16"/>
                <w:szCs w:val="18"/>
                <w:lang w:val="es-MX" w:eastAsia="es-MX"/>
              </w:rPr>
              <w:t>Accesorios de impuestos</w:t>
            </w:r>
          </w:p>
        </w:tc>
        <w:tc>
          <w:tcPr>
            <w:tcW w:w="1985" w:type="dxa"/>
            <w:tcBorders>
              <w:top w:val="nil"/>
              <w:left w:val="nil"/>
              <w:bottom w:val="nil"/>
              <w:right w:val="single" w:sz="8" w:space="0" w:color="auto"/>
            </w:tcBorders>
            <w:shd w:val="clear" w:color="auto" w:fill="auto"/>
            <w:noWrap/>
            <w:vAlign w:val="center"/>
            <w:hideMark/>
          </w:tcPr>
          <w:p w14:paraId="351F8F62" w14:textId="1A3CC8E5"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78,902,265.03</w:t>
            </w:r>
          </w:p>
        </w:tc>
        <w:tc>
          <w:tcPr>
            <w:tcW w:w="1709" w:type="dxa"/>
            <w:tcBorders>
              <w:top w:val="nil"/>
              <w:left w:val="nil"/>
              <w:bottom w:val="nil"/>
              <w:right w:val="single" w:sz="8" w:space="0" w:color="auto"/>
            </w:tcBorders>
            <w:shd w:val="clear" w:color="auto" w:fill="auto"/>
            <w:noWrap/>
            <w:vAlign w:val="center"/>
            <w:hideMark/>
          </w:tcPr>
          <w:p w14:paraId="16CC81D7" w14:textId="2A222C0A"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161,422,442.08</w:t>
            </w:r>
          </w:p>
        </w:tc>
        <w:tc>
          <w:tcPr>
            <w:tcW w:w="1693" w:type="dxa"/>
            <w:tcBorders>
              <w:top w:val="nil"/>
              <w:left w:val="nil"/>
              <w:bottom w:val="nil"/>
              <w:right w:val="single" w:sz="8" w:space="0" w:color="auto"/>
            </w:tcBorders>
            <w:shd w:val="clear" w:color="auto" w:fill="auto"/>
            <w:noWrap/>
            <w:vAlign w:val="center"/>
            <w:hideMark/>
          </w:tcPr>
          <w:p w14:paraId="3E9DC369" w14:textId="3393F7DD"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-82,520,177.05</w:t>
            </w:r>
          </w:p>
        </w:tc>
      </w:tr>
      <w:tr w:rsidR="005C6630" w:rsidRPr="009C26EF" w14:paraId="4105E424" w14:textId="77777777" w:rsidTr="00F8375F">
        <w:trPr>
          <w:trHeight w:val="96"/>
        </w:trPr>
        <w:tc>
          <w:tcPr>
            <w:tcW w:w="4394" w:type="dxa"/>
            <w:tcBorders>
              <w:top w:val="nil"/>
              <w:left w:val="single" w:sz="8" w:space="0" w:color="auto"/>
              <w:right w:val="single" w:sz="8" w:space="0" w:color="auto"/>
            </w:tcBorders>
            <w:shd w:val="clear" w:color="auto" w:fill="auto"/>
            <w:vAlign w:val="center"/>
            <w:hideMark/>
          </w:tcPr>
          <w:p w14:paraId="53FD8068"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Recargos</w:t>
            </w:r>
          </w:p>
        </w:tc>
        <w:tc>
          <w:tcPr>
            <w:tcW w:w="1985" w:type="dxa"/>
            <w:tcBorders>
              <w:top w:val="nil"/>
              <w:left w:val="nil"/>
              <w:right w:val="single" w:sz="8" w:space="0" w:color="auto"/>
            </w:tcBorders>
            <w:shd w:val="clear" w:color="auto" w:fill="auto"/>
            <w:noWrap/>
            <w:vAlign w:val="center"/>
            <w:hideMark/>
          </w:tcPr>
          <w:p w14:paraId="3F33F085" w14:textId="513F79C4"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39,385,024.00</w:t>
            </w:r>
          </w:p>
        </w:tc>
        <w:tc>
          <w:tcPr>
            <w:tcW w:w="1709" w:type="dxa"/>
            <w:tcBorders>
              <w:top w:val="nil"/>
              <w:left w:val="nil"/>
              <w:right w:val="single" w:sz="8" w:space="0" w:color="auto"/>
            </w:tcBorders>
            <w:shd w:val="clear" w:color="auto" w:fill="auto"/>
            <w:noWrap/>
            <w:vAlign w:val="center"/>
            <w:hideMark/>
          </w:tcPr>
          <w:p w14:paraId="469EF6E2" w14:textId="2AFDB991"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59,193,444.00</w:t>
            </w:r>
          </w:p>
        </w:tc>
        <w:tc>
          <w:tcPr>
            <w:tcW w:w="1693" w:type="dxa"/>
            <w:tcBorders>
              <w:top w:val="nil"/>
              <w:left w:val="nil"/>
              <w:right w:val="single" w:sz="8" w:space="0" w:color="auto"/>
            </w:tcBorders>
            <w:shd w:val="clear" w:color="auto" w:fill="auto"/>
            <w:noWrap/>
            <w:vAlign w:val="center"/>
            <w:hideMark/>
          </w:tcPr>
          <w:p w14:paraId="5B720A66" w14:textId="31B5E729"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-19,808,420.00</w:t>
            </w:r>
          </w:p>
        </w:tc>
      </w:tr>
      <w:tr w:rsidR="005C6630" w:rsidRPr="009C26EF" w14:paraId="338464FF" w14:textId="77777777" w:rsidTr="00050920">
        <w:trPr>
          <w:trHeight w:val="169"/>
        </w:trPr>
        <w:tc>
          <w:tcPr>
            <w:tcW w:w="4394" w:type="dxa"/>
            <w:tcBorders>
              <w:top w:val="nil"/>
              <w:left w:val="single" w:sz="8" w:space="0" w:color="auto"/>
              <w:right w:val="single" w:sz="8" w:space="0" w:color="auto"/>
            </w:tcBorders>
            <w:shd w:val="clear" w:color="auto" w:fill="auto"/>
            <w:vAlign w:val="center"/>
            <w:hideMark/>
          </w:tcPr>
          <w:p w14:paraId="1A0E00F0"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Multas</w:t>
            </w:r>
          </w:p>
        </w:tc>
        <w:tc>
          <w:tcPr>
            <w:tcW w:w="1985" w:type="dxa"/>
            <w:tcBorders>
              <w:top w:val="nil"/>
              <w:left w:val="nil"/>
              <w:right w:val="single" w:sz="8" w:space="0" w:color="auto"/>
            </w:tcBorders>
            <w:shd w:val="clear" w:color="auto" w:fill="auto"/>
            <w:noWrap/>
            <w:vAlign w:val="center"/>
            <w:hideMark/>
          </w:tcPr>
          <w:p w14:paraId="2646B215" w14:textId="6F939DCB"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20,650,794.74</w:t>
            </w:r>
          </w:p>
        </w:tc>
        <w:tc>
          <w:tcPr>
            <w:tcW w:w="1709" w:type="dxa"/>
            <w:tcBorders>
              <w:top w:val="nil"/>
              <w:left w:val="nil"/>
              <w:right w:val="single" w:sz="8" w:space="0" w:color="auto"/>
            </w:tcBorders>
            <w:shd w:val="clear" w:color="auto" w:fill="auto"/>
            <w:noWrap/>
            <w:vAlign w:val="center"/>
            <w:hideMark/>
          </w:tcPr>
          <w:p w14:paraId="012AA0A1" w14:textId="22E23476"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25,994,601.00</w:t>
            </w:r>
          </w:p>
        </w:tc>
        <w:tc>
          <w:tcPr>
            <w:tcW w:w="1693" w:type="dxa"/>
            <w:tcBorders>
              <w:top w:val="nil"/>
              <w:left w:val="nil"/>
              <w:right w:val="single" w:sz="8" w:space="0" w:color="auto"/>
            </w:tcBorders>
            <w:shd w:val="clear" w:color="auto" w:fill="auto"/>
            <w:noWrap/>
            <w:vAlign w:val="center"/>
            <w:hideMark/>
          </w:tcPr>
          <w:p w14:paraId="5B610186" w14:textId="28804634"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-5,343,806.26</w:t>
            </w:r>
          </w:p>
        </w:tc>
      </w:tr>
      <w:tr w:rsidR="005C6630" w:rsidRPr="009C26EF" w14:paraId="4A2FF2B6" w14:textId="77777777" w:rsidTr="00050920">
        <w:trPr>
          <w:trHeight w:val="300"/>
        </w:trPr>
        <w:tc>
          <w:tcPr>
            <w:tcW w:w="4394" w:type="dxa"/>
            <w:tcBorders>
              <w:top w:val="nil"/>
              <w:left w:val="single" w:sz="8" w:space="0" w:color="auto"/>
              <w:right w:val="single" w:sz="8" w:space="0" w:color="auto"/>
            </w:tcBorders>
            <w:shd w:val="clear" w:color="auto" w:fill="auto"/>
            <w:vAlign w:val="center"/>
            <w:hideMark/>
          </w:tcPr>
          <w:p w14:paraId="79235E7A"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Gastos de Ejecución</w:t>
            </w:r>
          </w:p>
        </w:tc>
        <w:tc>
          <w:tcPr>
            <w:tcW w:w="1985" w:type="dxa"/>
            <w:tcBorders>
              <w:top w:val="nil"/>
              <w:left w:val="nil"/>
              <w:right w:val="single" w:sz="8" w:space="0" w:color="auto"/>
            </w:tcBorders>
            <w:shd w:val="clear" w:color="auto" w:fill="auto"/>
            <w:noWrap/>
            <w:vAlign w:val="center"/>
            <w:hideMark/>
          </w:tcPr>
          <w:p w14:paraId="5CEC7856" w14:textId="377D3A1F"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18,866,446.29</w:t>
            </w:r>
          </w:p>
        </w:tc>
        <w:tc>
          <w:tcPr>
            <w:tcW w:w="1709" w:type="dxa"/>
            <w:tcBorders>
              <w:top w:val="nil"/>
              <w:left w:val="nil"/>
              <w:right w:val="single" w:sz="8" w:space="0" w:color="auto"/>
            </w:tcBorders>
            <w:shd w:val="clear" w:color="auto" w:fill="auto"/>
            <w:noWrap/>
            <w:vAlign w:val="center"/>
            <w:hideMark/>
          </w:tcPr>
          <w:p w14:paraId="76D16B8F" w14:textId="5405C8A5"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76,234,397.08</w:t>
            </w:r>
          </w:p>
        </w:tc>
        <w:tc>
          <w:tcPr>
            <w:tcW w:w="1693" w:type="dxa"/>
            <w:tcBorders>
              <w:top w:val="nil"/>
              <w:left w:val="nil"/>
              <w:right w:val="single" w:sz="8" w:space="0" w:color="auto"/>
            </w:tcBorders>
            <w:shd w:val="clear" w:color="auto" w:fill="auto"/>
            <w:noWrap/>
            <w:vAlign w:val="center"/>
            <w:hideMark/>
          </w:tcPr>
          <w:p w14:paraId="5B183180" w14:textId="7F626A02"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-57,367,950.79</w:t>
            </w:r>
          </w:p>
        </w:tc>
      </w:tr>
      <w:tr w:rsidR="005C6630" w:rsidRPr="009C26EF" w14:paraId="2108CDE0" w14:textId="77777777" w:rsidTr="00050920">
        <w:trPr>
          <w:trHeight w:val="653"/>
        </w:trPr>
        <w:tc>
          <w:tcPr>
            <w:tcW w:w="4394" w:type="dxa"/>
            <w:tcBorders>
              <w:left w:val="single" w:sz="8" w:space="0" w:color="auto"/>
              <w:bottom w:val="nil"/>
              <w:right w:val="single" w:sz="8" w:space="0" w:color="auto"/>
            </w:tcBorders>
            <w:shd w:val="clear" w:color="auto" w:fill="auto"/>
            <w:vAlign w:val="center"/>
            <w:hideMark/>
          </w:tcPr>
          <w:p w14:paraId="2C7F0995" w14:textId="77777777" w:rsidR="005C6630" w:rsidRPr="005C6630" w:rsidRDefault="005C6630" w:rsidP="002F131C">
            <w:pPr>
              <w:rPr>
                <w:rFonts w:ascii="Montserrat Medium" w:eastAsia="Times New Roman" w:hAnsi="Montserrat Medium" w:cs="Calibri"/>
                <w:b/>
                <w:bCs/>
                <w:color w:val="000000"/>
                <w:sz w:val="16"/>
                <w:szCs w:val="18"/>
                <w:lang w:val="es-MX" w:eastAsia="es-MX"/>
              </w:rPr>
            </w:pPr>
            <w:r w:rsidRPr="005C6630">
              <w:rPr>
                <w:rFonts w:ascii="Montserrat Medium" w:eastAsia="Times New Roman" w:hAnsi="Montserrat Medium" w:cs="Calibri"/>
                <w:b/>
                <w:bCs/>
                <w:color w:val="000000"/>
                <w:sz w:val="16"/>
                <w:szCs w:val="18"/>
                <w:lang w:val="es-MX" w:eastAsia="es-MX"/>
              </w:rPr>
              <w:t>Impuestos no comprendidos en la Ley de Ingresos vigente, causados en ejercicios fiscales anteriores pendientes de liquidación o pago</w:t>
            </w:r>
          </w:p>
        </w:tc>
        <w:tc>
          <w:tcPr>
            <w:tcW w:w="1985" w:type="dxa"/>
            <w:tcBorders>
              <w:left w:val="nil"/>
              <w:bottom w:val="nil"/>
              <w:right w:val="single" w:sz="8" w:space="0" w:color="auto"/>
            </w:tcBorders>
            <w:shd w:val="clear" w:color="auto" w:fill="auto"/>
            <w:noWrap/>
            <w:vAlign w:val="center"/>
            <w:hideMark/>
          </w:tcPr>
          <w:p w14:paraId="209F6E53" w14:textId="29F41C4C"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0.00</w:t>
            </w:r>
          </w:p>
        </w:tc>
        <w:tc>
          <w:tcPr>
            <w:tcW w:w="1709" w:type="dxa"/>
            <w:tcBorders>
              <w:left w:val="nil"/>
              <w:bottom w:val="nil"/>
              <w:right w:val="single" w:sz="8" w:space="0" w:color="auto"/>
            </w:tcBorders>
            <w:shd w:val="clear" w:color="auto" w:fill="auto"/>
            <w:noWrap/>
            <w:vAlign w:val="center"/>
            <w:hideMark/>
          </w:tcPr>
          <w:p w14:paraId="1F582DC9" w14:textId="16BB1032"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0.00</w:t>
            </w:r>
          </w:p>
        </w:tc>
        <w:tc>
          <w:tcPr>
            <w:tcW w:w="1693" w:type="dxa"/>
            <w:tcBorders>
              <w:left w:val="nil"/>
              <w:bottom w:val="nil"/>
              <w:right w:val="single" w:sz="8" w:space="0" w:color="auto"/>
            </w:tcBorders>
            <w:shd w:val="clear" w:color="auto" w:fill="auto"/>
            <w:noWrap/>
            <w:vAlign w:val="center"/>
            <w:hideMark/>
          </w:tcPr>
          <w:p w14:paraId="14E14460" w14:textId="58701435"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0.00</w:t>
            </w:r>
          </w:p>
        </w:tc>
      </w:tr>
      <w:tr w:rsidR="005C6630" w:rsidRPr="009C26EF" w14:paraId="150BAB15" w14:textId="77777777" w:rsidTr="00F8375F">
        <w:trPr>
          <w:trHeight w:val="121"/>
        </w:trPr>
        <w:tc>
          <w:tcPr>
            <w:tcW w:w="4394" w:type="dxa"/>
            <w:tcBorders>
              <w:top w:val="nil"/>
              <w:left w:val="single" w:sz="8" w:space="0" w:color="auto"/>
              <w:bottom w:val="nil"/>
              <w:right w:val="single" w:sz="8" w:space="0" w:color="auto"/>
            </w:tcBorders>
            <w:shd w:val="clear" w:color="auto" w:fill="auto"/>
            <w:vAlign w:val="center"/>
            <w:hideMark/>
          </w:tcPr>
          <w:p w14:paraId="69CECA49" w14:textId="77777777" w:rsidR="005C6630" w:rsidRPr="005C6630" w:rsidRDefault="005C6630" w:rsidP="002F131C">
            <w:pPr>
              <w:rPr>
                <w:rFonts w:ascii="Montserrat Medium" w:eastAsia="Times New Roman" w:hAnsi="Montserrat Medium" w:cs="Calibri"/>
                <w:b/>
                <w:bCs/>
                <w:color w:val="000000"/>
                <w:sz w:val="16"/>
                <w:szCs w:val="18"/>
                <w:lang w:val="es-MX" w:eastAsia="es-MX"/>
              </w:rPr>
            </w:pPr>
            <w:r w:rsidRPr="005C6630">
              <w:rPr>
                <w:rFonts w:ascii="Montserrat Medium" w:eastAsia="Times New Roman" w:hAnsi="Montserrat Medium" w:cs="Calibri"/>
                <w:b/>
                <w:bCs/>
                <w:color w:val="000000"/>
                <w:sz w:val="16"/>
                <w:szCs w:val="18"/>
                <w:lang w:val="es-MX" w:eastAsia="es-MX"/>
              </w:rPr>
              <w:t>Otros impuestos</w:t>
            </w:r>
          </w:p>
        </w:tc>
        <w:tc>
          <w:tcPr>
            <w:tcW w:w="1985" w:type="dxa"/>
            <w:tcBorders>
              <w:top w:val="nil"/>
              <w:left w:val="nil"/>
              <w:bottom w:val="nil"/>
              <w:right w:val="single" w:sz="8" w:space="0" w:color="auto"/>
            </w:tcBorders>
            <w:shd w:val="clear" w:color="auto" w:fill="auto"/>
            <w:noWrap/>
            <w:vAlign w:val="center"/>
            <w:hideMark/>
          </w:tcPr>
          <w:p w14:paraId="3D335066" w14:textId="26CDEBFD"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0.00</w:t>
            </w:r>
          </w:p>
        </w:tc>
        <w:tc>
          <w:tcPr>
            <w:tcW w:w="1709" w:type="dxa"/>
            <w:tcBorders>
              <w:top w:val="nil"/>
              <w:left w:val="nil"/>
              <w:bottom w:val="nil"/>
              <w:right w:val="single" w:sz="8" w:space="0" w:color="auto"/>
            </w:tcBorders>
            <w:shd w:val="clear" w:color="auto" w:fill="auto"/>
            <w:noWrap/>
            <w:vAlign w:val="center"/>
            <w:hideMark/>
          </w:tcPr>
          <w:p w14:paraId="74A038E3" w14:textId="5873F486"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0.00</w:t>
            </w:r>
          </w:p>
        </w:tc>
        <w:tc>
          <w:tcPr>
            <w:tcW w:w="1693" w:type="dxa"/>
            <w:tcBorders>
              <w:top w:val="nil"/>
              <w:left w:val="nil"/>
              <w:bottom w:val="nil"/>
              <w:right w:val="single" w:sz="8" w:space="0" w:color="auto"/>
            </w:tcBorders>
            <w:shd w:val="clear" w:color="auto" w:fill="auto"/>
            <w:noWrap/>
            <w:vAlign w:val="center"/>
            <w:hideMark/>
          </w:tcPr>
          <w:p w14:paraId="41B34284" w14:textId="76DB647B"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0.00</w:t>
            </w:r>
          </w:p>
        </w:tc>
      </w:tr>
      <w:tr w:rsidR="005C6630" w:rsidRPr="009C26EF" w14:paraId="6E420A34" w14:textId="77777777" w:rsidTr="00F8375F">
        <w:trPr>
          <w:trHeight w:val="300"/>
        </w:trPr>
        <w:tc>
          <w:tcPr>
            <w:tcW w:w="4394" w:type="dxa"/>
            <w:tcBorders>
              <w:top w:val="nil"/>
              <w:left w:val="single" w:sz="8" w:space="0" w:color="auto"/>
              <w:bottom w:val="nil"/>
              <w:right w:val="single" w:sz="8" w:space="0" w:color="auto"/>
            </w:tcBorders>
            <w:shd w:val="clear" w:color="000000" w:fill="BFBFBF"/>
            <w:vAlign w:val="center"/>
            <w:hideMark/>
          </w:tcPr>
          <w:p w14:paraId="7BAEF208" w14:textId="77777777" w:rsidR="005C6630" w:rsidRPr="005C6630" w:rsidRDefault="005C6630" w:rsidP="002F131C">
            <w:pPr>
              <w:rPr>
                <w:rFonts w:ascii="Montserrat Medium" w:eastAsia="Times New Roman" w:hAnsi="Montserrat Medium" w:cs="Calibri"/>
                <w:b/>
                <w:bCs/>
                <w:color w:val="000000"/>
                <w:sz w:val="16"/>
                <w:szCs w:val="18"/>
                <w:lang w:val="es-MX" w:eastAsia="es-MX"/>
              </w:rPr>
            </w:pPr>
            <w:r w:rsidRPr="005C6630">
              <w:rPr>
                <w:rFonts w:ascii="Montserrat Medium" w:eastAsia="Times New Roman" w:hAnsi="Montserrat Medium" w:cs="Calibri"/>
                <w:b/>
                <w:bCs/>
                <w:color w:val="000000"/>
                <w:sz w:val="16"/>
                <w:szCs w:val="18"/>
                <w:lang w:val="es-MX" w:eastAsia="es-MX"/>
              </w:rPr>
              <w:t>Cuotas y aportaciones de seguridad social</w:t>
            </w:r>
          </w:p>
        </w:tc>
        <w:tc>
          <w:tcPr>
            <w:tcW w:w="1985" w:type="dxa"/>
            <w:tcBorders>
              <w:top w:val="nil"/>
              <w:left w:val="nil"/>
              <w:bottom w:val="nil"/>
              <w:right w:val="single" w:sz="8" w:space="0" w:color="auto"/>
            </w:tcBorders>
            <w:shd w:val="clear" w:color="000000" w:fill="BFBFBF"/>
            <w:noWrap/>
            <w:vAlign w:val="center"/>
            <w:hideMark/>
          </w:tcPr>
          <w:p w14:paraId="01881FF6" w14:textId="0611DB14"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0.00</w:t>
            </w:r>
          </w:p>
        </w:tc>
        <w:tc>
          <w:tcPr>
            <w:tcW w:w="1709" w:type="dxa"/>
            <w:tcBorders>
              <w:top w:val="nil"/>
              <w:left w:val="nil"/>
              <w:bottom w:val="nil"/>
              <w:right w:val="single" w:sz="8" w:space="0" w:color="auto"/>
            </w:tcBorders>
            <w:shd w:val="clear" w:color="000000" w:fill="BFBFBF"/>
            <w:noWrap/>
            <w:vAlign w:val="center"/>
            <w:hideMark/>
          </w:tcPr>
          <w:p w14:paraId="5E3EC801" w14:textId="1D197AE5"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0.00</w:t>
            </w:r>
          </w:p>
        </w:tc>
        <w:tc>
          <w:tcPr>
            <w:tcW w:w="1693" w:type="dxa"/>
            <w:tcBorders>
              <w:top w:val="nil"/>
              <w:left w:val="nil"/>
              <w:bottom w:val="nil"/>
              <w:right w:val="single" w:sz="8" w:space="0" w:color="auto"/>
            </w:tcBorders>
            <w:shd w:val="clear" w:color="000000" w:fill="BFBFBF"/>
            <w:noWrap/>
            <w:vAlign w:val="center"/>
            <w:hideMark/>
          </w:tcPr>
          <w:p w14:paraId="298BAB94" w14:textId="25F0D842"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0.00</w:t>
            </w:r>
          </w:p>
        </w:tc>
      </w:tr>
      <w:tr w:rsidR="005C6630" w:rsidRPr="009C26EF" w14:paraId="5F7B330D" w14:textId="77777777" w:rsidTr="00F8375F">
        <w:trPr>
          <w:trHeight w:val="212"/>
        </w:trPr>
        <w:tc>
          <w:tcPr>
            <w:tcW w:w="4394" w:type="dxa"/>
            <w:tcBorders>
              <w:top w:val="nil"/>
              <w:left w:val="single" w:sz="8" w:space="0" w:color="auto"/>
              <w:bottom w:val="nil"/>
              <w:right w:val="single" w:sz="8" w:space="0" w:color="auto"/>
            </w:tcBorders>
            <w:shd w:val="clear" w:color="auto" w:fill="auto"/>
            <w:vAlign w:val="center"/>
            <w:hideMark/>
          </w:tcPr>
          <w:p w14:paraId="768E6AFE"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Aportaciones para Fondos de Vivienda</w:t>
            </w:r>
          </w:p>
        </w:tc>
        <w:tc>
          <w:tcPr>
            <w:tcW w:w="1985" w:type="dxa"/>
            <w:tcBorders>
              <w:top w:val="nil"/>
              <w:left w:val="nil"/>
              <w:bottom w:val="nil"/>
              <w:right w:val="single" w:sz="8" w:space="0" w:color="auto"/>
            </w:tcBorders>
            <w:shd w:val="clear" w:color="auto" w:fill="auto"/>
            <w:noWrap/>
            <w:vAlign w:val="center"/>
            <w:hideMark/>
          </w:tcPr>
          <w:p w14:paraId="50AB8716" w14:textId="10D289D9"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709" w:type="dxa"/>
            <w:tcBorders>
              <w:top w:val="nil"/>
              <w:left w:val="nil"/>
              <w:bottom w:val="nil"/>
              <w:right w:val="single" w:sz="8" w:space="0" w:color="auto"/>
            </w:tcBorders>
            <w:shd w:val="clear" w:color="auto" w:fill="auto"/>
            <w:noWrap/>
            <w:vAlign w:val="center"/>
            <w:hideMark/>
          </w:tcPr>
          <w:p w14:paraId="5F6A37B9" w14:textId="0BDB564A"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693" w:type="dxa"/>
            <w:tcBorders>
              <w:top w:val="nil"/>
              <w:left w:val="nil"/>
              <w:bottom w:val="nil"/>
              <w:right w:val="single" w:sz="8" w:space="0" w:color="auto"/>
            </w:tcBorders>
            <w:shd w:val="clear" w:color="auto" w:fill="auto"/>
            <w:noWrap/>
            <w:vAlign w:val="center"/>
            <w:hideMark/>
          </w:tcPr>
          <w:p w14:paraId="08E8A128" w14:textId="62D6FE70"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r>
      <w:tr w:rsidR="005C6630" w:rsidRPr="009C26EF" w14:paraId="73DA0EE0" w14:textId="77777777" w:rsidTr="00F8375F">
        <w:trPr>
          <w:trHeight w:val="130"/>
        </w:trPr>
        <w:tc>
          <w:tcPr>
            <w:tcW w:w="4394" w:type="dxa"/>
            <w:tcBorders>
              <w:top w:val="nil"/>
              <w:left w:val="single" w:sz="8" w:space="0" w:color="auto"/>
              <w:bottom w:val="nil"/>
              <w:right w:val="single" w:sz="8" w:space="0" w:color="auto"/>
            </w:tcBorders>
            <w:shd w:val="clear" w:color="auto" w:fill="auto"/>
            <w:vAlign w:val="center"/>
            <w:hideMark/>
          </w:tcPr>
          <w:p w14:paraId="14626A6B"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Cuotas para la Seguridad Social</w:t>
            </w:r>
          </w:p>
        </w:tc>
        <w:tc>
          <w:tcPr>
            <w:tcW w:w="1985" w:type="dxa"/>
            <w:tcBorders>
              <w:top w:val="nil"/>
              <w:left w:val="nil"/>
              <w:bottom w:val="nil"/>
              <w:right w:val="single" w:sz="8" w:space="0" w:color="auto"/>
            </w:tcBorders>
            <w:shd w:val="clear" w:color="auto" w:fill="auto"/>
            <w:noWrap/>
            <w:vAlign w:val="center"/>
            <w:hideMark/>
          </w:tcPr>
          <w:p w14:paraId="1E99458B" w14:textId="31FC4C70"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709" w:type="dxa"/>
            <w:tcBorders>
              <w:top w:val="nil"/>
              <w:left w:val="nil"/>
              <w:bottom w:val="nil"/>
              <w:right w:val="single" w:sz="8" w:space="0" w:color="auto"/>
            </w:tcBorders>
            <w:shd w:val="clear" w:color="auto" w:fill="auto"/>
            <w:noWrap/>
            <w:vAlign w:val="center"/>
            <w:hideMark/>
          </w:tcPr>
          <w:p w14:paraId="790DA196" w14:textId="12D10AF5"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693" w:type="dxa"/>
            <w:tcBorders>
              <w:top w:val="nil"/>
              <w:left w:val="nil"/>
              <w:bottom w:val="nil"/>
              <w:right w:val="single" w:sz="8" w:space="0" w:color="auto"/>
            </w:tcBorders>
            <w:shd w:val="clear" w:color="auto" w:fill="auto"/>
            <w:noWrap/>
            <w:vAlign w:val="center"/>
            <w:hideMark/>
          </w:tcPr>
          <w:p w14:paraId="1AFCEB42" w14:textId="6570B867"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r>
      <w:tr w:rsidR="005C6630" w:rsidRPr="009C26EF" w14:paraId="583381E5" w14:textId="77777777" w:rsidTr="00F8375F">
        <w:trPr>
          <w:trHeight w:val="217"/>
        </w:trPr>
        <w:tc>
          <w:tcPr>
            <w:tcW w:w="4394" w:type="dxa"/>
            <w:tcBorders>
              <w:top w:val="nil"/>
              <w:left w:val="single" w:sz="8" w:space="0" w:color="auto"/>
              <w:bottom w:val="nil"/>
              <w:right w:val="single" w:sz="8" w:space="0" w:color="auto"/>
            </w:tcBorders>
            <w:shd w:val="clear" w:color="auto" w:fill="auto"/>
            <w:vAlign w:val="center"/>
            <w:hideMark/>
          </w:tcPr>
          <w:p w14:paraId="0F79A7A8"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Cuotas de Ahorro para el Retiro</w:t>
            </w:r>
          </w:p>
        </w:tc>
        <w:tc>
          <w:tcPr>
            <w:tcW w:w="1985" w:type="dxa"/>
            <w:tcBorders>
              <w:top w:val="nil"/>
              <w:left w:val="nil"/>
              <w:bottom w:val="nil"/>
              <w:right w:val="single" w:sz="8" w:space="0" w:color="auto"/>
            </w:tcBorders>
            <w:shd w:val="clear" w:color="auto" w:fill="auto"/>
            <w:noWrap/>
            <w:vAlign w:val="center"/>
            <w:hideMark/>
          </w:tcPr>
          <w:p w14:paraId="49218A4F" w14:textId="4D43AA5F"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709" w:type="dxa"/>
            <w:tcBorders>
              <w:top w:val="nil"/>
              <w:left w:val="nil"/>
              <w:bottom w:val="nil"/>
              <w:right w:val="single" w:sz="8" w:space="0" w:color="auto"/>
            </w:tcBorders>
            <w:shd w:val="clear" w:color="auto" w:fill="auto"/>
            <w:noWrap/>
            <w:vAlign w:val="center"/>
            <w:hideMark/>
          </w:tcPr>
          <w:p w14:paraId="26C3CDF8" w14:textId="6E7E7EDD"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693" w:type="dxa"/>
            <w:tcBorders>
              <w:top w:val="nil"/>
              <w:left w:val="nil"/>
              <w:bottom w:val="nil"/>
              <w:right w:val="single" w:sz="8" w:space="0" w:color="auto"/>
            </w:tcBorders>
            <w:shd w:val="clear" w:color="auto" w:fill="auto"/>
            <w:noWrap/>
            <w:vAlign w:val="center"/>
            <w:hideMark/>
          </w:tcPr>
          <w:p w14:paraId="40C171B2" w14:textId="7846F131"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r>
      <w:tr w:rsidR="005C6630" w:rsidRPr="009C26EF" w14:paraId="723CEB7E" w14:textId="77777777" w:rsidTr="00050920">
        <w:trPr>
          <w:trHeight w:val="432"/>
        </w:trPr>
        <w:tc>
          <w:tcPr>
            <w:tcW w:w="4394" w:type="dxa"/>
            <w:tcBorders>
              <w:top w:val="nil"/>
              <w:left w:val="single" w:sz="8" w:space="0" w:color="auto"/>
              <w:right w:val="single" w:sz="8" w:space="0" w:color="auto"/>
            </w:tcBorders>
            <w:shd w:val="clear" w:color="auto" w:fill="auto"/>
            <w:vAlign w:val="center"/>
            <w:hideMark/>
          </w:tcPr>
          <w:p w14:paraId="4B0B0BED"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Accesorios de Cuotas y Aportaciones de Seguridad Social</w:t>
            </w:r>
          </w:p>
        </w:tc>
        <w:tc>
          <w:tcPr>
            <w:tcW w:w="1985" w:type="dxa"/>
            <w:tcBorders>
              <w:top w:val="nil"/>
              <w:left w:val="nil"/>
              <w:right w:val="single" w:sz="8" w:space="0" w:color="auto"/>
            </w:tcBorders>
            <w:shd w:val="clear" w:color="auto" w:fill="auto"/>
            <w:noWrap/>
            <w:vAlign w:val="center"/>
            <w:hideMark/>
          </w:tcPr>
          <w:p w14:paraId="01D565DB" w14:textId="1232EAF1"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709" w:type="dxa"/>
            <w:tcBorders>
              <w:top w:val="nil"/>
              <w:left w:val="nil"/>
              <w:right w:val="single" w:sz="8" w:space="0" w:color="auto"/>
            </w:tcBorders>
            <w:shd w:val="clear" w:color="auto" w:fill="auto"/>
            <w:noWrap/>
            <w:vAlign w:val="center"/>
            <w:hideMark/>
          </w:tcPr>
          <w:p w14:paraId="72B14577" w14:textId="33C78B7B"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693" w:type="dxa"/>
            <w:tcBorders>
              <w:top w:val="nil"/>
              <w:left w:val="nil"/>
              <w:right w:val="single" w:sz="8" w:space="0" w:color="auto"/>
            </w:tcBorders>
            <w:shd w:val="clear" w:color="auto" w:fill="auto"/>
            <w:noWrap/>
            <w:vAlign w:val="center"/>
            <w:hideMark/>
          </w:tcPr>
          <w:p w14:paraId="15C2EE4E" w14:textId="463D2B16"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r>
      <w:tr w:rsidR="005C6630" w:rsidRPr="009C26EF" w14:paraId="6FE4A8F7" w14:textId="77777777" w:rsidTr="00050920">
        <w:trPr>
          <w:trHeight w:val="283"/>
        </w:trPr>
        <w:tc>
          <w:tcPr>
            <w:tcW w:w="4394" w:type="dxa"/>
            <w:tcBorders>
              <w:left w:val="single" w:sz="8" w:space="0" w:color="auto"/>
              <w:right w:val="single" w:sz="8" w:space="0" w:color="auto"/>
            </w:tcBorders>
            <w:shd w:val="clear" w:color="auto" w:fill="auto"/>
            <w:vAlign w:val="center"/>
            <w:hideMark/>
          </w:tcPr>
          <w:p w14:paraId="262333B7"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Otras cuotas y Aportaciones para la Seguridad Social</w:t>
            </w:r>
          </w:p>
        </w:tc>
        <w:tc>
          <w:tcPr>
            <w:tcW w:w="1985" w:type="dxa"/>
            <w:tcBorders>
              <w:left w:val="nil"/>
              <w:right w:val="single" w:sz="8" w:space="0" w:color="auto"/>
            </w:tcBorders>
            <w:shd w:val="clear" w:color="auto" w:fill="auto"/>
            <w:noWrap/>
            <w:vAlign w:val="center"/>
            <w:hideMark/>
          </w:tcPr>
          <w:p w14:paraId="2F83BF89" w14:textId="3B6778DE"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709" w:type="dxa"/>
            <w:tcBorders>
              <w:left w:val="nil"/>
              <w:right w:val="single" w:sz="8" w:space="0" w:color="auto"/>
            </w:tcBorders>
            <w:shd w:val="clear" w:color="auto" w:fill="auto"/>
            <w:noWrap/>
            <w:vAlign w:val="center"/>
            <w:hideMark/>
          </w:tcPr>
          <w:p w14:paraId="6C57AC41" w14:textId="629711AD"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693" w:type="dxa"/>
            <w:tcBorders>
              <w:left w:val="nil"/>
              <w:right w:val="single" w:sz="8" w:space="0" w:color="auto"/>
            </w:tcBorders>
            <w:shd w:val="clear" w:color="auto" w:fill="auto"/>
            <w:noWrap/>
            <w:vAlign w:val="center"/>
            <w:hideMark/>
          </w:tcPr>
          <w:p w14:paraId="7A78305F" w14:textId="5B7979B3"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r>
      <w:tr w:rsidR="005C6630" w:rsidRPr="009C26EF" w14:paraId="243C54AD" w14:textId="77777777" w:rsidTr="00050920">
        <w:trPr>
          <w:trHeight w:val="300"/>
        </w:trPr>
        <w:tc>
          <w:tcPr>
            <w:tcW w:w="4394" w:type="dxa"/>
            <w:tcBorders>
              <w:left w:val="single" w:sz="8" w:space="0" w:color="auto"/>
              <w:right w:val="single" w:sz="8" w:space="0" w:color="auto"/>
            </w:tcBorders>
            <w:shd w:val="clear" w:color="000000" w:fill="BFBFBF"/>
            <w:vAlign w:val="center"/>
            <w:hideMark/>
          </w:tcPr>
          <w:p w14:paraId="323300B2" w14:textId="77777777" w:rsidR="005C6630" w:rsidRPr="005C6630" w:rsidRDefault="005C6630" w:rsidP="002F131C">
            <w:pPr>
              <w:rPr>
                <w:rFonts w:ascii="Montserrat Medium" w:eastAsia="Times New Roman" w:hAnsi="Montserrat Medium" w:cs="Calibri"/>
                <w:b/>
                <w:bCs/>
                <w:color w:val="000000"/>
                <w:sz w:val="16"/>
                <w:szCs w:val="18"/>
                <w:lang w:val="es-MX" w:eastAsia="es-MX"/>
              </w:rPr>
            </w:pPr>
            <w:r w:rsidRPr="005C6630">
              <w:rPr>
                <w:rFonts w:ascii="Montserrat Medium" w:eastAsia="Times New Roman" w:hAnsi="Montserrat Medium" w:cs="Calibri"/>
                <w:b/>
                <w:bCs/>
                <w:color w:val="000000"/>
                <w:sz w:val="16"/>
                <w:szCs w:val="18"/>
                <w:lang w:val="es-MX" w:eastAsia="es-MX"/>
              </w:rPr>
              <w:t>Contribuciones de mejoras</w:t>
            </w:r>
          </w:p>
        </w:tc>
        <w:tc>
          <w:tcPr>
            <w:tcW w:w="1985" w:type="dxa"/>
            <w:tcBorders>
              <w:left w:val="nil"/>
              <w:right w:val="single" w:sz="8" w:space="0" w:color="auto"/>
            </w:tcBorders>
            <w:shd w:val="clear" w:color="000000" w:fill="BFBFBF"/>
            <w:noWrap/>
            <w:vAlign w:val="center"/>
            <w:hideMark/>
          </w:tcPr>
          <w:p w14:paraId="69AE74F8" w14:textId="25A35E80"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0.00</w:t>
            </w:r>
          </w:p>
        </w:tc>
        <w:tc>
          <w:tcPr>
            <w:tcW w:w="1709" w:type="dxa"/>
            <w:tcBorders>
              <w:left w:val="nil"/>
              <w:right w:val="single" w:sz="8" w:space="0" w:color="auto"/>
            </w:tcBorders>
            <w:shd w:val="clear" w:color="000000" w:fill="BFBFBF"/>
            <w:noWrap/>
            <w:vAlign w:val="center"/>
            <w:hideMark/>
          </w:tcPr>
          <w:p w14:paraId="64CA32CC" w14:textId="00D44596"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0.00</w:t>
            </w:r>
          </w:p>
        </w:tc>
        <w:tc>
          <w:tcPr>
            <w:tcW w:w="1693" w:type="dxa"/>
            <w:tcBorders>
              <w:left w:val="nil"/>
              <w:right w:val="single" w:sz="8" w:space="0" w:color="auto"/>
            </w:tcBorders>
            <w:shd w:val="clear" w:color="000000" w:fill="BFBFBF"/>
            <w:noWrap/>
            <w:vAlign w:val="center"/>
            <w:hideMark/>
          </w:tcPr>
          <w:p w14:paraId="3C0B9ABF" w14:textId="076AEB78"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0.00</w:t>
            </w:r>
          </w:p>
        </w:tc>
      </w:tr>
      <w:tr w:rsidR="005C6630" w:rsidRPr="009C26EF" w14:paraId="43392703" w14:textId="77777777" w:rsidTr="00050920">
        <w:trPr>
          <w:trHeight w:val="280"/>
        </w:trPr>
        <w:tc>
          <w:tcPr>
            <w:tcW w:w="4394" w:type="dxa"/>
            <w:tcBorders>
              <w:left w:val="single" w:sz="8" w:space="0" w:color="auto"/>
              <w:bottom w:val="nil"/>
              <w:right w:val="single" w:sz="8" w:space="0" w:color="auto"/>
            </w:tcBorders>
            <w:shd w:val="clear" w:color="auto" w:fill="auto"/>
            <w:vAlign w:val="center"/>
            <w:hideMark/>
          </w:tcPr>
          <w:p w14:paraId="398928AC"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Contribuciones de mejoras por obras públicas</w:t>
            </w:r>
          </w:p>
        </w:tc>
        <w:tc>
          <w:tcPr>
            <w:tcW w:w="1985" w:type="dxa"/>
            <w:tcBorders>
              <w:left w:val="nil"/>
              <w:bottom w:val="nil"/>
              <w:right w:val="single" w:sz="8" w:space="0" w:color="auto"/>
            </w:tcBorders>
            <w:shd w:val="clear" w:color="auto" w:fill="auto"/>
            <w:noWrap/>
            <w:vAlign w:val="center"/>
            <w:hideMark/>
          </w:tcPr>
          <w:p w14:paraId="5DEA0E52" w14:textId="1C9A8374"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709" w:type="dxa"/>
            <w:tcBorders>
              <w:left w:val="nil"/>
              <w:bottom w:val="nil"/>
              <w:right w:val="single" w:sz="8" w:space="0" w:color="auto"/>
            </w:tcBorders>
            <w:shd w:val="clear" w:color="auto" w:fill="auto"/>
            <w:noWrap/>
            <w:vAlign w:val="center"/>
            <w:hideMark/>
          </w:tcPr>
          <w:p w14:paraId="773456B2" w14:textId="31B0B5A4"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693" w:type="dxa"/>
            <w:tcBorders>
              <w:left w:val="nil"/>
              <w:bottom w:val="nil"/>
              <w:right w:val="single" w:sz="8" w:space="0" w:color="auto"/>
            </w:tcBorders>
            <w:shd w:val="clear" w:color="auto" w:fill="auto"/>
            <w:noWrap/>
            <w:vAlign w:val="center"/>
            <w:hideMark/>
          </w:tcPr>
          <w:p w14:paraId="2DEEF4FC" w14:textId="07403335"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r>
      <w:tr w:rsidR="005C6630" w:rsidRPr="009C26EF" w14:paraId="30858AC2" w14:textId="77777777" w:rsidTr="00F8375F">
        <w:trPr>
          <w:trHeight w:val="566"/>
        </w:trPr>
        <w:tc>
          <w:tcPr>
            <w:tcW w:w="4394" w:type="dxa"/>
            <w:tcBorders>
              <w:top w:val="nil"/>
              <w:left w:val="single" w:sz="8" w:space="0" w:color="auto"/>
              <w:bottom w:val="nil"/>
              <w:right w:val="single" w:sz="8" w:space="0" w:color="auto"/>
            </w:tcBorders>
            <w:shd w:val="clear" w:color="auto" w:fill="auto"/>
            <w:vAlign w:val="center"/>
            <w:hideMark/>
          </w:tcPr>
          <w:p w14:paraId="029A722A"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Contribuciones de mejoras no comprendidas en la Ley de Ingresos vigente, causadas en ejercicios fiscales anteriores pendientes de liquidación o pago</w:t>
            </w:r>
          </w:p>
        </w:tc>
        <w:tc>
          <w:tcPr>
            <w:tcW w:w="1985" w:type="dxa"/>
            <w:tcBorders>
              <w:top w:val="nil"/>
              <w:left w:val="nil"/>
              <w:bottom w:val="nil"/>
              <w:right w:val="single" w:sz="8" w:space="0" w:color="auto"/>
            </w:tcBorders>
            <w:shd w:val="clear" w:color="auto" w:fill="auto"/>
            <w:noWrap/>
            <w:vAlign w:val="center"/>
            <w:hideMark/>
          </w:tcPr>
          <w:p w14:paraId="7A1A6116" w14:textId="24C7C55A"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709" w:type="dxa"/>
            <w:tcBorders>
              <w:top w:val="nil"/>
              <w:left w:val="nil"/>
              <w:bottom w:val="nil"/>
              <w:right w:val="single" w:sz="8" w:space="0" w:color="auto"/>
            </w:tcBorders>
            <w:shd w:val="clear" w:color="auto" w:fill="auto"/>
            <w:noWrap/>
            <w:vAlign w:val="center"/>
            <w:hideMark/>
          </w:tcPr>
          <w:p w14:paraId="610B9329" w14:textId="305A7723"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693" w:type="dxa"/>
            <w:tcBorders>
              <w:top w:val="nil"/>
              <w:left w:val="nil"/>
              <w:bottom w:val="nil"/>
              <w:right w:val="single" w:sz="8" w:space="0" w:color="auto"/>
            </w:tcBorders>
            <w:shd w:val="clear" w:color="auto" w:fill="auto"/>
            <w:noWrap/>
            <w:vAlign w:val="center"/>
            <w:hideMark/>
          </w:tcPr>
          <w:p w14:paraId="14197AB7" w14:textId="2AB6F9CB"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r>
      <w:tr w:rsidR="005C6630" w:rsidRPr="009C26EF" w14:paraId="0E54E2DB" w14:textId="77777777" w:rsidTr="00F8375F">
        <w:trPr>
          <w:trHeight w:val="300"/>
        </w:trPr>
        <w:tc>
          <w:tcPr>
            <w:tcW w:w="4394" w:type="dxa"/>
            <w:tcBorders>
              <w:top w:val="nil"/>
              <w:left w:val="single" w:sz="8" w:space="0" w:color="auto"/>
              <w:bottom w:val="nil"/>
              <w:right w:val="single" w:sz="8" w:space="0" w:color="auto"/>
            </w:tcBorders>
            <w:shd w:val="clear" w:color="000000" w:fill="BFBFBF"/>
            <w:vAlign w:val="center"/>
            <w:hideMark/>
          </w:tcPr>
          <w:p w14:paraId="0E290ADF" w14:textId="77777777" w:rsidR="005C6630" w:rsidRPr="005C6630" w:rsidRDefault="005C6630" w:rsidP="002F131C">
            <w:pPr>
              <w:rPr>
                <w:rFonts w:ascii="Montserrat Medium" w:eastAsia="Times New Roman" w:hAnsi="Montserrat Medium" w:cs="Calibri"/>
                <w:b/>
                <w:bCs/>
                <w:color w:val="000000"/>
                <w:sz w:val="16"/>
                <w:szCs w:val="18"/>
                <w:lang w:val="es-MX" w:eastAsia="es-MX"/>
              </w:rPr>
            </w:pPr>
            <w:r w:rsidRPr="005C6630">
              <w:rPr>
                <w:rFonts w:ascii="Montserrat Medium" w:eastAsia="Times New Roman" w:hAnsi="Montserrat Medium" w:cs="Calibri"/>
                <w:b/>
                <w:bCs/>
                <w:color w:val="000000"/>
                <w:sz w:val="16"/>
                <w:szCs w:val="18"/>
                <w:lang w:val="es-MX" w:eastAsia="es-MX"/>
              </w:rPr>
              <w:t>Derechos</w:t>
            </w:r>
          </w:p>
        </w:tc>
        <w:tc>
          <w:tcPr>
            <w:tcW w:w="1985" w:type="dxa"/>
            <w:tcBorders>
              <w:top w:val="nil"/>
              <w:left w:val="nil"/>
              <w:bottom w:val="nil"/>
              <w:right w:val="single" w:sz="8" w:space="0" w:color="auto"/>
            </w:tcBorders>
            <w:shd w:val="clear" w:color="000000" w:fill="BFBFBF"/>
            <w:noWrap/>
            <w:vAlign w:val="center"/>
            <w:hideMark/>
          </w:tcPr>
          <w:p w14:paraId="5792D10C" w14:textId="4A647783"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1,610,080,708.31</w:t>
            </w:r>
          </w:p>
        </w:tc>
        <w:tc>
          <w:tcPr>
            <w:tcW w:w="1709" w:type="dxa"/>
            <w:tcBorders>
              <w:top w:val="nil"/>
              <w:left w:val="nil"/>
              <w:bottom w:val="nil"/>
              <w:right w:val="single" w:sz="8" w:space="0" w:color="auto"/>
            </w:tcBorders>
            <w:shd w:val="clear" w:color="000000" w:fill="BFBFBF"/>
            <w:noWrap/>
            <w:vAlign w:val="center"/>
            <w:hideMark/>
          </w:tcPr>
          <w:p w14:paraId="366A9080" w14:textId="2627A8CA"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2,321,969,670.03</w:t>
            </w:r>
          </w:p>
        </w:tc>
        <w:tc>
          <w:tcPr>
            <w:tcW w:w="1693" w:type="dxa"/>
            <w:tcBorders>
              <w:top w:val="nil"/>
              <w:left w:val="nil"/>
              <w:bottom w:val="nil"/>
              <w:right w:val="single" w:sz="8" w:space="0" w:color="auto"/>
            </w:tcBorders>
            <w:shd w:val="clear" w:color="000000" w:fill="BFBFBF"/>
            <w:noWrap/>
            <w:vAlign w:val="center"/>
            <w:hideMark/>
          </w:tcPr>
          <w:p w14:paraId="313661DB" w14:textId="725CA035"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-1,071,130,285.86</w:t>
            </w:r>
          </w:p>
        </w:tc>
      </w:tr>
      <w:tr w:rsidR="005C6630" w:rsidRPr="009C26EF" w14:paraId="6A66AC5B" w14:textId="77777777" w:rsidTr="00F8375F">
        <w:trPr>
          <w:trHeight w:val="395"/>
        </w:trPr>
        <w:tc>
          <w:tcPr>
            <w:tcW w:w="4394" w:type="dxa"/>
            <w:tcBorders>
              <w:top w:val="nil"/>
              <w:left w:val="single" w:sz="8" w:space="0" w:color="auto"/>
              <w:bottom w:val="nil"/>
              <w:right w:val="single" w:sz="8" w:space="0" w:color="auto"/>
            </w:tcBorders>
            <w:shd w:val="clear" w:color="auto" w:fill="auto"/>
            <w:vAlign w:val="center"/>
            <w:hideMark/>
          </w:tcPr>
          <w:p w14:paraId="698FAC4B" w14:textId="77777777" w:rsidR="005C6630" w:rsidRPr="005C6630" w:rsidRDefault="005C6630" w:rsidP="002F131C">
            <w:pPr>
              <w:rPr>
                <w:rFonts w:ascii="Montserrat Medium" w:eastAsia="Times New Roman" w:hAnsi="Montserrat Medium" w:cs="Calibri"/>
                <w:b/>
                <w:bCs/>
                <w:color w:val="000000"/>
                <w:sz w:val="16"/>
                <w:szCs w:val="18"/>
                <w:lang w:val="es-MX" w:eastAsia="es-MX"/>
              </w:rPr>
            </w:pPr>
            <w:r w:rsidRPr="005C6630">
              <w:rPr>
                <w:rFonts w:ascii="Montserrat Medium" w:eastAsia="Times New Roman" w:hAnsi="Montserrat Medium" w:cs="Calibri"/>
                <w:b/>
                <w:bCs/>
                <w:color w:val="000000"/>
                <w:sz w:val="16"/>
                <w:szCs w:val="18"/>
                <w:lang w:val="es-MX" w:eastAsia="es-MX"/>
              </w:rPr>
              <w:t>Derechos por el uso, goce, aprovechamiento o explotación de bienes de dominio público</w:t>
            </w:r>
          </w:p>
        </w:tc>
        <w:tc>
          <w:tcPr>
            <w:tcW w:w="1985" w:type="dxa"/>
            <w:tcBorders>
              <w:top w:val="nil"/>
              <w:left w:val="nil"/>
              <w:bottom w:val="nil"/>
              <w:right w:val="single" w:sz="8" w:space="0" w:color="auto"/>
            </w:tcBorders>
            <w:shd w:val="clear" w:color="auto" w:fill="auto"/>
            <w:noWrap/>
            <w:vAlign w:val="center"/>
            <w:hideMark/>
          </w:tcPr>
          <w:p w14:paraId="47D1B70D" w14:textId="182060DC"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359,236,011.14</w:t>
            </w:r>
          </w:p>
        </w:tc>
        <w:tc>
          <w:tcPr>
            <w:tcW w:w="1709" w:type="dxa"/>
            <w:tcBorders>
              <w:top w:val="nil"/>
              <w:left w:val="nil"/>
              <w:bottom w:val="nil"/>
              <w:right w:val="single" w:sz="8" w:space="0" w:color="auto"/>
            </w:tcBorders>
            <w:shd w:val="clear" w:color="auto" w:fill="auto"/>
            <w:noWrap/>
            <w:vAlign w:val="center"/>
            <w:hideMark/>
          </w:tcPr>
          <w:p w14:paraId="53684696" w14:textId="3CE75CA1"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0.00</w:t>
            </w:r>
          </w:p>
        </w:tc>
        <w:tc>
          <w:tcPr>
            <w:tcW w:w="1693" w:type="dxa"/>
            <w:tcBorders>
              <w:top w:val="nil"/>
              <w:left w:val="nil"/>
              <w:bottom w:val="nil"/>
              <w:right w:val="single" w:sz="8" w:space="0" w:color="auto"/>
            </w:tcBorders>
            <w:shd w:val="clear" w:color="auto" w:fill="auto"/>
            <w:noWrap/>
            <w:vAlign w:val="center"/>
            <w:hideMark/>
          </w:tcPr>
          <w:p w14:paraId="6268D2AA" w14:textId="382C2237"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0.00</w:t>
            </w:r>
          </w:p>
        </w:tc>
      </w:tr>
      <w:tr w:rsidR="005C6630" w:rsidRPr="009C26EF" w14:paraId="44548800" w14:textId="77777777" w:rsidTr="00F8375F">
        <w:trPr>
          <w:trHeight w:val="131"/>
        </w:trPr>
        <w:tc>
          <w:tcPr>
            <w:tcW w:w="4394" w:type="dxa"/>
            <w:tcBorders>
              <w:top w:val="nil"/>
              <w:left w:val="single" w:sz="8" w:space="0" w:color="auto"/>
              <w:bottom w:val="nil"/>
              <w:right w:val="single" w:sz="8" w:space="0" w:color="auto"/>
            </w:tcBorders>
            <w:shd w:val="clear" w:color="auto" w:fill="auto"/>
            <w:vAlign w:val="center"/>
            <w:hideMark/>
          </w:tcPr>
          <w:p w14:paraId="7FEF0EC6"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Secretaría de Finanzas y Planeación</w:t>
            </w:r>
          </w:p>
        </w:tc>
        <w:tc>
          <w:tcPr>
            <w:tcW w:w="1985" w:type="dxa"/>
            <w:tcBorders>
              <w:top w:val="nil"/>
              <w:left w:val="nil"/>
              <w:bottom w:val="nil"/>
              <w:right w:val="single" w:sz="8" w:space="0" w:color="auto"/>
            </w:tcBorders>
            <w:shd w:val="clear" w:color="auto" w:fill="auto"/>
            <w:noWrap/>
            <w:vAlign w:val="center"/>
            <w:hideMark/>
          </w:tcPr>
          <w:p w14:paraId="1116BB77" w14:textId="20E0B863"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359,236,011.14</w:t>
            </w:r>
          </w:p>
        </w:tc>
        <w:tc>
          <w:tcPr>
            <w:tcW w:w="1709" w:type="dxa"/>
            <w:tcBorders>
              <w:top w:val="nil"/>
              <w:left w:val="nil"/>
              <w:bottom w:val="nil"/>
              <w:right w:val="single" w:sz="8" w:space="0" w:color="auto"/>
            </w:tcBorders>
            <w:shd w:val="clear" w:color="auto" w:fill="auto"/>
            <w:noWrap/>
            <w:vAlign w:val="center"/>
            <w:hideMark/>
          </w:tcPr>
          <w:p w14:paraId="30228FAF" w14:textId="0BB7127A"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693" w:type="dxa"/>
            <w:tcBorders>
              <w:top w:val="nil"/>
              <w:left w:val="nil"/>
              <w:bottom w:val="nil"/>
              <w:right w:val="single" w:sz="8" w:space="0" w:color="auto"/>
            </w:tcBorders>
            <w:shd w:val="clear" w:color="auto" w:fill="auto"/>
            <w:noWrap/>
            <w:vAlign w:val="center"/>
            <w:hideMark/>
          </w:tcPr>
          <w:p w14:paraId="38EF030B" w14:textId="55A7AC72"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359,236,011.14</w:t>
            </w:r>
          </w:p>
        </w:tc>
      </w:tr>
      <w:tr w:rsidR="005C6630" w:rsidRPr="009C26EF" w14:paraId="09136B8A" w14:textId="77777777" w:rsidTr="00F8375F">
        <w:trPr>
          <w:trHeight w:val="300"/>
        </w:trPr>
        <w:tc>
          <w:tcPr>
            <w:tcW w:w="4394" w:type="dxa"/>
            <w:tcBorders>
              <w:top w:val="nil"/>
              <w:left w:val="single" w:sz="8" w:space="0" w:color="auto"/>
              <w:bottom w:val="nil"/>
              <w:right w:val="single" w:sz="8" w:space="0" w:color="auto"/>
            </w:tcBorders>
            <w:shd w:val="clear" w:color="auto" w:fill="auto"/>
            <w:vAlign w:val="center"/>
            <w:hideMark/>
          </w:tcPr>
          <w:p w14:paraId="79F23B04" w14:textId="77777777" w:rsidR="005C6630" w:rsidRPr="005C6630" w:rsidRDefault="005C6630" w:rsidP="002F131C">
            <w:pPr>
              <w:rPr>
                <w:rFonts w:ascii="Montserrat Medium" w:eastAsia="Times New Roman" w:hAnsi="Montserrat Medium" w:cs="Calibri"/>
                <w:b/>
                <w:bCs/>
                <w:color w:val="000000"/>
                <w:sz w:val="16"/>
                <w:szCs w:val="18"/>
                <w:lang w:val="es-MX" w:eastAsia="es-MX"/>
              </w:rPr>
            </w:pPr>
            <w:r w:rsidRPr="005C6630">
              <w:rPr>
                <w:rFonts w:ascii="Montserrat Medium" w:eastAsia="Times New Roman" w:hAnsi="Montserrat Medium" w:cs="Calibri"/>
                <w:b/>
                <w:bCs/>
                <w:color w:val="000000"/>
                <w:sz w:val="16"/>
                <w:szCs w:val="18"/>
                <w:lang w:val="es-MX" w:eastAsia="es-MX"/>
              </w:rPr>
              <w:t>Derechos por prestación de servicios</w:t>
            </w:r>
          </w:p>
        </w:tc>
        <w:tc>
          <w:tcPr>
            <w:tcW w:w="1985" w:type="dxa"/>
            <w:tcBorders>
              <w:top w:val="nil"/>
              <w:left w:val="nil"/>
              <w:bottom w:val="nil"/>
              <w:right w:val="single" w:sz="8" w:space="0" w:color="auto"/>
            </w:tcBorders>
            <w:shd w:val="clear" w:color="auto" w:fill="auto"/>
            <w:noWrap/>
            <w:vAlign w:val="center"/>
            <w:hideMark/>
          </w:tcPr>
          <w:p w14:paraId="5CCF128B" w14:textId="48C9E37A"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1,189,913,703.17</w:t>
            </w:r>
          </w:p>
        </w:tc>
        <w:tc>
          <w:tcPr>
            <w:tcW w:w="1709" w:type="dxa"/>
            <w:tcBorders>
              <w:top w:val="nil"/>
              <w:left w:val="nil"/>
              <w:bottom w:val="nil"/>
              <w:right w:val="single" w:sz="8" w:space="0" w:color="auto"/>
            </w:tcBorders>
            <w:shd w:val="clear" w:color="auto" w:fill="auto"/>
            <w:noWrap/>
            <w:vAlign w:val="center"/>
            <w:hideMark/>
          </w:tcPr>
          <w:p w14:paraId="0F0755B6" w14:textId="2703CEFD"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2,206,790,477.03</w:t>
            </w:r>
          </w:p>
        </w:tc>
        <w:tc>
          <w:tcPr>
            <w:tcW w:w="1693" w:type="dxa"/>
            <w:tcBorders>
              <w:top w:val="nil"/>
              <w:left w:val="nil"/>
              <w:bottom w:val="nil"/>
              <w:right w:val="single" w:sz="8" w:space="0" w:color="auto"/>
            </w:tcBorders>
            <w:shd w:val="clear" w:color="auto" w:fill="auto"/>
            <w:noWrap/>
            <w:vAlign w:val="center"/>
            <w:hideMark/>
          </w:tcPr>
          <w:p w14:paraId="276FDA38" w14:textId="244C7E37"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-1,016,877,008.86</w:t>
            </w:r>
          </w:p>
        </w:tc>
      </w:tr>
      <w:tr w:rsidR="005C6630" w:rsidRPr="009C26EF" w14:paraId="30EB2051" w14:textId="77777777" w:rsidTr="00F8375F">
        <w:trPr>
          <w:trHeight w:val="70"/>
        </w:trPr>
        <w:tc>
          <w:tcPr>
            <w:tcW w:w="4394" w:type="dxa"/>
            <w:tcBorders>
              <w:top w:val="nil"/>
              <w:left w:val="single" w:sz="8" w:space="0" w:color="auto"/>
              <w:bottom w:val="nil"/>
              <w:right w:val="single" w:sz="8" w:space="0" w:color="auto"/>
            </w:tcBorders>
            <w:shd w:val="clear" w:color="auto" w:fill="auto"/>
            <w:vAlign w:val="center"/>
            <w:hideMark/>
          </w:tcPr>
          <w:p w14:paraId="491154C4"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Secretaría de Gobierno</w:t>
            </w:r>
          </w:p>
        </w:tc>
        <w:tc>
          <w:tcPr>
            <w:tcW w:w="1985" w:type="dxa"/>
            <w:tcBorders>
              <w:top w:val="nil"/>
              <w:left w:val="nil"/>
              <w:bottom w:val="nil"/>
              <w:right w:val="single" w:sz="8" w:space="0" w:color="auto"/>
            </w:tcBorders>
            <w:shd w:val="clear" w:color="auto" w:fill="auto"/>
            <w:noWrap/>
            <w:vAlign w:val="center"/>
            <w:hideMark/>
          </w:tcPr>
          <w:p w14:paraId="38EDAF8E" w14:textId="0A919E4A"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423,819,623.00</w:t>
            </w:r>
          </w:p>
        </w:tc>
        <w:tc>
          <w:tcPr>
            <w:tcW w:w="1709" w:type="dxa"/>
            <w:tcBorders>
              <w:top w:val="nil"/>
              <w:left w:val="nil"/>
              <w:bottom w:val="nil"/>
              <w:right w:val="single" w:sz="8" w:space="0" w:color="auto"/>
            </w:tcBorders>
            <w:shd w:val="clear" w:color="auto" w:fill="auto"/>
            <w:noWrap/>
            <w:vAlign w:val="center"/>
            <w:hideMark/>
          </w:tcPr>
          <w:p w14:paraId="1174B7F3" w14:textId="2A90ACC7"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969,978,433.00</w:t>
            </w:r>
          </w:p>
        </w:tc>
        <w:tc>
          <w:tcPr>
            <w:tcW w:w="1693" w:type="dxa"/>
            <w:tcBorders>
              <w:top w:val="nil"/>
              <w:left w:val="nil"/>
              <w:bottom w:val="nil"/>
              <w:right w:val="single" w:sz="8" w:space="0" w:color="auto"/>
            </w:tcBorders>
            <w:shd w:val="clear" w:color="auto" w:fill="auto"/>
            <w:noWrap/>
            <w:vAlign w:val="center"/>
            <w:hideMark/>
          </w:tcPr>
          <w:p w14:paraId="45C1A531" w14:textId="5A23FAC3"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-546,158,810.00</w:t>
            </w:r>
          </w:p>
        </w:tc>
      </w:tr>
      <w:tr w:rsidR="005C6630" w:rsidRPr="009C26EF" w14:paraId="3F915CBC" w14:textId="77777777" w:rsidTr="00F8375F">
        <w:trPr>
          <w:trHeight w:val="155"/>
        </w:trPr>
        <w:tc>
          <w:tcPr>
            <w:tcW w:w="4394" w:type="dxa"/>
            <w:tcBorders>
              <w:top w:val="nil"/>
              <w:left w:val="single" w:sz="8" w:space="0" w:color="auto"/>
              <w:bottom w:val="nil"/>
              <w:right w:val="single" w:sz="8" w:space="0" w:color="auto"/>
            </w:tcBorders>
            <w:shd w:val="clear" w:color="auto" w:fill="auto"/>
            <w:vAlign w:val="center"/>
            <w:hideMark/>
          </w:tcPr>
          <w:p w14:paraId="4743A342"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Secretaría de Finanzas y Planeación</w:t>
            </w:r>
          </w:p>
        </w:tc>
        <w:tc>
          <w:tcPr>
            <w:tcW w:w="1985" w:type="dxa"/>
            <w:tcBorders>
              <w:top w:val="nil"/>
              <w:left w:val="nil"/>
              <w:bottom w:val="nil"/>
              <w:right w:val="single" w:sz="8" w:space="0" w:color="auto"/>
            </w:tcBorders>
            <w:shd w:val="clear" w:color="auto" w:fill="auto"/>
            <w:noWrap/>
            <w:vAlign w:val="center"/>
            <w:hideMark/>
          </w:tcPr>
          <w:p w14:paraId="08DB0108" w14:textId="12ECE465"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645,365,152.17</w:t>
            </w:r>
          </w:p>
        </w:tc>
        <w:tc>
          <w:tcPr>
            <w:tcW w:w="1709" w:type="dxa"/>
            <w:tcBorders>
              <w:top w:val="nil"/>
              <w:left w:val="nil"/>
              <w:bottom w:val="nil"/>
              <w:right w:val="single" w:sz="8" w:space="0" w:color="auto"/>
            </w:tcBorders>
            <w:shd w:val="clear" w:color="auto" w:fill="auto"/>
            <w:noWrap/>
            <w:vAlign w:val="center"/>
            <w:hideMark/>
          </w:tcPr>
          <w:p w14:paraId="54C35284" w14:textId="756EC0F3"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940,038,917.03</w:t>
            </w:r>
          </w:p>
        </w:tc>
        <w:tc>
          <w:tcPr>
            <w:tcW w:w="1693" w:type="dxa"/>
            <w:tcBorders>
              <w:top w:val="nil"/>
              <w:left w:val="nil"/>
              <w:bottom w:val="nil"/>
              <w:right w:val="single" w:sz="8" w:space="0" w:color="auto"/>
            </w:tcBorders>
            <w:shd w:val="clear" w:color="auto" w:fill="auto"/>
            <w:noWrap/>
            <w:vAlign w:val="center"/>
            <w:hideMark/>
          </w:tcPr>
          <w:p w14:paraId="64417E26" w14:textId="08612F92"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-294,673,764.86</w:t>
            </w:r>
          </w:p>
        </w:tc>
      </w:tr>
      <w:tr w:rsidR="005C6630" w:rsidRPr="009C26EF" w14:paraId="2D1E64EA" w14:textId="77777777" w:rsidTr="00F8375F">
        <w:trPr>
          <w:trHeight w:val="385"/>
        </w:trPr>
        <w:tc>
          <w:tcPr>
            <w:tcW w:w="4394" w:type="dxa"/>
            <w:tcBorders>
              <w:top w:val="nil"/>
              <w:left w:val="single" w:sz="8" w:space="0" w:color="auto"/>
              <w:bottom w:val="nil"/>
              <w:right w:val="single" w:sz="8" w:space="0" w:color="auto"/>
            </w:tcBorders>
            <w:shd w:val="clear" w:color="auto" w:fill="auto"/>
            <w:vAlign w:val="center"/>
            <w:hideMark/>
          </w:tcPr>
          <w:p w14:paraId="469F6579"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Secretaría de Desarrollo Territorial Urbano Sustentable</w:t>
            </w:r>
          </w:p>
        </w:tc>
        <w:tc>
          <w:tcPr>
            <w:tcW w:w="1985" w:type="dxa"/>
            <w:tcBorders>
              <w:top w:val="nil"/>
              <w:left w:val="nil"/>
              <w:bottom w:val="nil"/>
              <w:right w:val="single" w:sz="8" w:space="0" w:color="auto"/>
            </w:tcBorders>
            <w:shd w:val="clear" w:color="auto" w:fill="auto"/>
            <w:noWrap/>
            <w:vAlign w:val="center"/>
            <w:hideMark/>
          </w:tcPr>
          <w:p w14:paraId="6C04B03E" w14:textId="7ED1574D"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78,396,196.00</w:t>
            </w:r>
          </w:p>
        </w:tc>
        <w:tc>
          <w:tcPr>
            <w:tcW w:w="1709" w:type="dxa"/>
            <w:tcBorders>
              <w:top w:val="nil"/>
              <w:left w:val="nil"/>
              <w:bottom w:val="nil"/>
              <w:right w:val="single" w:sz="8" w:space="0" w:color="auto"/>
            </w:tcBorders>
            <w:shd w:val="clear" w:color="auto" w:fill="auto"/>
            <w:noWrap/>
            <w:vAlign w:val="center"/>
            <w:hideMark/>
          </w:tcPr>
          <w:p w14:paraId="0AEA19D6" w14:textId="1FA1E611"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225,850,947.00</w:t>
            </w:r>
          </w:p>
        </w:tc>
        <w:tc>
          <w:tcPr>
            <w:tcW w:w="1693" w:type="dxa"/>
            <w:tcBorders>
              <w:top w:val="nil"/>
              <w:left w:val="nil"/>
              <w:bottom w:val="nil"/>
              <w:right w:val="single" w:sz="8" w:space="0" w:color="auto"/>
            </w:tcBorders>
            <w:shd w:val="clear" w:color="auto" w:fill="auto"/>
            <w:noWrap/>
            <w:vAlign w:val="center"/>
            <w:hideMark/>
          </w:tcPr>
          <w:p w14:paraId="51EDDC04" w14:textId="2AFAE593"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-147,454,751.00</w:t>
            </w:r>
          </w:p>
        </w:tc>
      </w:tr>
      <w:tr w:rsidR="005C6630" w:rsidRPr="009C26EF" w14:paraId="79D753CA" w14:textId="77777777" w:rsidTr="00F8375F">
        <w:trPr>
          <w:trHeight w:val="136"/>
        </w:trPr>
        <w:tc>
          <w:tcPr>
            <w:tcW w:w="4394" w:type="dxa"/>
            <w:tcBorders>
              <w:top w:val="nil"/>
              <w:left w:val="single" w:sz="8" w:space="0" w:color="auto"/>
              <w:bottom w:val="nil"/>
              <w:right w:val="single" w:sz="8" w:space="0" w:color="auto"/>
            </w:tcBorders>
            <w:shd w:val="clear" w:color="auto" w:fill="auto"/>
            <w:vAlign w:val="center"/>
            <w:hideMark/>
          </w:tcPr>
          <w:p w14:paraId="02122839"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Secretaría de Obras Públicas</w:t>
            </w:r>
          </w:p>
        </w:tc>
        <w:tc>
          <w:tcPr>
            <w:tcW w:w="1985" w:type="dxa"/>
            <w:tcBorders>
              <w:top w:val="nil"/>
              <w:left w:val="nil"/>
              <w:bottom w:val="nil"/>
              <w:right w:val="single" w:sz="8" w:space="0" w:color="auto"/>
            </w:tcBorders>
            <w:shd w:val="clear" w:color="auto" w:fill="auto"/>
            <w:noWrap/>
            <w:vAlign w:val="center"/>
            <w:hideMark/>
          </w:tcPr>
          <w:p w14:paraId="0D9DC390" w14:textId="74B03A50"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2,430,929.00</w:t>
            </w:r>
          </w:p>
        </w:tc>
        <w:tc>
          <w:tcPr>
            <w:tcW w:w="1709" w:type="dxa"/>
            <w:tcBorders>
              <w:top w:val="nil"/>
              <w:left w:val="nil"/>
              <w:bottom w:val="nil"/>
              <w:right w:val="single" w:sz="8" w:space="0" w:color="auto"/>
            </w:tcBorders>
            <w:shd w:val="clear" w:color="auto" w:fill="auto"/>
            <w:noWrap/>
            <w:vAlign w:val="center"/>
            <w:hideMark/>
          </w:tcPr>
          <w:p w14:paraId="78642F46" w14:textId="23C6A50B"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885,483.00</w:t>
            </w:r>
          </w:p>
        </w:tc>
        <w:tc>
          <w:tcPr>
            <w:tcW w:w="1693" w:type="dxa"/>
            <w:tcBorders>
              <w:top w:val="nil"/>
              <w:left w:val="nil"/>
              <w:bottom w:val="nil"/>
              <w:right w:val="single" w:sz="8" w:space="0" w:color="auto"/>
            </w:tcBorders>
            <w:shd w:val="clear" w:color="auto" w:fill="auto"/>
            <w:noWrap/>
            <w:vAlign w:val="center"/>
            <w:hideMark/>
          </w:tcPr>
          <w:p w14:paraId="3676779B" w14:textId="6E5BC733"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1,545,446.00</w:t>
            </w:r>
          </w:p>
        </w:tc>
      </w:tr>
      <w:tr w:rsidR="005C6630" w:rsidRPr="009C26EF" w14:paraId="426E1720" w14:textId="77777777" w:rsidTr="00B552D2">
        <w:trPr>
          <w:trHeight w:val="223"/>
        </w:trPr>
        <w:tc>
          <w:tcPr>
            <w:tcW w:w="4394" w:type="dxa"/>
            <w:tcBorders>
              <w:top w:val="nil"/>
              <w:left w:val="single" w:sz="8" w:space="0" w:color="auto"/>
              <w:right w:val="single" w:sz="8" w:space="0" w:color="auto"/>
            </w:tcBorders>
            <w:shd w:val="clear" w:color="auto" w:fill="auto"/>
            <w:vAlign w:val="center"/>
            <w:hideMark/>
          </w:tcPr>
          <w:p w14:paraId="54B66E75"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Secretaría de Ecología y Medio Ambiente</w:t>
            </w:r>
          </w:p>
        </w:tc>
        <w:tc>
          <w:tcPr>
            <w:tcW w:w="1985" w:type="dxa"/>
            <w:tcBorders>
              <w:top w:val="nil"/>
              <w:left w:val="nil"/>
              <w:right w:val="single" w:sz="8" w:space="0" w:color="auto"/>
            </w:tcBorders>
            <w:shd w:val="clear" w:color="auto" w:fill="auto"/>
            <w:noWrap/>
            <w:vAlign w:val="center"/>
            <w:hideMark/>
          </w:tcPr>
          <w:p w14:paraId="75B864EE" w14:textId="5FAAB0C1"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23,504,398.00</w:t>
            </w:r>
          </w:p>
        </w:tc>
        <w:tc>
          <w:tcPr>
            <w:tcW w:w="1709" w:type="dxa"/>
            <w:tcBorders>
              <w:top w:val="nil"/>
              <w:left w:val="nil"/>
              <w:right w:val="single" w:sz="8" w:space="0" w:color="auto"/>
            </w:tcBorders>
            <w:shd w:val="clear" w:color="auto" w:fill="auto"/>
            <w:noWrap/>
            <w:vAlign w:val="center"/>
            <w:hideMark/>
          </w:tcPr>
          <w:p w14:paraId="3E04E3EA" w14:textId="21759670"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36,689,122.00</w:t>
            </w:r>
          </w:p>
        </w:tc>
        <w:tc>
          <w:tcPr>
            <w:tcW w:w="1693" w:type="dxa"/>
            <w:tcBorders>
              <w:top w:val="nil"/>
              <w:left w:val="nil"/>
              <w:right w:val="single" w:sz="8" w:space="0" w:color="auto"/>
            </w:tcBorders>
            <w:shd w:val="clear" w:color="auto" w:fill="auto"/>
            <w:noWrap/>
            <w:vAlign w:val="center"/>
            <w:hideMark/>
          </w:tcPr>
          <w:p w14:paraId="5CA85FBF" w14:textId="585B1FB9"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-13,184,724.00</w:t>
            </w:r>
          </w:p>
        </w:tc>
      </w:tr>
      <w:tr w:rsidR="005C6630" w:rsidRPr="009C26EF" w14:paraId="533CE21D" w14:textId="77777777" w:rsidTr="00050920">
        <w:trPr>
          <w:trHeight w:val="141"/>
        </w:trPr>
        <w:tc>
          <w:tcPr>
            <w:tcW w:w="4394" w:type="dxa"/>
            <w:tcBorders>
              <w:top w:val="nil"/>
              <w:left w:val="single" w:sz="8" w:space="0" w:color="auto"/>
              <w:right w:val="single" w:sz="8" w:space="0" w:color="auto"/>
            </w:tcBorders>
            <w:shd w:val="clear" w:color="auto" w:fill="auto"/>
            <w:vAlign w:val="center"/>
            <w:hideMark/>
          </w:tcPr>
          <w:p w14:paraId="147A0051"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Secretaría de Trabajo y Previsión Social</w:t>
            </w:r>
          </w:p>
        </w:tc>
        <w:tc>
          <w:tcPr>
            <w:tcW w:w="1985" w:type="dxa"/>
            <w:tcBorders>
              <w:top w:val="nil"/>
              <w:left w:val="nil"/>
              <w:right w:val="single" w:sz="8" w:space="0" w:color="auto"/>
            </w:tcBorders>
            <w:shd w:val="clear" w:color="auto" w:fill="auto"/>
            <w:noWrap/>
            <w:vAlign w:val="center"/>
            <w:hideMark/>
          </w:tcPr>
          <w:p w14:paraId="276AE72A" w14:textId="4987486E"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709" w:type="dxa"/>
            <w:tcBorders>
              <w:top w:val="nil"/>
              <w:left w:val="nil"/>
              <w:right w:val="single" w:sz="8" w:space="0" w:color="auto"/>
            </w:tcBorders>
            <w:shd w:val="clear" w:color="auto" w:fill="auto"/>
            <w:noWrap/>
            <w:vAlign w:val="center"/>
            <w:hideMark/>
          </w:tcPr>
          <w:p w14:paraId="4B32F187" w14:textId="238BCABE"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24,632.00</w:t>
            </w:r>
          </w:p>
        </w:tc>
        <w:tc>
          <w:tcPr>
            <w:tcW w:w="1693" w:type="dxa"/>
            <w:tcBorders>
              <w:top w:val="nil"/>
              <w:left w:val="nil"/>
              <w:right w:val="single" w:sz="8" w:space="0" w:color="auto"/>
            </w:tcBorders>
            <w:shd w:val="clear" w:color="auto" w:fill="auto"/>
            <w:noWrap/>
            <w:vAlign w:val="center"/>
            <w:hideMark/>
          </w:tcPr>
          <w:p w14:paraId="7C689584" w14:textId="688935C8"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-24,632.00</w:t>
            </w:r>
          </w:p>
        </w:tc>
      </w:tr>
      <w:tr w:rsidR="005C6630" w:rsidRPr="009C26EF" w14:paraId="3A3D7533" w14:textId="77777777" w:rsidTr="00B552D2">
        <w:trPr>
          <w:trHeight w:val="371"/>
        </w:trPr>
        <w:tc>
          <w:tcPr>
            <w:tcW w:w="4394" w:type="dxa"/>
            <w:tcBorders>
              <w:left w:val="single" w:sz="4" w:space="0" w:color="auto"/>
              <w:right w:val="single" w:sz="8" w:space="0" w:color="auto"/>
            </w:tcBorders>
            <w:shd w:val="clear" w:color="auto" w:fill="auto"/>
            <w:vAlign w:val="center"/>
            <w:hideMark/>
          </w:tcPr>
          <w:p w14:paraId="61BB416F"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Secretaría de Desarrollo Agropecuario, Rural y Pesca</w:t>
            </w:r>
          </w:p>
        </w:tc>
        <w:tc>
          <w:tcPr>
            <w:tcW w:w="1985" w:type="dxa"/>
            <w:tcBorders>
              <w:left w:val="nil"/>
              <w:right w:val="single" w:sz="8" w:space="0" w:color="auto"/>
            </w:tcBorders>
            <w:shd w:val="clear" w:color="auto" w:fill="auto"/>
            <w:noWrap/>
            <w:vAlign w:val="center"/>
            <w:hideMark/>
          </w:tcPr>
          <w:p w14:paraId="67CA236D" w14:textId="4389F4B5"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482,000.00</w:t>
            </w:r>
          </w:p>
        </w:tc>
        <w:tc>
          <w:tcPr>
            <w:tcW w:w="1709" w:type="dxa"/>
            <w:tcBorders>
              <w:left w:val="nil"/>
              <w:right w:val="single" w:sz="8" w:space="0" w:color="auto"/>
            </w:tcBorders>
            <w:shd w:val="clear" w:color="auto" w:fill="auto"/>
            <w:noWrap/>
            <w:vAlign w:val="center"/>
            <w:hideMark/>
          </w:tcPr>
          <w:p w14:paraId="50BE0036" w14:textId="56248A18"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777,454.00</w:t>
            </w:r>
          </w:p>
        </w:tc>
        <w:tc>
          <w:tcPr>
            <w:tcW w:w="1693" w:type="dxa"/>
            <w:tcBorders>
              <w:left w:val="nil"/>
              <w:right w:val="single" w:sz="4" w:space="0" w:color="auto"/>
            </w:tcBorders>
            <w:shd w:val="clear" w:color="auto" w:fill="auto"/>
            <w:noWrap/>
            <w:vAlign w:val="center"/>
            <w:hideMark/>
          </w:tcPr>
          <w:p w14:paraId="241AFBE0" w14:textId="74E1B4E0"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-295,454.00</w:t>
            </w:r>
          </w:p>
        </w:tc>
      </w:tr>
      <w:tr w:rsidR="005C6630" w:rsidRPr="009C26EF" w14:paraId="18B10238" w14:textId="77777777" w:rsidTr="00B552D2">
        <w:trPr>
          <w:trHeight w:val="121"/>
        </w:trPr>
        <w:tc>
          <w:tcPr>
            <w:tcW w:w="4394" w:type="dxa"/>
            <w:tcBorders>
              <w:left w:val="single" w:sz="4" w:space="0" w:color="auto"/>
              <w:bottom w:val="nil"/>
              <w:right w:val="single" w:sz="8" w:space="0" w:color="auto"/>
            </w:tcBorders>
            <w:shd w:val="clear" w:color="auto" w:fill="auto"/>
            <w:vAlign w:val="center"/>
            <w:hideMark/>
          </w:tcPr>
          <w:p w14:paraId="62C6018A"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Secretaría de Educación</w:t>
            </w:r>
          </w:p>
        </w:tc>
        <w:tc>
          <w:tcPr>
            <w:tcW w:w="1985" w:type="dxa"/>
            <w:tcBorders>
              <w:left w:val="nil"/>
              <w:bottom w:val="nil"/>
              <w:right w:val="single" w:sz="8" w:space="0" w:color="auto"/>
            </w:tcBorders>
            <w:shd w:val="clear" w:color="auto" w:fill="auto"/>
            <w:noWrap/>
            <w:vAlign w:val="center"/>
            <w:hideMark/>
          </w:tcPr>
          <w:p w14:paraId="6135E711" w14:textId="16329196"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9,244,683.00</w:t>
            </w:r>
          </w:p>
        </w:tc>
        <w:tc>
          <w:tcPr>
            <w:tcW w:w="1709" w:type="dxa"/>
            <w:tcBorders>
              <w:left w:val="nil"/>
              <w:bottom w:val="nil"/>
              <w:right w:val="single" w:sz="8" w:space="0" w:color="auto"/>
            </w:tcBorders>
            <w:shd w:val="clear" w:color="auto" w:fill="auto"/>
            <w:noWrap/>
            <w:vAlign w:val="center"/>
            <w:hideMark/>
          </w:tcPr>
          <w:p w14:paraId="6BEE7281" w14:textId="236AB69E"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17,756,646.00</w:t>
            </w:r>
          </w:p>
        </w:tc>
        <w:tc>
          <w:tcPr>
            <w:tcW w:w="1693" w:type="dxa"/>
            <w:tcBorders>
              <w:left w:val="nil"/>
              <w:bottom w:val="nil"/>
              <w:right w:val="single" w:sz="4" w:space="0" w:color="auto"/>
            </w:tcBorders>
            <w:shd w:val="clear" w:color="auto" w:fill="auto"/>
            <w:noWrap/>
            <w:vAlign w:val="center"/>
            <w:hideMark/>
          </w:tcPr>
          <w:p w14:paraId="35ABBE51" w14:textId="432A56BD"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-8,511,963.00</w:t>
            </w:r>
          </w:p>
        </w:tc>
      </w:tr>
      <w:tr w:rsidR="005C6630" w:rsidRPr="009C26EF" w14:paraId="3E424245" w14:textId="77777777" w:rsidTr="00F8375F">
        <w:trPr>
          <w:trHeight w:val="139"/>
        </w:trPr>
        <w:tc>
          <w:tcPr>
            <w:tcW w:w="4394" w:type="dxa"/>
            <w:tcBorders>
              <w:top w:val="nil"/>
              <w:left w:val="single" w:sz="4" w:space="0" w:color="auto"/>
              <w:bottom w:val="nil"/>
              <w:right w:val="single" w:sz="8" w:space="0" w:color="auto"/>
            </w:tcBorders>
            <w:shd w:val="clear" w:color="auto" w:fill="auto"/>
            <w:vAlign w:val="center"/>
            <w:hideMark/>
          </w:tcPr>
          <w:p w14:paraId="59AEDB2F"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Secretaría de Salud</w:t>
            </w:r>
          </w:p>
        </w:tc>
        <w:tc>
          <w:tcPr>
            <w:tcW w:w="1985" w:type="dxa"/>
            <w:tcBorders>
              <w:top w:val="nil"/>
              <w:left w:val="nil"/>
              <w:bottom w:val="nil"/>
              <w:right w:val="single" w:sz="8" w:space="0" w:color="auto"/>
            </w:tcBorders>
            <w:shd w:val="clear" w:color="auto" w:fill="auto"/>
            <w:noWrap/>
            <w:vAlign w:val="center"/>
            <w:hideMark/>
          </w:tcPr>
          <w:p w14:paraId="241B86CC" w14:textId="3E8094DA"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114,888.00</w:t>
            </w:r>
          </w:p>
        </w:tc>
        <w:tc>
          <w:tcPr>
            <w:tcW w:w="1709" w:type="dxa"/>
            <w:tcBorders>
              <w:top w:val="nil"/>
              <w:left w:val="nil"/>
              <w:bottom w:val="nil"/>
              <w:right w:val="single" w:sz="8" w:space="0" w:color="auto"/>
            </w:tcBorders>
            <w:shd w:val="clear" w:color="auto" w:fill="auto"/>
            <w:noWrap/>
            <w:vAlign w:val="center"/>
            <w:hideMark/>
          </w:tcPr>
          <w:p w14:paraId="4F0F0917" w14:textId="281D94FD"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4,015,436.00</w:t>
            </w:r>
          </w:p>
        </w:tc>
        <w:tc>
          <w:tcPr>
            <w:tcW w:w="1693" w:type="dxa"/>
            <w:tcBorders>
              <w:top w:val="nil"/>
              <w:left w:val="nil"/>
              <w:bottom w:val="nil"/>
              <w:right w:val="single" w:sz="4" w:space="0" w:color="auto"/>
            </w:tcBorders>
            <w:shd w:val="clear" w:color="auto" w:fill="auto"/>
            <w:noWrap/>
            <w:vAlign w:val="center"/>
            <w:hideMark/>
          </w:tcPr>
          <w:p w14:paraId="0EDC8E0D" w14:textId="424F78DE"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-3,900,548.00</w:t>
            </w:r>
          </w:p>
        </w:tc>
      </w:tr>
      <w:tr w:rsidR="005C6630" w:rsidRPr="009C26EF" w14:paraId="6AEB2F82" w14:textId="77777777" w:rsidTr="00B552D2">
        <w:trPr>
          <w:trHeight w:val="241"/>
        </w:trPr>
        <w:tc>
          <w:tcPr>
            <w:tcW w:w="4394" w:type="dxa"/>
            <w:tcBorders>
              <w:top w:val="nil"/>
              <w:left w:val="single" w:sz="4" w:space="0" w:color="auto"/>
              <w:right w:val="single" w:sz="8" w:space="0" w:color="auto"/>
            </w:tcBorders>
            <w:shd w:val="clear" w:color="auto" w:fill="auto"/>
            <w:vAlign w:val="center"/>
            <w:hideMark/>
          </w:tcPr>
          <w:p w14:paraId="0EF517BA"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Secretaría de la Contraloría</w:t>
            </w:r>
          </w:p>
        </w:tc>
        <w:tc>
          <w:tcPr>
            <w:tcW w:w="1985" w:type="dxa"/>
            <w:tcBorders>
              <w:top w:val="nil"/>
              <w:left w:val="nil"/>
              <w:right w:val="single" w:sz="8" w:space="0" w:color="auto"/>
            </w:tcBorders>
            <w:shd w:val="clear" w:color="auto" w:fill="auto"/>
            <w:noWrap/>
            <w:vAlign w:val="center"/>
            <w:hideMark/>
          </w:tcPr>
          <w:p w14:paraId="6B9BF90F" w14:textId="188AFCFD"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1,027,382.00</w:t>
            </w:r>
          </w:p>
        </w:tc>
        <w:tc>
          <w:tcPr>
            <w:tcW w:w="1709" w:type="dxa"/>
            <w:tcBorders>
              <w:top w:val="nil"/>
              <w:left w:val="nil"/>
              <w:right w:val="single" w:sz="8" w:space="0" w:color="auto"/>
            </w:tcBorders>
            <w:shd w:val="clear" w:color="auto" w:fill="auto"/>
            <w:noWrap/>
            <w:vAlign w:val="center"/>
            <w:hideMark/>
          </w:tcPr>
          <w:p w14:paraId="59AEA105" w14:textId="66967A03"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2,021,234.00</w:t>
            </w:r>
          </w:p>
        </w:tc>
        <w:tc>
          <w:tcPr>
            <w:tcW w:w="1693" w:type="dxa"/>
            <w:tcBorders>
              <w:top w:val="nil"/>
              <w:left w:val="nil"/>
              <w:right w:val="single" w:sz="4" w:space="0" w:color="auto"/>
            </w:tcBorders>
            <w:shd w:val="clear" w:color="auto" w:fill="auto"/>
            <w:noWrap/>
            <w:vAlign w:val="center"/>
            <w:hideMark/>
          </w:tcPr>
          <w:p w14:paraId="1B641E4D" w14:textId="15817FBC"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-993,852.00</w:t>
            </w:r>
          </w:p>
        </w:tc>
      </w:tr>
      <w:tr w:rsidR="005C6630" w:rsidRPr="009C26EF" w14:paraId="5DE05E59" w14:textId="77777777" w:rsidTr="00B552D2">
        <w:trPr>
          <w:trHeight w:val="132"/>
        </w:trPr>
        <w:tc>
          <w:tcPr>
            <w:tcW w:w="4394" w:type="dxa"/>
            <w:tcBorders>
              <w:top w:val="nil"/>
              <w:left w:val="single" w:sz="4" w:space="0" w:color="auto"/>
              <w:bottom w:val="single" w:sz="4" w:space="0" w:color="auto"/>
              <w:right w:val="single" w:sz="8" w:space="0" w:color="auto"/>
            </w:tcBorders>
            <w:shd w:val="clear" w:color="auto" w:fill="auto"/>
            <w:vAlign w:val="center"/>
            <w:hideMark/>
          </w:tcPr>
          <w:p w14:paraId="5B8A8FA0"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Secretaría de Seguridad Ciudadana</w:t>
            </w:r>
          </w:p>
        </w:tc>
        <w:tc>
          <w:tcPr>
            <w:tcW w:w="1985" w:type="dxa"/>
            <w:tcBorders>
              <w:top w:val="nil"/>
              <w:left w:val="nil"/>
              <w:bottom w:val="single" w:sz="4" w:space="0" w:color="auto"/>
              <w:right w:val="single" w:sz="8" w:space="0" w:color="auto"/>
            </w:tcBorders>
            <w:shd w:val="clear" w:color="auto" w:fill="auto"/>
            <w:noWrap/>
            <w:vAlign w:val="center"/>
            <w:hideMark/>
          </w:tcPr>
          <w:p w14:paraId="6DB4E1A3" w14:textId="4AEE9C2F"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5,528,217.00</w:t>
            </w:r>
          </w:p>
        </w:tc>
        <w:tc>
          <w:tcPr>
            <w:tcW w:w="1709" w:type="dxa"/>
            <w:tcBorders>
              <w:top w:val="nil"/>
              <w:left w:val="nil"/>
              <w:bottom w:val="single" w:sz="4" w:space="0" w:color="auto"/>
              <w:right w:val="single" w:sz="8" w:space="0" w:color="auto"/>
            </w:tcBorders>
            <w:shd w:val="clear" w:color="auto" w:fill="auto"/>
            <w:noWrap/>
            <w:vAlign w:val="center"/>
            <w:hideMark/>
          </w:tcPr>
          <w:p w14:paraId="4F41155D" w14:textId="49026474"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8,750,397.00</w:t>
            </w:r>
          </w:p>
        </w:tc>
        <w:tc>
          <w:tcPr>
            <w:tcW w:w="1693" w:type="dxa"/>
            <w:tcBorders>
              <w:top w:val="nil"/>
              <w:left w:val="nil"/>
              <w:bottom w:val="single" w:sz="4" w:space="0" w:color="auto"/>
              <w:right w:val="single" w:sz="4" w:space="0" w:color="auto"/>
            </w:tcBorders>
            <w:shd w:val="clear" w:color="auto" w:fill="auto"/>
            <w:noWrap/>
            <w:vAlign w:val="center"/>
            <w:hideMark/>
          </w:tcPr>
          <w:p w14:paraId="0EDD6109" w14:textId="25A1567A"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-3,222,180.00</w:t>
            </w:r>
          </w:p>
        </w:tc>
      </w:tr>
      <w:tr w:rsidR="005C6630" w:rsidRPr="009C26EF" w14:paraId="60D45E19" w14:textId="77777777" w:rsidTr="00B552D2">
        <w:trPr>
          <w:trHeight w:val="645"/>
        </w:trPr>
        <w:tc>
          <w:tcPr>
            <w:tcW w:w="4394" w:type="dxa"/>
            <w:tcBorders>
              <w:top w:val="single" w:sz="4" w:space="0" w:color="auto"/>
              <w:left w:val="single" w:sz="4" w:space="0" w:color="auto"/>
              <w:right w:val="single" w:sz="8" w:space="0" w:color="auto"/>
            </w:tcBorders>
            <w:shd w:val="clear" w:color="auto" w:fill="auto"/>
            <w:vAlign w:val="center"/>
            <w:hideMark/>
          </w:tcPr>
          <w:p w14:paraId="0390727F"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lastRenderedPageBreak/>
              <w:t>De las Unidades de Transparencia, Acceso a la Información Pública y Protección de Datos Personales</w:t>
            </w:r>
          </w:p>
        </w:tc>
        <w:tc>
          <w:tcPr>
            <w:tcW w:w="1985" w:type="dxa"/>
            <w:tcBorders>
              <w:top w:val="single" w:sz="4" w:space="0" w:color="auto"/>
              <w:left w:val="nil"/>
              <w:right w:val="single" w:sz="8" w:space="0" w:color="auto"/>
            </w:tcBorders>
            <w:shd w:val="clear" w:color="auto" w:fill="auto"/>
            <w:noWrap/>
            <w:vAlign w:val="center"/>
            <w:hideMark/>
          </w:tcPr>
          <w:p w14:paraId="578536C5" w14:textId="63F27516"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709" w:type="dxa"/>
            <w:tcBorders>
              <w:top w:val="single" w:sz="4" w:space="0" w:color="auto"/>
              <w:left w:val="nil"/>
              <w:right w:val="single" w:sz="8" w:space="0" w:color="auto"/>
            </w:tcBorders>
            <w:shd w:val="clear" w:color="auto" w:fill="auto"/>
            <w:noWrap/>
            <w:vAlign w:val="center"/>
            <w:hideMark/>
          </w:tcPr>
          <w:p w14:paraId="2C930C18" w14:textId="1C3B348D"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1,776.00</w:t>
            </w:r>
          </w:p>
        </w:tc>
        <w:tc>
          <w:tcPr>
            <w:tcW w:w="1693" w:type="dxa"/>
            <w:tcBorders>
              <w:top w:val="single" w:sz="4" w:space="0" w:color="auto"/>
              <w:left w:val="nil"/>
              <w:right w:val="single" w:sz="4" w:space="0" w:color="auto"/>
            </w:tcBorders>
            <w:shd w:val="clear" w:color="auto" w:fill="auto"/>
            <w:noWrap/>
            <w:vAlign w:val="center"/>
            <w:hideMark/>
          </w:tcPr>
          <w:p w14:paraId="2043B71C" w14:textId="297E690B"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-1,776.00</w:t>
            </w:r>
          </w:p>
        </w:tc>
      </w:tr>
      <w:tr w:rsidR="005C6630" w:rsidRPr="009C26EF" w14:paraId="1651AF60" w14:textId="77777777" w:rsidTr="00F8375F">
        <w:trPr>
          <w:trHeight w:val="143"/>
        </w:trPr>
        <w:tc>
          <w:tcPr>
            <w:tcW w:w="4394" w:type="dxa"/>
            <w:tcBorders>
              <w:left w:val="single" w:sz="8" w:space="0" w:color="auto"/>
              <w:bottom w:val="nil"/>
              <w:right w:val="single" w:sz="8" w:space="0" w:color="auto"/>
            </w:tcBorders>
            <w:shd w:val="clear" w:color="auto" w:fill="auto"/>
            <w:vAlign w:val="center"/>
          </w:tcPr>
          <w:p w14:paraId="74BA936A" w14:textId="4F55D701" w:rsidR="005C6630" w:rsidRPr="005C6630" w:rsidRDefault="005C6630" w:rsidP="002F131C">
            <w:pPr>
              <w:rPr>
                <w:rFonts w:ascii="Montserrat Medium" w:eastAsia="Times New Roman" w:hAnsi="Montserrat Medium" w:cs="Calibri"/>
                <w:bCs/>
                <w:color w:val="000000"/>
                <w:sz w:val="16"/>
                <w:szCs w:val="18"/>
                <w:lang w:val="es-MX" w:eastAsia="es-MX"/>
              </w:rPr>
            </w:pPr>
            <w:r w:rsidRPr="005C6630">
              <w:rPr>
                <w:rFonts w:ascii="Montserrat Medium" w:eastAsia="Times New Roman" w:hAnsi="Montserrat Medium" w:cs="Calibri"/>
                <w:bCs/>
                <w:color w:val="000000"/>
                <w:sz w:val="16"/>
                <w:szCs w:val="18"/>
                <w:lang w:val="es-MX" w:eastAsia="es-MX"/>
              </w:rPr>
              <w:t>De los Derechos de las Unidades de Transporte</w:t>
            </w:r>
          </w:p>
        </w:tc>
        <w:tc>
          <w:tcPr>
            <w:tcW w:w="1985" w:type="dxa"/>
            <w:tcBorders>
              <w:left w:val="nil"/>
              <w:bottom w:val="nil"/>
              <w:right w:val="single" w:sz="8" w:space="0" w:color="auto"/>
            </w:tcBorders>
            <w:shd w:val="clear" w:color="auto" w:fill="auto"/>
            <w:noWrap/>
            <w:vAlign w:val="center"/>
          </w:tcPr>
          <w:p w14:paraId="34B64D28" w14:textId="719097CB"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color w:val="000000"/>
                <w:sz w:val="16"/>
                <w:szCs w:val="16"/>
              </w:rPr>
              <w:t>235.00</w:t>
            </w:r>
          </w:p>
        </w:tc>
        <w:tc>
          <w:tcPr>
            <w:tcW w:w="1709" w:type="dxa"/>
            <w:tcBorders>
              <w:left w:val="nil"/>
              <w:bottom w:val="nil"/>
              <w:right w:val="single" w:sz="8" w:space="0" w:color="auto"/>
            </w:tcBorders>
            <w:shd w:val="clear" w:color="auto" w:fill="auto"/>
            <w:noWrap/>
            <w:vAlign w:val="center"/>
          </w:tcPr>
          <w:p w14:paraId="50BAD6EA" w14:textId="531C4DEA"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color w:val="000000"/>
                <w:sz w:val="16"/>
                <w:szCs w:val="16"/>
              </w:rPr>
              <w:t>0.00</w:t>
            </w:r>
          </w:p>
        </w:tc>
        <w:tc>
          <w:tcPr>
            <w:tcW w:w="1693" w:type="dxa"/>
            <w:tcBorders>
              <w:left w:val="nil"/>
              <w:bottom w:val="nil"/>
              <w:right w:val="single" w:sz="8" w:space="0" w:color="auto"/>
            </w:tcBorders>
            <w:shd w:val="clear" w:color="auto" w:fill="auto"/>
            <w:noWrap/>
            <w:vAlign w:val="center"/>
          </w:tcPr>
          <w:p w14:paraId="2AD3B19D" w14:textId="7FE5FDEB"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color w:val="000000"/>
                <w:sz w:val="16"/>
                <w:szCs w:val="16"/>
              </w:rPr>
              <w:t>235.00</w:t>
            </w:r>
          </w:p>
        </w:tc>
      </w:tr>
      <w:tr w:rsidR="005C6630" w:rsidRPr="009C26EF" w14:paraId="323273DE" w14:textId="77777777" w:rsidTr="00F8375F">
        <w:trPr>
          <w:trHeight w:val="143"/>
        </w:trPr>
        <w:tc>
          <w:tcPr>
            <w:tcW w:w="4394" w:type="dxa"/>
            <w:tcBorders>
              <w:left w:val="single" w:sz="8" w:space="0" w:color="auto"/>
              <w:bottom w:val="nil"/>
              <w:right w:val="single" w:sz="8" w:space="0" w:color="auto"/>
            </w:tcBorders>
            <w:shd w:val="clear" w:color="auto" w:fill="auto"/>
            <w:vAlign w:val="center"/>
            <w:hideMark/>
          </w:tcPr>
          <w:p w14:paraId="4E2AD660" w14:textId="77777777" w:rsidR="005C6630" w:rsidRPr="005C6630" w:rsidRDefault="005C6630" w:rsidP="002F131C">
            <w:pPr>
              <w:rPr>
                <w:rFonts w:ascii="Montserrat Medium" w:eastAsia="Times New Roman" w:hAnsi="Montserrat Medium" w:cs="Calibri"/>
                <w:b/>
                <w:bCs/>
                <w:color w:val="000000"/>
                <w:sz w:val="16"/>
                <w:szCs w:val="18"/>
                <w:lang w:val="es-MX" w:eastAsia="es-MX"/>
              </w:rPr>
            </w:pPr>
            <w:r w:rsidRPr="005C6630">
              <w:rPr>
                <w:rFonts w:ascii="Montserrat Medium" w:eastAsia="Times New Roman" w:hAnsi="Montserrat Medium" w:cs="Calibri"/>
                <w:b/>
                <w:bCs/>
                <w:color w:val="000000"/>
                <w:sz w:val="16"/>
                <w:szCs w:val="18"/>
                <w:lang w:val="es-MX" w:eastAsia="es-MX"/>
              </w:rPr>
              <w:t>Accesorios de derechos</w:t>
            </w:r>
          </w:p>
        </w:tc>
        <w:tc>
          <w:tcPr>
            <w:tcW w:w="1985" w:type="dxa"/>
            <w:tcBorders>
              <w:left w:val="nil"/>
              <w:bottom w:val="nil"/>
              <w:right w:val="single" w:sz="8" w:space="0" w:color="auto"/>
            </w:tcBorders>
            <w:shd w:val="clear" w:color="auto" w:fill="auto"/>
            <w:noWrap/>
            <w:vAlign w:val="center"/>
            <w:hideMark/>
          </w:tcPr>
          <w:p w14:paraId="5C6EECED" w14:textId="1E2A995B"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60,925,916.00</w:t>
            </w:r>
          </w:p>
        </w:tc>
        <w:tc>
          <w:tcPr>
            <w:tcW w:w="1709" w:type="dxa"/>
            <w:tcBorders>
              <w:left w:val="nil"/>
              <w:bottom w:val="nil"/>
              <w:right w:val="single" w:sz="8" w:space="0" w:color="auto"/>
            </w:tcBorders>
            <w:shd w:val="clear" w:color="auto" w:fill="auto"/>
            <w:noWrap/>
            <w:vAlign w:val="center"/>
            <w:hideMark/>
          </w:tcPr>
          <w:p w14:paraId="268427F3" w14:textId="28813A0D"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115,179,193.00</w:t>
            </w:r>
          </w:p>
        </w:tc>
        <w:tc>
          <w:tcPr>
            <w:tcW w:w="1693" w:type="dxa"/>
            <w:tcBorders>
              <w:left w:val="nil"/>
              <w:bottom w:val="nil"/>
              <w:right w:val="single" w:sz="8" w:space="0" w:color="auto"/>
            </w:tcBorders>
            <w:shd w:val="clear" w:color="auto" w:fill="auto"/>
            <w:noWrap/>
            <w:vAlign w:val="center"/>
            <w:hideMark/>
          </w:tcPr>
          <w:p w14:paraId="36FD65AD" w14:textId="1B9A7CEE"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-54,253,277.00</w:t>
            </w:r>
          </w:p>
        </w:tc>
      </w:tr>
      <w:tr w:rsidR="005C6630" w:rsidRPr="009C26EF" w14:paraId="033AAEB8" w14:textId="77777777" w:rsidTr="00F8375F">
        <w:trPr>
          <w:trHeight w:val="120"/>
        </w:trPr>
        <w:tc>
          <w:tcPr>
            <w:tcW w:w="4394" w:type="dxa"/>
            <w:tcBorders>
              <w:top w:val="nil"/>
              <w:left w:val="single" w:sz="8" w:space="0" w:color="auto"/>
              <w:bottom w:val="nil"/>
              <w:right w:val="single" w:sz="8" w:space="0" w:color="auto"/>
            </w:tcBorders>
            <w:shd w:val="clear" w:color="auto" w:fill="auto"/>
            <w:vAlign w:val="center"/>
            <w:hideMark/>
          </w:tcPr>
          <w:p w14:paraId="5493D334"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Recargos</w:t>
            </w:r>
          </w:p>
        </w:tc>
        <w:tc>
          <w:tcPr>
            <w:tcW w:w="1985" w:type="dxa"/>
            <w:tcBorders>
              <w:top w:val="nil"/>
              <w:left w:val="nil"/>
              <w:bottom w:val="nil"/>
              <w:right w:val="single" w:sz="8" w:space="0" w:color="auto"/>
            </w:tcBorders>
            <w:shd w:val="clear" w:color="auto" w:fill="auto"/>
            <w:noWrap/>
            <w:vAlign w:val="center"/>
            <w:hideMark/>
          </w:tcPr>
          <w:p w14:paraId="461A5DA3" w14:textId="67C1155A"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15,786,402.00</w:t>
            </w:r>
          </w:p>
        </w:tc>
        <w:tc>
          <w:tcPr>
            <w:tcW w:w="1709" w:type="dxa"/>
            <w:tcBorders>
              <w:top w:val="nil"/>
              <w:left w:val="nil"/>
              <w:bottom w:val="nil"/>
              <w:right w:val="single" w:sz="8" w:space="0" w:color="auto"/>
            </w:tcBorders>
            <w:shd w:val="clear" w:color="auto" w:fill="auto"/>
            <w:noWrap/>
            <w:vAlign w:val="center"/>
            <w:hideMark/>
          </w:tcPr>
          <w:p w14:paraId="7C8717B1" w14:textId="0ACC01C2"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16,731,786.00</w:t>
            </w:r>
          </w:p>
        </w:tc>
        <w:tc>
          <w:tcPr>
            <w:tcW w:w="1693" w:type="dxa"/>
            <w:tcBorders>
              <w:top w:val="nil"/>
              <w:left w:val="nil"/>
              <w:bottom w:val="nil"/>
              <w:right w:val="single" w:sz="8" w:space="0" w:color="auto"/>
            </w:tcBorders>
            <w:shd w:val="clear" w:color="auto" w:fill="auto"/>
            <w:noWrap/>
            <w:vAlign w:val="center"/>
            <w:hideMark/>
          </w:tcPr>
          <w:p w14:paraId="65A4ED91" w14:textId="00C5507E"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-945,384.00</w:t>
            </w:r>
          </w:p>
        </w:tc>
      </w:tr>
      <w:tr w:rsidR="005C6630" w:rsidRPr="009C26EF" w14:paraId="2AA8B325" w14:textId="77777777" w:rsidTr="00F8375F">
        <w:trPr>
          <w:trHeight w:val="221"/>
        </w:trPr>
        <w:tc>
          <w:tcPr>
            <w:tcW w:w="4394" w:type="dxa"/>
            <w:tcBorders>
              <w:top w:val="nil"/>
              <w:left w:val="single" w:sz="8" w:space="0" w:color="auto"/>
              <w:bottom w:val="nil"/>
              <w:right w:val="single" w:sz="8" w:space="0" w:color="auto"/>
            </w:tcBorders>
            <w:shd w:val="clear" w:color="auto" w:fill="auto"/>
            <w:vAlign w:val="center"/>
            <w:hideMark/>
          </w:tcPr>
          <w:p w14:paraId="7D4D708D"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Multas</w:t>
            </w:r>
          </w:p>
        </w:tc>
        <w:tc>
          <w:tcPr>
            <w:tcW w:w="1985" w:type="dxa"/>
            <w:tcBorders>
              <w:top w:val="nil"/>
              <w:left w:val="nil"/>
              <w:bottom w:val="nil"/>
              <w:right w:val="single" w:sz="8" w:space="0" w:color="auto"/>
            </w:tcBorders>
            <w:shd w:val="clear" w:color="auto" w:fill="auto"/>
            <w:noWrap/>
            <w:vAlign w:val="center"/>
            <w:hideMark/>
          </w:tcPr>
          <w:p w14:paraId="1EE3DBC5" w14:textId="1B33AABD"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10,474,376.00</w:t>
            </w:r>
          </w:p>
        </w:tc>
        <w:tc>
          <w:tcPr>
            <w:tcW w:w="1709" w:type="dxa"/>
            <w:tcBorders>
              <w:top w:val="nil"/>
              <w:left w:val="nil"/>
              <w:bottom w:val="nil"/>
              <w:right w:val="single" w:sz="8" w:space="0" w:color="auto"/>
            </w:tcBorders>
            <w:shd w:val="clear" w:color="auto" w:fill="auto"/>
            <w:noWrap/>
            <w:vAlign w:val="center"/>
            <w:hideMark/>
          </w:tcPr>
          <w:p w14:paraId="2672D96D" w14:textId="6763F7A3"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28,920,134.00</w:t>
            </w:r>
          </w:p>
        </w:tc>
        <w:tc>
          <w:tcPr>
            <w:tcW w:w="1693" w:type="dxa"/>
            <w:tcBorders>
              <w:top w:val="nil"/>
              <w:left w:val="nil"/>
              <w:bottom w:val="nil"/>
              <w:right w:val="single" w:sz="8" w:space="0" w:color="auto"/>
            </w:tcBorders>
            <w:shd w:val="clear" w:color="auto" w:fill="auto"/>
            <w:noWrap/>
            <w:vAlign w:val="center"/>
            <w:hideMark/>
          </w:tcPr>
          <w:p w14:paraId="1F0C01AB" w14:textId="474D0E94"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-18,445,758.00</w:t>
            </w:r>
          </w:p>
        </w:tc>
      </w:tr>
      <w:tr w:rsidR="005C6630" w:rsidRPr="009C26EF" w14:paraId="3BCAB178" w14:textId="77777777" w:rsidTr="00F8375F">
        <w:trPr>
          <w:trHeight w:val="139"/>
        </w:trPr>
        <w:tc>
          <w:tcPr>
            <w:tcW w:w="4394" w:type="dxa"/>
            <w:tcBorders>
              <w:top w:val="nil"/>
              <w:left w:val="single" w:sz="8" w:space="0" w:color="auto"/>
              <w:bottom w:val="nil"/>
              <w:right w:val="single" w:sz="8" w:space="0" w:color="auto"/>
            </w:tcBorders>
            <w:shd w:val="clear" w:color="auto" w:fill="auto"/>
            <w:vAlign w:val="center"/>
            <w:hideMark/>
          </w:tcPr>
          <w:p w14:paraId="24ED6ADC"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Gastos de Ejecución</w:t>
            </w:r>
          </w:p>
        </w:tc>
        <w:tc>
          <w:tcPr>
            <w:tcW w:w="1985" w:type="dxa"/>
            <w:tcBorders>
              <w:top w:val="nil"/>
              <w:left w:val="nil"/>
              <w:bottom w:val="nil"/>
              <w:right w:val="single" w:sz="8" w:space="0" w:color="auto"/>
            </w:tcBorders>
            <w:shd w:val="clear" w:color="auto" w:fill="auto"/>
            <w:noWrap/>
            <w:vAlign w:val="center"/>
            <w:hideMark/>
          </w:tcPr>
          <w:p w14:paraId="43293A49" w14:textId="7CAC0A32"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34,665,138.00</w:t>
            </w:r>
          </w:p>
        </w:tc>
        <w:tc>
          <w:tcPr>
            <w:tcW w:w="1709" w:type="dxa"/>
            <w:tcBorders>
              <w:top w:val="nil"/>
              <w:left w:val="nil"/>
              <w:bottom w:val="nil"/>
              <w:right w:val="single" w:sz="8" w:space="0" w:color="auto"/>
            </w:tcBorders>
            <w:shd w:val="clear" w:color="auto" w:fill="auto"/>
            <w:noWrap/>
            <w:vAlign w:val="center"/>
            <w:hideMark/>
          </w:tcPr>
          <w:p w14:paraId="1FADDD7C" w14:textId="5A76F3B8"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69,527,273.00</w:t>
            </w:r>
          </w:p>
        </w:tc>
        <w:tc>
          <w:tcPr>
            <w:tcW w:w="1693" w:type="dxa"/>
            <w:tcBorders>
              <w:top w:val="nil"/>
              <w:left w:val="nil"/>
              <w:bottom w:val="nil"/>
              <w:right w:val="single" w:sz="8" w:space="0" w:color="auto"/>
            </w:tcBorders>
            <w:shd w:val="clear" w:color="auto" w:fill="auto"/>
            <w:noWrap/>
            <w:vAlign w:val="center"/>
            <w:hideMark/>
          </w:tcPr>
          <w:p w14:paraId="6C16A527" w14:textId="210B76D5"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-34,862,135.00</w:t>
            </w:r>
          </w:p>
        </w:tc>
      </w:tr>
      <w:tr w:rsidR="005C6630" w:rsidRPr="009C26EF" w14:paraId="6A1EC6CC" w14:textId="77777777" w:rsidTr="00F8375F">
        <w:trPr>
          <w:trHeight w:val="653"/>
        </w:trPr>
        <w:tc>
          <w:tcPr>
            <w:tcW w:w="4394" w:type="dxa"/>
            <w:tcBorders>
              <w:top w:val="nil"/>
              <w:left w:val="single" w:sz="8" w:space="0" w:color="auto"/>
              <w:bottom w:val="nil"/>
              <w:right w:val="single" w:sz="8" w:space="0" w:color="auto"/>
            </w:tcBorders>
            <w:shd w:val="clear" w:color="auto" w:fill="auto"/>
            <w:vAlign w:val="center"/>
            <w:hideMark/>
          </w:tcPr>
          <w:p w14:paraId="6A071C70" w14:textId="77777777" w:rsidR="005C6630" w:rsidRPr="005C6630" w:rsidRDefault="005C6630" w:rsidP="002F131C">
            <w:pPr>
              <w:rPr>
                <w:rFonts w:ascii="Montserrat Medium" w:eastAsia="Times New Roman" w:hAnsi="Montserrat Medium" w:cs="Calibri"/>
                <w:b/>
                <w:bCs/>
                <w:color w:val="000000"/>
                <w:sz w:val="16"/>
                <w:szCs w:val="18"/>
                <w:lang w:val="es-MX" w:eastAsia="es-MX"/>
              </w:rPr>
            </w:pPr>
            <w:r w:rsidRPr="005C6630">
              <w:rPr>
                <w:rFonts w:ascii="Montserrat Medium" w:eastAsia="Times New Roman" w:hAnsi="Montserrat Medium" w:cs="Calibri"/>
                <w:b/>
                <w:bCs/>
                <w:color w:val="000000"/>
                <w:sz w:val="16"/>
                <w:szCs w:val="18"/>
                <w:lang w:val="es-MX" w:eastAsia="es-MX"/>
              </w:rPr>
              <w:t>Derechos no comprendidos en la Ley de Ingresos vigente, causados en ejercicios fiscales anteriores pendientes de liquidación o pago</w:t>
            </w:r>
          </w:p>
        </w:tc>
        <w:tc>
          <w:tcPr>
            <w:tcW w:w="1985" w:type="dxa"/>
            <w:tcBorders>
              <w:top w:val="nil"/>
              <w:left w:val="nil"/>
              <w:bottom w:val="nil"/>
              <w:right w:val="single" w:sz="8" w:space="0" w:color="auto"/>
            </w:tcBorders>
            <w:shd w:val="clear" w:color="auto" w:fill="auto"/>
            <w:noWrap/>
            <w:vAlign w:val="center"/>
            <w:hideMark/>
          </w:tcPr>
          <w:p w14:paraId="2DDAD858" w14:textId="0D30E102"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0.00</w:t>
            </w:r>
          </w:p>
        </w:tc>
        <w:tc>
          <w:tcPr>
            <w:tcW w:w="1709" w:type="dxa"/>
            <w:tcBorders>
              <w:top w:val="nil"/>
              <w:left w:val="nil"/>
              <w:bottom w:val="nil"/>
              <w:right w:val="single" w:sz="8" w:space="0" w:color="auto"/>
            </w:tcBorders>
            <w:shd w:val="clear" w:color="auto" w:fill="auto"/>
            <w:noWrap/>
            <w:vAlign w:val="center"/>
            <w:hideMark/>
          </w:tcPr>
          <w:p w14:paraId="3FAA71C6" w14:textId="2E483A2F"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0.00</w:t>
            </w:r>
          </w:p>
        </w:tc>
        <w:tc>
          <w:tcPr>
            <w:tcW w:w="1693" w:type="dxa"/>
            <w:tcBorders>
              <w:top w:val="nil"/>
              <w:left w:val="nil"/>
              <w:bottom w:val="nil"/>
              <w:right w:val="single" w:sz="8" w:space="0" w:color="auto"/>
            </w:tcBorders>
            <w:shd w:val="clear" w:color="auto" w:fill="auto"/>
            <w:noWrap/>
            <w:vAlign w:val="center"/>
            <w:hideMark/>
          </w:tcPr>
          <w:p w14:paraId="08DB8F8D" w14:textId="521D1F75"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0.00</w:t>
            </w:r>
          </w:p>
        </w:tc>
      </w:tr>
      <w:tr w:rsidR="005C6630" w:rsidRPr="009C26EF" w14:paraId="006126D9" w14:textId="77777777" w:rsidTr="00F8375F">
        <w:trPr>
          <w:trHeight w:val="137"/>
        </w:trPr>
        <w:tc>
          <w:tcPr>
            <w:tcW w:w="4394" w:type="dxa"/>
            <w:tcBorders>
              <w:top w:val="nil"/>
              <w:left w:val="single" w:sz="8" w:space="0" w:color="auto"/>
              <w:bottom w:val="nil"/>
              <w:right w:val="single" w:sz="8" w:space="0" w:color="auto"/>
            </w:tcBorders>
            <w:shd w:val="clear" w:color="auto" w:fill="auto"/>
            <w:vAlign w:val="center"/>
            <w:hideMark/>
          </w:tcPr>
          <w:p w14:paraId="39BD7140" w14:textId="77777777" w:rsidR="005C6630" w:rsidRPr="005C6630" w:rsidRDefault="005C6630" w:rsidP="002F131C">
            <w:pPr>
              <w:rPr>
                <w:rFonts w:ascii="Montserrat Medium" w:eastAsia="Times New Roman" w:hAnsi="Montserrat Medium" w:cs="Calibri"/>
                <w:b/>
                <w:bCs/>
                <w:color w:val="000000"/>
                <w:sz w:val="16"/>
                <w:szCs w:val="18"/>
                <w:lang w:val="es-MX" w:eastAsia="es-MX"/>
              </w:rPr>
            </w:pPr>
            <w:r w:rsidRPr="005C6630">
              <w:rPr>
                <w:rFonts w:ascii="Montserrat Medium" w:eastAsia="Times New Roman" w:hAnsi="Montserrat Medium" w:cs="Calibri"/>
                <w:b/>
                <w:bCs/>
                <w:color w:val="000000"/>
                <w:sz w:val="16"/>
                <w:szCs w:val="18"/>
                <w:lang w:val="es-MX" w:eastAsia="es-MX"/>
              </w:rPr>
              <w:t>Otros derechos</w:t>
            </w:r>
          </w:p>
        </w:tc>
        <w:tc>
          <w:tcPr>
            <w:tcW w:w="1985" w:type="dxa"/>
            <w:tcBorders>
              <w:top w:val="nil"/>
              <w:left w:val="nil"/>
              <w:bottom w:val="nil"/>
              <w:right w:val="single" w:sz="8" w:space="0" w:color="auto"/>
            </w:tcBorders>
            <w:shd w:val="clear" w:color="auto" w:fill="auto"/>
            <w:noWrap/>
            <w:vAlign w:val="center"/>
            <w:hideMark/>
          </w:tcPr>
          <w:p w14:paraId="33AE88BB" w14:textId="14A04DEA"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5,078.00</w:t>
            </w:r>
          </w:p>
        </w:tc>
        <w:tc>
          <w:tcPr>
            <w:tcW w:w="1709" w:type="dxa"/>
            <w:tcBorders>
              <w:top w:val="nil"/>
              <w:left w:val="nil"/>
              <w:bottom w:val="nil"/>
              <w:right w:val="single" w:sz="8" w:space="0" w:color="auto"/>
            </w:tcBorders>
            <w:shd w:val="clear" w:color="auto" w:fill="auto"/>
            <w:noWrap/>
            <w:vAlign w:val="center"/>
            <w:hideMark/>
          </w:tcPr>
          <w:p w14:paraId="49C037AA" w14:textId="130A2FE8"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0.00</w:t>
            </w:r>
          </w:p>
        </w:tc>
        <w:tc>
          <w:tcPr>
            <w:tcW w:w="1693" w:type="dxa"/>
            <w:tcBorders>
              <w:top w:val="nil"/>
              <w:left w:val="nil"/>
              <w:bottom w:val="nil"/>
              <w:right w:val="single" w:sz="8" w:space="0" w:color="auto"/>
            </w:tcBorders>
            <w:shd w:val="clear" w:color="auto" w:fill="auto"/>
            <w:noWrap/>
            <w:vAlign w:val="center"/>
            <w:hideMark/>
          </w:tcPr>
          <w:p w14:paraId="6E244467" w14:textId="12FFE0E8"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0.00</w:t>
            </w:r>
          </w:p>
        </w:tc>
      </w:tr>
      <w:tr w:rsidR="005C6630" w:rsidRPr="009C26EF" w14:paraId="0DC309EE" w14:textId="77777777" w:rsidTr="00F8375F">
        <w:trPr>
          <w:trHeight w:val="300"/>
        </w:trPr>
        <w:tc>
          <w:tcPr>
            <w:tcW w:w="4394" w:type="dxa"/>
            <w:tcBorders>
              <w:top w:val="nil"/>
              <w:left w:val="single" w:sz="8" w:space="0" w:color="auto"/>
              <w:bottom w:val="nil"/>
              <w:right w:val="single" w:sz="8" w:space="0" w:color="auto"/>
            </w:tcBorders>
            <w:shd w:val="clear" w:color="000000" w:fill="BFBFBF"/>
            <w:vAlign w:val="center"/>
            <w:hideMark/>
          </w:tcPr>
          <w:p w14:paraId="2A1BF706" w14:textId="77777777" w:rsidR="005C6630" w:rsidRPr="005C6630" w:rsidRDefault="005C6630" w:rsidP="002F131C">
            <w:pPr>
              <w:rPr>
                <w:rFonts w:ascii="Montserrat Medium" w:eastAsia="Times New Roman" w:hAnsi="Montserrat Medium" w:cs="Calibri"/>
                <w:b/>
                <w:bCs/>
                <w:color w:val="000000"/>
                <w:sz w:val="16"/>
                <w:szCs w:val="18"/>
                <w:lang w:val="es-MX" w:eastAsia="es-MX"/>
              </w:rPr>
            </w:pPr>
            <w:r w:rsidRPr="005C6630">
              <w:rPr>
                <w:rFonts w:ascii="Montserrat Medium" w:eastAsia="Times New Roman" w:hAnsi="Montserrat Medium" w:cs="Calibri"/>
                <w:b/>
                <w:bCs/>
                <w:color w:val="000000"/>
                <w:sz w:val="16"/>
                <w:szCs w:val="18"/>
                <w:lang w:val="es-MX" w:eastAsia="es-MX"/>
              </w:rPr>
              <w:t>Productos</w:t>
            </w:r>
          </w:p>
        </w:tc>
        <w:tc>
          <w:tcPr>
            <w:tcW w:w="1985" w:type="dxa"/>
            <w:tcBorders>
              <w:top w:val="nil"/>
              <w:left w:val="nil"/>
              <w:bottom w:val="nil"/>
              <w:right w:val="single" w:sz="8" w:space="0" w:color="auto"/>
            </w:tcBorders>
            <w:shd w:val="clear" w:color="000000" w:fill="BFBFBF"/>
            <w:noWrap/>
            <w:vAlign w:val="center"/>
            <w:hideMark/>
          </w:tcPr>
          <w:p w14:paraId="0DE070C2" w14:textId="7AA3BBC8"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190,992,996.61</w:t>
            </w:r>
          </w:p>
        </w:tc>
        <w:tc>
          <w:tcPr>
            <w:tcW w:w="1709" w:type="dxa"/>
            <w:tcBorders>
              <w:top w:val="nil"/>
              <w:left w:val="nil"/>
              <w:bottom w:val="nil"/>
              <w:right w:val="single" w:sz="8" w:space="0" w:color="auto"/>
            </w:tcBorders>
            <w:shd w:val="clear" w:color="000000" w:fill="BFBFBF"/>
            <w:noWrap/>
            <w:vAlign w:val="center"/>
            <w:hideMark/>
          </w:tcPr>
          <w:p w14:paraId="76528097" w14:textId="0C5627BD"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537,515,250.88</w:t>
            </w:r>
          </w:p>
        </w:tc>
        <w:tc>
          <w:tcPr>
            <w:tcW w:w="1693" w:type="dxa"/>
            <w:tcBorders>
              <w:top w:val="nil"/>
              <w:left w:val="nil"/>
              <w:bottom w:val="nil"/>
              <w:right w:val="single" w:sz="8" w:space="0" w:color="auto"/>
            </w:tcBorders>
            <w:shd w:val="clear" w:color="000000" w:fill="BFBFBF"/>
            <w:noWrap/>
            <w:vAlign w:val="center"/>
            <w:hideMark/>
          </w:tcPr>
          <w:p w14:paraId="561C10F2" w14:textId="75C540EF"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-346,522,254.27</w:t>
            </w:r>
          </w:p>
        </w:tc>
      </w:tr>
      <w:tr w:rsidR="005C6630" w:rsidRPr="009C26EF" w14:paraId="31CC1181" w14:textId="77777777" w:rsidTr="00F8375F">
        <w:trPr>
          <w:trHeight w:val="300"/>
        </w:trPr>
        <w:tc>
          <w:tcPr>
            <w:tcW w:w="4394" w:type="dxa"/>
            <w:tcBorders>
              <w:top w:val="nil"/>
              <w:left w:val="single" w:sz="8" w:space="0" w:color="auto"/>
              <w:bottom w:val="nil"/>
              <w:right w:val="single" w:sz="8" w:space="0" w:color="auto"/>
            </w:tcBorders>
            <w:shd w:val="clear" w:color="auto" w:fill="auto"/>
            <w:vAlign w:val="center"/>
            <w:hideMark/>
          </w:tcPr>
          <w:p w14:paraId="0E60A629" w14:textId="77777777" w:rsidR="005C6630" w:rsidRPr="005C6630" w:rsidRDefault="005C6630" w:rsidP="002F131C">
            <w:pPr>
              <w:rPr>
                <w:rFonts w:ascii="Montserrat Medium" w:eastAsia="Times New Roman" w:hAnsi="Montserrat Medium" w:cs="Calibri"/>
                <w:b/>
                <w:bCs/>
                <w:color w:val="000000"/>
                <w:sz w:val="16"/>
                <w:szCs w:val="18"/>
                <w:lang w:val="es-MX" w:eastAsia="es-MX"/>
              </w:rPr>
            </w:pPr>
            <w:r w:rsidRPr="005C6630">
              <w:rPr>
                <w:rFonts w:ascii="Montserrat Medium" w:eastAsia="Times New Roman" w:hAnsi="Montserrat Medium" w:cs="Calibri"/>
                <w:b/>
                <w:bCs/>
                <w:color w:val="000000"/>
                <w:sz w:val="16"/>
                <w:szCs w:val="18"/>
                <w:lang w:val="es-MX" w:eastAsia="es-MX"/>
              </w:rPr>
              <w:t>Productos</w:t>
            </w:r>
          </w:p>
        </w:tc>
        <w:tc>
          <w:tcPr>
            <w:tcW w:w="1985" w:type="dxa"/>
            <w:tcBorders>
              <w:top w:val="nil"/>
              <w:left w:val="nil"/>
              <w:bottom w:val="nil"/>
              <w:right w:val="single" w:sz="8" w:space="0" w:color="auto"/>
            </w:tcBorders>
            <w:shd w:val="clear" w:color="auto" w:fill="auto"/>
            <w:noWrap/>
            <w:vAlign w:val="center"/>
            <w:hideMark/>
          </w:tcPr>
          <w:p w14:paraId="2CD33D4D" w14:textId="0F3A75F8"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190,992,996.61</w:t>
            </w:r>
          </w:p>
        </w:tc>
        <w:tc>
          <w:tcPr>
            <w:tcW w:w="1709" w:type="dxa"/>
            <w:tcBorders>
              <w:top w:val="nil"/>
              <w:left w:val="nil"/>
              <w:bottom w:val="nil"/>
              <w:right w:val="single" w:sz="8" w:space="0" w:color="auto"/>
            </w:tcBorders>
            <w:shd w:val="clear" w:color="auto" w:fill="auto"/>
            <w:noWrap/>
            <w:vAlign w:val="center"/>
            <w:hideMark/>
          </w:tcPr>
          <w:p w14:paraId="3EE3749C" w14:textId="4EE40FB7"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537,515,250.88</w:t>
            </w:r>
          </w:p>
        </w:tc>
        <w:tc>
          <w:tcPr>
            <w:tcW w:w="1693" w:type="dxa"/>
            <w:tcBorders>
              <w:top w:val="nil"/>
              <w:left w:val="nil"/>
              <w:bottom w:val="nil"/>
              <w:right w:val="single" w:sz="8" w:space="0" w:color="auto"/>
            </w:tcBorders>
            <w:shd w:val="clear" w:color="auto" w:fill="auto"/>
            <w:noWrap/>
            <w:vAlign w:val="center"/>
            <w:hideMark/>
          </w:tcPr>
          <w:p w14:paraId="36FD6302" w14:textId="73E274BA"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-346,522,254.27</w:t>
            </w:r>
          </w:p>
        </w:tc>
      </w:tr>
      <w:tr w:rsidR="005C6630" w:rsidRPr="009C26EF" w14:paraId="3E47BC4E" w14:textId="77777777" w:rsidTr="00F8375F">
        <w:trPr>
          <w:trHeight w:val="191"/>
        </w:trPr>
        <w:tc>
          <w:tcPr>
            <w:tcW w:w="4394" w:type="dxa"/>
            <w:tcBorders>
              <w:top w:val="nil"/>
              <w:left w:val="single" w:sz="8" w:space="0" w:color="auto"/>
              <w:bottom w:val="nil"/>
              <w:right w:val="single" w:sz="8" w:space="0" w:color="auto"/>
            </w:tcBorders>
            <w:shd w:val="clear" w:color="auto" w:fill="auto"/>
            <w:vAlign w:val="center"/>
            <w:hideMark/>
          </w:tcPr>
          <w:p w14:paraId="7CC84A2A"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Productos diversos</w:t>
            </w:r>
          </w:p>
        </w:tc>
        <w:tc>
          <w:tcPr>
            <w:tcW w:w="1985" w:type="dxa"/>
            <w:tcBorders>
              <w:top w:val="nil"/>
              <w:left w:val="nil"/>
              <w:bottom w:val="nil"/>
              <w:right w:val="single" w:sz="8" w:space="0" w:color="auto"/>
            </w:tcBorders>
            <w:shd w:val="clear" w:color="auto" w:fill="auto"/>
            <w:noWrap/>
            <w:vAlign w:val="center"/>
            <w:hideMark/>
          </w:tcPr>
          <w:p w14:paraId="2AD23854" w14:textId="3FDF9383"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28,778,048.59</w:t>
            </w:r>
          </w:p>
        </w:tc>
        <w:tc>
          <w:tcPr>
            <w:tcW w:w="1709" w:type="dxa"/>
            <w:tcBorders>
              <w:top w:val="nil"/>
              <w:left w:val="nil"/>
              <w:bottom w:val="nil"/>
              <w:right w:val="single" w:sz="8" w:space="0" w:color="auto"/>
            </w:tcBorders>
            <w:shd w:val="clear" w:color="auto" w:fill="auto"/>
            <w:noWrap/>
            <w:vAlign w:val="center"/>
            <w:hideMark/>
          </w:tcPr>
          <w:p w14:paraId="5DC7A6C9" w14:textId="294C1E02"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40,873,946.01</w:t>
            </w:r>
          </w:p>
        </w:tc>
        <w:tc>
          <w:tcPr>
            <w:tcW w:w="1693" w:type="dxa"/>
            <w:tcBorders>
              <w:top w:val="nil"/>
              <w:left w:val="nil"/>
              <w:bottom w:val="nil"/>
              <w:right w:val="single" w:sz="8" w:space="0" w:color="auto"/>
            </w:tcBorders>
            <w:shd w:val="clear" w:color="auto" w:fill="auto"/>
            <w:noWrap/>
            <w:vAlign w:val="center"/>
            <w:hideMark/>
          </w:tcPr>
          <w:p w14:paraId="4F5656AB" w14:textId="6104448A"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-12,095,897.42</w:t>
            </w:r>
          </w:p>
        </w:tc>
      </w:tr>
      <w:tr w:rsidR="005C6630" w:rsidRPr="009C26EF" w14:paraId="17391466" w14:textId="77777777" w:rsidTr="00F8375F">
        <w:trPr>
          <w:trHeight w:val="300"/>
        </w:trPr>
        <w:tc>
          <w:tcPr>
            <w:tcW w:w="4394" w:type="dxa"/>
            <w:tcBorders>
              <w:top w:val="nil"/>
              <w:left w:val="single" w:sz="8" w:space="0" w:color="auto"/>
              <w:right w:val="single" w:sz="8" w:space="0" w:color="auto"/>
            </w:tcBorders>
            <w:shd w:val="clear" w:color="auto" w:fill="auto"/>
            <w:vAlign w:val="center"/>
            <w:hideMark/>
          </w:tcPr>
          <w:p w14:paraId="610FE289"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Rendimientos financieros</w:t>
            </w:r>
          </w:p>
        </w:tc>
        <w:tc>
          <w:tcPr>
            <w:tcW w:w="1985" w:type="dxa"/>
            <w:tcBorders>
              <w:top w:val="nil"/>
              <w:left w:val="nil"/>
              <w:right w:val="single" w:sz="8" w:space="0" w:color="auto"/>
            </w:tcBorders>
            <w:shd w:val="clear" w:color="auto" w:fill="auto"/>
            <w:noWrap/>
            <w:vAlign w:val="center"/>
            <w:hideMark/>
          </w:tcPr>
          <w:p w14:paraId="397298AE" w14:textId="014D763C"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162,214,948.02</w:t>
            </w:r>
          </w:p>
        </w:tc>
        <w:tc>
          <w:tcPr>
            <w:tcW w:w="1709" w:type="dxa"/>
            <w:tcBorders>
              <w:top w:val="nil"/>
              <w:left w:val="nil"/>
              <w:right w:val="single" w:sz="8" w:space="0" w:color="auto"/>
            </w:tcBorders>
            <w:shd w:val="clear" w:color="auto" w:fill="auto"/>
            <w:noWrap/>
            <w:vAlign w:val="center"/>
            <w:hideMark/>
          </w:tcPr>
          <w:p w14:paraId="7C582F29" w14:textId="6828D961"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496,641,304.87</w:t>
            </w:r>
          </w:p>
        </w:tc>
        <w:tc>
          <w:tcPr>
            <w:tcW w:w="1693" w:type="dxa"/>
            <w:tcBorders>
              <w:top w:val="nil"/>
              <w:left w:val="nil"/>
              <w:right w:val="single" w:sz="8" w:space="0" w:color="auto"/>
            </w:tcBorders>
            <w:shd w:val="clear" w:color="auto" w:fill="auto"/>
            <w:noWrap/>
            <w:vAlign w:val="center"/>
            <w:hideMark/>
          </w:tcPr>
          <w:p w14:paraId="5E1643EF" w14:textId="5F928FA7"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-334,426,356.85</w:t>
            </w:r>
          </w:p>
        </w:tc>
      </w:tr>
      <w:tr w:rsidR="005C6630" w:rsidRPr="009C26EF" w14:paraId="39C4AE00" w14:textId="77777777" w:rsidTr="00050920">
        <w:trPr>
          <w:trHeight w:val="238"/>
        </w:trPr>
        <w:tc>
          <w:tcPr>
            <w:tcW w:w="4394" w:type="dxa"/>
            <w:tcBorders>
              <w:top w:val="nil"/>
              <w:left w:val="single" w:sz="8" w:space="0" w:color="auto"/>
              <w:right w:val="single" w:sz="8" w:space="0" w:color="auto"/>
            </w:tcBorders>
            <w:shd w:val="clear" w:color="auto" w:fill="auto"/>
            <w:vAlign w:val="center"/>
            <w:hideMark/>
          </w:tcPr>
          <w:p w14:paraId="03D0481A" w14:textId="77777777" w:rsidR="005C6630" w:rsidRPr="005C6630" w:rsidRDefault="005C6630" w:rsidP="002F131C">
            <w:pPr>
              <w:rPr>
                <w:rFonts w:ascii="Montserrat Medium" w:eastAsia="Times New Roman" w:hAnsi="Montserrat Medium" w:cs="Calibri"/>
                <w:b/>
                <w:bCs/>
                <w:color w:val="000000"/>
                <w:sz w:val="16"/>
                <w:szCs w:val="18"/>
                <w:lang w:val="es-MX" w:eastAsia="es-MX"/>
              </w:rPr>
            </w:pPr>
            <w:r w:rsidRPr="005C6630">
              <w:rPr>
                <w:rFonts w:ascii="Montserrat Medium" w:eastAsia="Times New Roman" w:hAnsi="Montserrat Medium" w:cs="Calibri"/>
                <w:b/>
                <w:bCs/>
                <w:color w:val="000000"/>
                <w:sz w:val="16"/>
                <w:szCs w:val="18"/>
                <w:lang w:val="es-MX" w:eastAsia="es-MX"/>
              </w:rPr>
              <w:t>Productos no comprendidos en la Ley de Ingresos vigente, causados en ejercicios fiscales anteriores pendientes de liquidación o pago</w:t>
            </w:r>
          </w:p>
        </w:tc>
        <w:tc>
          <w:tcPr>
            <w:tcW w:w="1985" w:type="dxa"/>
            <w:tcBorders>
              <w:top w:val="nil"/>
              <w:left w:val="nil"/>
              <w:right w:val="single" w:sz="8" w:space="0" w:color="auto"/>
            </w:tcBorders>
            <w:shd w:val="clear" w:color="auto" w:fill="auto"/>
            <w:noWrap/>
            <w:vAlign w:val="center"/>
            <w:hideMark/>
          </w:tcPr>
          <w:p w14:paraId="686AC604" w14:textId="0A2358BA"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0.00</w:t>
            </w:r>
          </w:p>
        </w:tc>
        <w:tc>
          <w:tcPr>
            <w:tcW w:w="1709" w:type="dxa"/>
            <w:tcBorders>
              <w:top w:val="nil"/>
              <w:left w:val="nil"/>
              <w:right w:val="single" w:sz="8" w:space="0" w:color="auto"/>
            </w:tcBorders>
            <w:shd w:val="clear" w:color="auto" w:fill="auto"/>
            <w:noWrap/>
            <w:vAlign w:val="center"/>
            <w:hideMark/>
          </w:tcPr>
          <w:p w14:paraId="633B669C" w14:textId="34C0783F"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0.00</w:t>
            </w:r>
          </w:p>
        </w:tc>
        <w:tc>
          <w:tcPr>
            <w:tcW w:w="1693" w:type="dxa"/>
            <w:tcBorders>
              <w:top w:val="nil"/>
              <w:left w:val="nil"/>
              <w:right w:val="single" w:sz="8" w:space="0" w:color="auto"/>
            </w:tcBorders>
            <w:shd w:val="clear" w:color="auto" w:fill="auto"/>
            <w:noWrap/>
            <w:vAlign w:val="center"/>
            <w:hideMark/>
          </w:tcPr>
          <w:p w14:paraId="78DC62BC" w14:textId="4D07EA56"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0.00</w:t>
            </w:r>
          </w:p>
        </w:tc>
      </w:tr>
      <w:tr w:rsidR="005C6630" w:rsidRPr="009C26EF" w14:paraId="4AAE4319" w14:textId="77777777" w:rsidTr="00050920">
        <w:trPr>
          <w:trHeight w:val="300"/>
        </w:trPr>
        <w:tc>
          <w:tcPr>
            <w:tcW w:w="4394" w:type="dxa"/>
            <w:tcBorders>
              <w:left w:val="single" w:sz="8" w:space="0" w:color="auto"/>
              <w:bottom w:val="nil"/>
              <w:right w:val="single" w:sz="8" w:space="0" w:color="auto"/>
            </w:tcBorders>
            <w:shd w:val="clear" w:color="000000" w:fill="BFBFBF"/>
            <w:vAlign w:val="center"/>
            <w:hideMark/>
          </w:tcPr>
          <w:p w14:paraId="4953F876" w14:textId="77777777" w:rsidR="005C6630" w:rsidRPr="005C6630" w:rsidRDefault="005C6630" w:rsidP="002F131C">
            <w:pPr>
              <w:rPr>
                <w:rFonts w:ascii="Montserrat Medium" w:eastAsia="Times New Roman" w:hAnsi="Montserrat Medium" w:cs="Calibri"/>
                <w:b/>
                <w:bCs/>
                <w:color w:val="000000"/>
                <w:sz w:val="16"/>
                <w:szCs w:val="18"/>
                <w:lang w:val="es-MX" w:eastAsia="es-MX"/>
              </w:rPr>
            </w:pPr>
            <w:r w:rsidRPr="005C6630">
              <w:rPr>
                <w:rFonts w:ascii="Montserrat Medium" w:eastAsia="Times New Roman" w:hAnsi="Montserrat Medium" w:cs="Calibri"/>
                <w:b/>
                <w:bCs/>
                <w:color w:val="000000"/>
                <w:sz w:val="16"/>
                <w:szCs w:val="18"/>
                <w:lang w:val="es-MX" w:eastAsia="es-MX"/>
              </w:rPr>
              <w:t>Aprovechamientos</w:t>
            </w:r>
          </w:p>
        </w:tc>
        <w:tc>
          <w:tcPr>
            <w:tcW w:w="1985" w:type="dxa"/>
            <w:tcBorders>
              <w:left w:val="nil"/>
              <w:bottom w:val="nil"/>
              <w:right w:val="single" w:sz="8" w:space="0" w:color="auto"/>
            </w:tcBorders>
            <w:shd w:val="clear" w:color="000000" w:fill="BFBFBF"/>
            <w:noWrap/>
            <w:vAlign w:val="center"/>
            <w:hideMark/>
          </w:tcPr>
          <w:p w14:paraId="356FA521" w14:textId="2FCC2AA7"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135,702,400.65</w:t>
            </w:r>
          </w:p>
        </w:tc>
        <w:tc>
          <w:tcPr>
            <w:tcW w:w="1709" w:type="dxa"/>
            <w:tcBorders>
              <w:left w:val="nil"/>
              <w:bottom w:val="nil"/>
              <w:right w:val="single" w:sz="8" w:space="0" w:color="auto"/>
            </w:tcBorders>
            <w:shd w:val="clear" w:color="000000" w:fill="BFBFBF"/>
            <w:noWrap/>
            <w:vAlign w:val="center"/>
            <w:hideMark/>
          </w:tcPr>
          <w:p w14:paraId="171EA9CC" w14:textId="2F63478C"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649,303,153.32</w:t>
            </w:r>
          </w:p>
        </w:tc>
        <w:tc>
          <w:tcPr>
            <w:tcW w:w="1693" w:type="dxa"/>
            <w:tcBorders>
              <w:left w:val="nil"/>
              <w:bottom w:val="nil"/>
              <w:right w:val="single" w:sz="8" w:space="0" w:color="auto"/>
            </w:tcBorders>
            <w:shd w:val="clear" w:color="000000" w:fill="BFBFBF"/>
            <w:noWrap/>
            <w:vAlign w:val="center"/>
            <w:hideMark/>
          </w:tcPr>
          <w:p w14:paraId="0E64C38A" w14:textId="728CE71F"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-513,600,752.67</w:t>
            </w:r>
          </w:p>
        </w:tc>
      </w:tr>
      <w:tr w:rsidR="005C6630" w:rsidRPr="009C26EF" w14:paraId="202D8455" w14:textId="77777777" w:rsidTr="00F8375F">
        <w:trPr>
          <w:trHeight w:val="200"/>
        </w:trPr>
        <w:tc>
          <w:tcPr>
            <w:tcW w:w="4394" w:type="dxa"/>
            <w:tcBorders>
              <w:top w:val="nil"/>
              <w:left w:val="single" w:sz="8" w:space="0" w:color="auto"/>
              <w:bottom w:val="nil"/>
              <w:right w:val="single" w:sz="8" w:space="0" w:color="auto"/>
            </w:tcBorders>
            <w:shd w:val="clear" w:color="auto" w:fill="auto"/>
            <w:vAlign w:val="center"/>
            <w:hideMark/>
          </w:tcPr>
          <w:p w14:paraId="1A50F83E"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Multas</w:t>
            </w:r>
          </w:p>
        </w:tc>
        <w:tc>
          <w:tcPr>
            <w:tcW w:w="1985" w:type="dxa"/>
            <w:tcBorders>
              <w:top w:val="nil"/>
              <w:left w:val="nil"/>
              <w:bottom w:val="nil"/>
              <w:right w:val="single" w:sz="8" w:space="0" w:color="auto"/>
            </w:tcBorders>
            <w:shd w:val="clear" w:color="auto" w:fill="auto"/>
            <w:noWrap/>
            <w:vAlign w:val="center"/>
            <w:hideMark/>
          </w:tcPr>
          <w:p w14:paraId="2F50140D" w14:textId="5FB910F9"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4,112,016.00</w:t>
            </w:r>
          </w:p>
        </w:tc>
        <w:tc>
          <w:tcPr>
            <w:tcW w:w="1709" w:type="dxa"/>
            <w:tcBorders>
              <w:top w:val="nil"/>
              <w:left w:val="nil"/>
              <w:bottom w:val="nil"/>
              <w:right w:val="single" w:sz="8" w:space="0" w:color="auto"/>
            </w:tcBorders>
            <w:shd w:val="clear" w:color="auto" w:fill="auto"/>
            <w:noWrap/>
            <w:vAlign w:val="center"/>
            <w:hideMark/>
          </w:tcPr>
          <w:p w14:paraId="2E1E1309" w14:textId="2968933D"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5,420,342.00</w:t>
            </w:r>
          </w:p>
        </w:tc>
        <w:tc>
          <w:tcPr>
            <w:tcW w:w="1693" w:type="dxa"/>
            <w:tcBorders>
              <w:top w:val="nil"/>
              <w:left w:val="nil"/>
              <w:bottom w:val="nil"/>
              <w:right w:val="single" w:sz="8" w:space="0" w:color="auto"/>
            </w:tcBorders>
            <w:shd w:val="clear" w:color="auto" w:fill="auto"/>
            <w:noWrap/>
            <w:vAlign w:val="center"/>
            <w:hideMark/>
          </w:tcPr>
          <w:p w14:paraId="52CD11B7" w14:textId="16920E84"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-1,308,326.00</w:t>
            </w:r>
          </w:p>
        </w:tc>
      </w:tr>
      <w:tr w:rsidR="005C6630" w:rsidRPr="009C26EF" w14:paraId="6E8943AE" w14:textId="77777777" w:rsidTr="00F8375F">
        <w:trPr>
          <w:trHeight w:val="146"/>
        </w:trPr>
        <w:tc>
          <w:tcPr>
            <w:tcW w:w="4394" w:type="dxa"/>
            <w:tcBorders>
              <w:top w:val="nil"/>
              <w:left w:val="single" w:sz="8" w:space="0" w:color="auto"/>
              <w:bottom w:val="nil"/>
              <w:right w:val="single" w:sz="8" w:space="0" w:color="auto"/>
            </w:tcBorders>
            <w:shd w:val="clear" w:color="auto" w:fill="auto"/>
            <w:vAlign w:val="center"/>
            <w:hideMark/>
          </w:tcPr>
          <w:p w14:paraId="0D3A651B"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Donaciones de particulares</w:t>
            </w:r>
          </w:p>
        </w:tc>
        <w:tc>
          <w:tcPr>
            <w:tcW w:w="1985" w:type="dxa"/>
            <w:tcBorders>
              <w:top w:val="nil"/>
              <w:left w:val="nil"/>
              <w:bottom w:val="nil"/>
              <w:right w:val="single" w:sz="8" w:space="0" w:color="auto"/>
            </w:tcBorders>
            <w:shd w:val="clear" w:color="auto" w:fill="auto"/>
            <w:noWrap/>
            <w:vAlign w:val="center"/>
            <w:hideMark/>
          </w:tcPr>
          <w:p w14:paraId="14458771" w14:textId="4981FFDD"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4,692.00</w:t>
            </w:r>
          </w:p>
        </w:tc>
        <w:tc>
          <w:tcPr>
            <w:tcW w:w="1709" w:type="dxa"/>
            <w:tcBorders>
              <w:top w:val="nil"/>
              <w:left w:val="nil"/>
              <w:bottom w:val="nil"/>
              <w:right w:val="single" w:sz="8" w:space="0" w:color="auto"/>
            </w:tcBorders>
            <w:shd w:val="clear" w:color="auto" w:fill="auto"/>
            <w:noWrap/>
            <w:vAlign w:val="center"/>
            <w:hideMark/>
          </w:tcPr>
          <w:p w14:paraId="4A69AA3B" w14:textId="3D7EBC98"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693" w:type="dxa"/>
            <w:tcBorders>
              <w:top w:val="nil"/>
              <w:left w:val="nil"/>
              <w:bottom w:val="nil"/>
              <w:right w:val="single" w:sz="8" w:space="0" w:color="auto"/>
            </w:tcBorders>
            <w:shd w:val="clear" w:color="auto" w:fill="auto"/>
            <w:noWrap/>
            <w:vAlign w:val="center"/>
            <w:hideMark/>
          </w:tcPr>
          <w:p w14:paraId="52B46B68" w14:textId="5B76C9AD"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4,692.00</w:t>
            </w:r>
          </w:p>
        </w:tc>
      </w:tr>
      <w:tr w:rsidR="005C6630" w:rsidRPr="009C26EF" w14:paraId="0CF659DE" w14:textId="77777777" w:rsidTr="00F8375F">
        <w:trPr>
          <w:trHeight w:val="300"/>
        </w:trPr>
        <w:tc>
          <w:tcPr>
            <w:tcW w:w="4394" w:type="dxa"/>
            <w:tcBorders>
              <w:top w:val="nil"/>
              <w:left w:val="single" w:sz="8" w:space="0" w:color="auto"/>
              <w:bottom w:val="nil"/>
              <w:right w:val="single" w:sz="8" w:space="0" w:color="auto"/>
            </w:tcBorders>
            <w:shd w:val="clear" w:color="auto" w:fill="auto"/>
            <w:vAlign w:val="center"/>
            <w:hideMark/>
          </w:tcPr>
          <w:p w14:paraId="22F64E51"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Aprovechamientos diversos</w:t>
            </w:r>
          </w:p>
        </w:tc>
        <w:tc>
          <w:tcPr>
            <w:tcW w:w="1985" w:type="dxa"/>
            <w:tcBorders>
              <w:top w:val="nil"/>
              <w:left w:val="nil"/>
              <w:bottom w:val="nil"/>
              <w:right w:val="single" w:sz="8" w:space="0" w:color="auto"/>
            </w:tcBorders>
            <w:shd w:val="clear" w:color="auto" w:fill="auto"/>
            <w:noWrap/>
            <w:vAlign w:val="center"/>
            <w:hideMark/>
          </w:tcPr>
          <w:p w14:paraId="5E2746AD" w14:textId="346F236B"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131,585,692.65</w:t>
            </w:r>
          </w:p>
        </w:tc>
        <w:tc>
          <w:tcPr>
            <w:tcW w:w="1709" w:type="dxa"/>
            <w:tcBorders>
              <w:top w:val="nil"/>
              <w:left w:val="nil"/>
              <w:bottom w:val="nil"/>
              <w:right w:val="single" w:sz="8" w:space="0" w:color="auto"/>
            </w:tcBorders>
            <w:shd w:val="clear" w:color="auto" w:fill="auto"/>
            <w:noWrap/>
            <w:vAlign w:val="center"/>
            <w:hideMark/>
          </w:tcPr>
          <w:p w14:paraId="23CF3F1B" w14:textId="1379AAB9"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643,882,811.32</w:t>
            </w:r>
          </w:p>
        </w:tc>
        <w:tc>
          <w:tcPr>
            <w:tcW w:w="1693" w:type="dxa"/>
            <w:tcBorders>
              <w:top w:val="nil"/>
              <w:left w:val="nil"/>
              <w:bottom w:val="nil"/>
              <w:right w:val="single" w:sz="8" w:space="0" w:color="auto"/>
            </w:tcBorders>
            <w:shd w:val="clear" w:color="auto" w:fill="auto"/>
            <w:noWrap/>
            <w:vAlign w:val="center"/>
            <w:hideMark/>
          </w:tcPr>
          <w:p w14:paraId="60B4A3A2" w14:textId="6D736F66"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-512,297,118.67</w:t>
            </w:r>
          </w:p>
        </w:tc>
      </w:tr>
      <w:tr w:rsidR="005C6630" w:rsidRPr="009C26EF" w14:paraId="04B4B429" w14:textId="77777777" w:rsidTr="00F8375F">
        <w:trPr>
          <w:trHeight w:val="352"/>
        </w:trPr>
        <w:tc>
          <w:tcPr>
            <w:tcW w:w="4394" w:type="dxa"/>
            <w:tcBorders>
              <w:top w:val="nil"/>
              <w:left w:val="single" w:sz="8" w:space="0" w:color="auto"/>
              <w:bottom w:val="nil"/>
              <w:right w:val="single" w:sz="8" w:space="0" w:color="auto"/>
            </w:tcBorders>
            <w:shd w:val="clear" w:color="000000" w:fill="BFBFBF"/>
            <w:vAlign w:val="center"/>
            <w:hideMark/>
          </w:tcPr>
          <w:p w14:paraId="61E24F38" w14:textId="77777777" w:rsidR="005C6630" w:rsidRPr="005C6630" w:rsidRDefault="005C6630" w:rsidP="002F131C">
            <w:pPr>
              <w:rPr>
                <w:rFonts w:ascii="Montserrat Medium" w:eastAsia="Times New Roman" w:hAnsi="Montserrat Medium" w:cs="Calibri"/>
                <w:b/>
                <w:bCs/>
                <w:color w:val="000000"/>
                <w:sz w:val="16"/>
                <w:szCs w:val="18"/>
                <w:lang w:val="es-MX" w:eastAsia="es-MX"/>
              </w:rPr>
            </w:pPr>
            <w:r w:rsidRPr="005C6630">
              <w:rPr>
                <w:rFonts w:ascii="Montserrat Medium" w:eastAsia="Times New Roman" w:hAnsi="Montserrat Medium" w:cs="Calibri"/>
                <w:b/>
                <w:bCs/>
                <w:color w:val="000000"/>
                <w:sz w:val="16"/>
                <w:szCs w:val="18"/>
                <w:lang w:val="es-MX" w:eastAsia="es-MX"/>
              </w:rPr>
              <w:t>Ingresos por venta de bienes y prestación de servicios</w:t>
            </w:r>
          </w:p>
        </w:tc>
        <w:tc>
          <w:tcPr>
            <w:tcW w:w="1985" w:type="dxa"/>
            <w:tcBorders>
              <w:top w:val="nil"/>
              <w:left w:val="nil"/>
              <w:bottom w:val="nil"/>
              <w:right w:val="single" w:sz="8" w:space="0" w:color="auto"/>
            </w:tcBorders>
            <w:shd w:val="clear" w:color="000000" w:fill="BFBFBF"/>
            <w:noWrap/>
            <w:vAlign w:val="center"/>
            <w:hideMark/>
          </w:tcPr>
          <w:p w14:paraId="420612AD" w14:textId="1BFA1914"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0.00</w:t>
            </w:r>
          </w:p>
        </w:tc>
        <w:tc>
          <w:tcPr>
            <w:tcW w:w="1709" w:type="dxa"/>
            <w:tcBorders>
              <w:top w:val="nil"/>
              <w:left w:val="nil"/>
              <w:bottom w:val="nil"/>
              <w:right w:val="single" w:sz="8" w:space="0" w:color="auto"/>
            </w:tcBorders>
            <w:shd w:val="clear" w:color="000000" w:fill="BFBFBF"/>
            <w:noWrap/>
            <w:vAlign w:val="center"/>
            <w:hideMark/>
          </w:tcPr>
          <w:p w14:paraId="7E074FEF" w14:textId="07F33780"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0.00</w:t>
            </w:r>
          </w:p>
        </w:tc>
        <w:tc>
          <w:tcPr>
            <w:tcW w:w="1693" w:type="dxa"/>
            <w:tcBorders>
              <w:top w:val="nil"/>
              <w:left w:val="nil"/>
              <w:bottom w:val="nil"/>
              <w:right w:val="single" w:sz="8" w:space="0" w:color="auto"/>
            </w:tcBorders>
            <w:shd w:val="clear" w:color="000000" w:fill="BFBFBF"/>
            <w:noWrap/>
            <w:vAlign w:val="center"/>
            <w:hideMark/>
          </w:tcPr>
          <w:p w14:paraId="799282E6" w14:textId="098CFFAD"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0.00</w:t>
            </w:r>
          </w:p>
        </w:tc>
      </w:tr>
      <w:tr w:rsidR="005C6630" w:rsidRPr="009C26EF" w14:paraId="127431FC" w14:textId="77777777" w:rsidTr="00F8375F">
        <w:trPr>
          <w:trHeight w:val="527"/>
        </w:trPr>
        <w:tc>
          <w:tcPr>
            <w:tcW w:w="4394" w:type="dxa"/>
            <w:tcBorders>
              <w:top w:val="nil"/>
              <w:left w:val="single" w:sz="8" w:space="0" w:color="auto"/>
              <w:bottom w:val="nil"/>
              <w:right w:val="single" w:sz="8" w:space="0" w:color="auto"/>
            </w:tcBorders>
            <w:shd w:val="clear" w:color="auto" w:fill="auto"/>
            <w:vAlign w:val="center"/>
            <w:hideMark/>
          </w:tcPr>
          <w:p w14:paraId="23702D16"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Ingresos por venta de bienes y prestación de servicios de instituciones públicas de seguridad social</w:t>
            </w:r>
          </w:p>
        </w:tc>
        <w:tc>
          <w:tcPr>
            <w:tcW w:w="1985" w:type="dxa"/>
            <w:tcBorders>
              <w:top w:val="nil"/>
              <w:left w:val="nil"/>
              <w:bottom w:val="nil"/>
              <w:right w:val="single" w:sz="8" w:space="0" w:color="auto"/>
            </w:tcBorders>
            <w:shd w:val="clear" w:color="auto" w:fill="auto"/>
            <w:noWrap/>
            <w:vAlign w:val="center"/>
            <w:hideMark/>
          </w:tcPr>
          <w:p w14:paraId="217E7491" w14:textId="0B154D22"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709" w:type="dxa"/>
            <w:tcBorders>
              <w:top w:val="nil"/>
              <w:left w:val="nil"/>
              <w:bottom w:val="nil"/>
              <w:right w:val="single" w:sz="8" w:space="0" w:color="auto"/>
            </w:tcBorders>
            <w:shd w:val="clear" w:color="auto" w:fill="auto"/>
            <w:noWrap/>
            <w:vAlign w:val="center"/>
            <w:hideMark/>
          </w:tcPr>
          <w:p w14:paraId="0B4AB4C6" w14:textId="74803FE3"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693" w:type="dxa"/>
            <w:tcBorders>
              <w:top w:val="nil"/>
              <w:left w:val="nil"/>
              <w:bottom w:val="nil"/>
              <w:right w:val="single" w:sz="8" w:space="0" w:color="auto"/>
            </w:tcBorders>
            <w:shd w:val="clear" w:color="auto" w:fill="auto"/>
            <w:noWrap/>
            <w:vAlign w:val="center"/>
            <w:hideMark/>
          </w:tcPr>
          <w:p w14:paraId="4C05B817" w14:textId="1ABD22D6"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r>
      <w:tr w:rsidR="005C6630" w:rsidRPr="009C26EF" w14:paraId="12F24628" w14:textId="77777777" w:rsidTr="00F8375F">
        <w:trPr>
          <w:trHeight w:val="365"/>
        </w:trPr>
        <w:tc>
          <w:tcPr>
            <w:tcW w:w="4394" w:type="dxa"/>
            <w:tcBorders>
              <w:top w:val="nil"/>
              <w:left w:val="single" w:sz="8" w:space="0" w:color="auto"/>
              <w:bottom w:val="nil"/>
              <w:right w:val="single" w:sz="8" w:space="0" w:color="auto"/>
            </w:tcBorders>
            <w:shd w:val="clear" w:color="auto" w:fill="auto"/>
            <w:vAlign w:val="center"/>
            <w:hideMark/>
          </w:tcPr>
          <w:p w14:paraId="0EAE4C0B"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Ingresos por venta de bienes y prestación de servicios de empresas productivas del Estado</w:t>
            </w:r>
          </w:p>
        </w:tc>
        <w:tc>
          <w:tcPr>
            <w:tcW w:w="1985" w:type="dxa"/>
            <w:tcBorders>
              <w:top w:val="nil"/>
              <w:left w:val="nil"/>
              <w:bottom w:val="nil"/>
              <w:right w:val="single" w:sz="8" w:space="0" w:color="auto"/>
            </w:tcBorders>
            <w:shd w:val="clear" w:color="auto" w:fill="auto"/>
            <w:noWrap/>
            <w:vAlign w:val="center"/>
            <w:hideMark/>
          </w:tcPr>
          <w:p w14:paraId="4FA7FE03" w14:textId="22F3422F"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709" w:type="dxa"/>
            <w:tcBorders>
              <w:top w:val="nil"/>
              <w:left w:val="nil"/>
              <w:bottom w:val="nil"/>
              <w:right w:val="single" w:sz="8" w:space="0" w:color="auto"/>
            </w:tcBorders>
            <w:shd w:val="clear" w:color="auto" w:fill="auto"/>
            <w:noWrap/>
            <w:vAlign w:val="center"/>
            <w:hideMark/>
          </w:tcPr>
          <w:p w14:paraId="7AC8A5E2" w14:textId="28C46DAB"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693" w:type="dxa"/>
            <w:tcBorders>
              <w:top w:val="nil"/>
              <w:left w:val="nil"/>
              <w:bottom w:val="nil"/>
              <w:right w:val="single" w:sz="8" w:space="0" w:color="auto"/>
            </w:tcBorders>
            <w:shd w:val="clear" w:color="auto" w:fill="auto"/>
            <w:noWrap/>
            <w:vAlign w:val="center"/>
            <w:hideMark/>
          </w:tcPr>
          <w:p w14:paraId="7E90C569" w14:textId="062ACC2F"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r>
      <w:tr w:rsidR="005C6630" w:rsidRPr="009C26EF" w14:paraId="40CD8088" w14:textId="77777777" w:rsidTr="00F8375F">
        <w:trPr>
          <w:trHeight w:val="838"/>
        </w:trPr>
        <w:tc>
          <w:tcPr>
            <w:tcW w:w="4394" w:type="dxa"/>
            <w:tcBorders>
              <w:top w:val="nil"/>
              <w:left w:val="single" w:sz="8" w:space="0" w:color="auto"/>
              <w:bottom w:val="nil"/>
              <w:right w:val="single" w:sz="8" w:space="0" w:color="auto"/>
            </w:tcBorders>
            <w:shd w:val="clear" w:color="auto" w:fill="auto"/>
            <w:vAlign w:val="center"/>
            <w:hideMark/>
          </w:tcPr>
          <w:p w14:paraId="737A2D7E"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Ingresos por venta de bienes y prestación de servicios de entidades paraestatales y fideicomisos no empresariales y no financieros</w:t>
            </w:r>
          </w:p>
        </w:tc>
        <w:tc>
          <w:tcPr>
            <w:tcW w:w="1985" w:type="dxa"/>
            <w:tcBorders>
              <w:top w:val="nil"/>
              <w:left w:val="nil"/>
              <w:bottom w:val="nil"/>
              <w:right w:val="single" w:sz="8" w:space="0" w:color="auto"/>
            </w:tcBorders>
            <w:shd w:val="clear" w:color="auto" w:fill="auto"/>
            <w:noWrap/>
            <w:vAlign w:val="center"/>
            <w:hideMark/>
          </w:tcPr>
          <w:p w14:paraId="3130271F" w14:textId="03116C66"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709" w:type="dxa"/>
            <w:tcBorders>
              <w:top w:val="nil"/>
              <w:left w:val="nil"/>
              <w:bottom w:val="nil"/>
              <w:right w:val="single" w:sz="8" w:space="0" w:color="auto"/>
            </w:tcBorders>
            <w:shd w:val="clear" w:color="auto" w:fill="auto"/>
            <w:noWrap/>
            <w:vAlign w:val="center"/>
            <w:hideMark/>
          </w:tcPr>
          <w:p w14:paraId="1F599CEA" w14:textId="765F7C98"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693" w:type="dxa"/>
            <w:tcBorders>
              <w:top w:val="nil"/>
              <w:left w:val="nil"/>
              <w:bottom w:val="nil"/>
              <w:right w:val="single" w:sz="8" w:space="0" w:color="auto"/>
            </w:tcBorders>
            <w:shd w:val="clear" w:color="auto" w:fill="auto"/>
            <w:noWrap/>
            <w:vAlign w:val="center"/>
            <w:hideMark/>
          </w:tcPr>
          <w:p w14:paraId="4BE58FE1" w14:textId="379E2544"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r>
      <w:tr w:rsidR="005C6630" w:rsidRPr="009C26EF" w14:paraId="340804D1" w14:textId="77777777" w:rsidTr="00F8375F">
        <w:trPr>
          <w:trHeight w:val="425"/>
        </w:trPr>
        <w:tc>
          <w:tcPr>
            <w:tcW w:w="4394" w:type="dxa"/>
            <w:tcBorders>
              <w:top w:val="nil"/>
              <w:left w:val="single" w:sz="8" w:space="0" w:color="auto"/>
              <w:bottom w:val="nil"/>
              <w:right w:val="single" w:sz="8" w:space="0" w:color="auto"/>
            </w:tcBorders>
            <w:shd w:val="clear" w:color="auto" w:fill="auto"/>
            <w:vAlign w:val="center"/>
            <w:hideMark/>
          </w:tcPr>
          <w:p w14:paraId="26C8BA6C"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Ingresos por venta de bienes y prestación de servicios de entidades paraestatales empresariales no financieras con participación estatal mayoritaria</w:t>
            </w:r>
          </w:p>
        </w:tc>
        <w:tc>
          <w:tcPr>
            <w:tcW w:w="1985" w:type="dxa"/>
            <w:tcBorders>
              <w:top w:val="nil"/>
              <w:left w:val="nil"/>
              <w:bottom w:val="nil"/>
              <w:right w:val="single" w:sz="8" w:space="0" w:color="auto"/>
            </w:tcBorders>
            <w:shd w:val="clear" w:color="auto" w:fill="auto"/>
            <w:noWrap/>
            <w:vAlign w:val="center"/>
            <w:hideMark/>
          </w:tcPr>
          <w:p w14:paraId="7DA492FA" w14:textId="61DD9EAE"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709" w:type="dxa"/>
            <w:tcBorders>
              <w:top w:val="nil"/>
              <w:left w:val="nil"/>
              <w:bottom w:val="nil"/>
              <w:right w:val="single" w:sz="8" w:space="0" w:color="auto"/>
            </w:tcBorders>
            <w:shd w:val="clear" w:color="auto" w:fill="auto"/>
            <w:noWrap/>
            <w:vAlign w:val="center"/>
            <w:hideMark/>
          </w:tcPr>
          <w:p w14:paraId="2DA7878B" w14:textId="18BCAC3B"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693" w:type="dxa"/>
            <w:tcBorders>
              <w:top w:val="nil"/>
              <w:left w:val="nil"/>
              <w:bottom w:val="nil"/>
              <w:right w:val="single" w:sz="8" w:space="0" w:color="auto"/>
            </w:tcBorders>
            <w:shd w:val="clear" w:color="auto" w:fill="auto"/>
            <w:noWrap/>
            <w:vAlign w:val="center"/>
            <w:hideMark/>
          </w:tcPr>
          <w:p w14:paraId="0F07A9C1" w14:textId="303083B9"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r>
      <w:tr w:rsidR="005C6630" w:rsidRPr="009C26EF" w14:paraId="3AFBE184" w14:textId="77777777" w:rsidTr="00F8375F">
        <w:trPr>
          <w:trHeight w:val="958"/>
        </w:trPr>
        <w:tc>
          <w:tcPr>
            <w:tcW w:w="4394" w:type="dxa"/>
            <w:tcBorders>
              <w:top w:val="nil"/>
              <w:left w:val="single" w:sz="8" w:space="0" w:color="auto"/>
              <w:bottom w:val="nil"/>
              <w:right w:val="single" w:sz="8" w:space="0" w:color="auto"/>
            </w:tcBorders>
            <w:shd w:val="clear" w:color="auto" w:fill="auto"/>
            <w:vAlign w:val="center"/>
            <w:hideMark/>
          </w:tcPr>
          <w:p w14:paraId="32AD8624"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Ingresos por venta de bienes y prestación de servicios de entidades paraestatales empresariales financieras monetarias con participación estatal mayoritaria</w:t>
            </w:r>
          </w:p>
        </w:tc>
        <w:tc>
          <w:tcPr>
            <w:tcW w:w="1985" w:type="dxa"/>
            <w:tcBorders>
              <w:top w:val="nil"/>
              <w:left w:val="nil"/>
              <w:bottom w:val="nil"/>
              <w:right w:val="single" w:sz="8" w:space="0" w:color="auto"/>
            </w:tcBorders>
            <w:shd w:val="clear" w:color="auto" w:fill="auto"/>
            <w:noWrap/>
            <w:vAlign w:val="center"/>
            <w:hideMark/>
          </w:tcPr>
          <w:p w14:paraId="45FFE01B" w14:textId="5F9A607E"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709" w:type="dxa"/>
            <w:tcBorders>
              <w:top w:val="nil"/>
              <w:left w:val="nil"/>
              <w:bottom w:val="nil"/>
              <w:right w:val="single" w:sz="8" w:space="0" w:color="auto"/>
            </w:tcBorders>
            <w:shd w:val="clear" w:color="auto" w:fill="auto"/>
            <w:noWrap/>
            <w:vAlign w:val="center"/>
            <w:hideMark/>
          </w:tcPr>
          <w:p w14:paraId="04453B29" w14:textId="543ACAF0"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693" w:type="dxa"/>
            <w:tcBorders>
              <w:top w:val="nil"/>
              <w:left w:val="nil"/>
              <w:bottom w:val="nil"/>
              <w:right w:val="single" w:sz="8" w:space="0" w:color="auto"/>
            </w:tcBorders>
            <w:shd w:val="clear" w:color="auto" w:fill="auto"/>
            <w:noWrap/>
            <w:vAlign w:val="center"/>
            <w:hideMark/>
          </w:tcPr>
          <w:p w14:paraId="6EFB5514" w14:textId="7DFA1898"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r>
      <w:tr w:rsidR="005C6630" w:rsidRPr="009C26EF" w14:paraId="772E4406" w14:textId="77777777" w:rsidTr="00B552D2">
        <w:trPr>
          <w:trHeight w:val="886"/>
        </w:trPr>
        <w:tc>
          <w:tcPr>
            <w:tcW w:w="4394" w:type="dxa"/>
            <w:tcBorders>
              <w:top w:val="nil"/>
              <w:left w:val="single" w:sz="8" w:space="0" w:color="auto"/>
              <w:right w:val="single" w:sz="8" w:space="0" w:color="auto"/>
            </w:tcBorders>
            <w:shd w:val="clear" w:color="auto" w:fill="auto"/>
            <w:vAlign w:val="center"/>
            <w:hideMark/>
          </w:tcPr>
          <w:p w14:paraId="6C076B87"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Ingresos por venta de bienes y prestación de servicios de entidades paraestatales empresariales financieras no monetarias con participación estatal mayoritaria</w:t>
            </w:r>
          </w:p>
        </w:tc>
        <w:tc>
          <w:tcPr>
            <w:tcW w:w="1985" w:type="dxa"/>
            <w:tcBorders>
              <w:top w:val="nil"/>
              <w:left w:val="nil"/>
              <w:right w:val="single" w:sz="8" w:space="0" w:color="auto"/>
            </w:tcBorders>
            <w:shd w:val="clear" w:color="auto" w:fill="auto"/>
            <w:noWrap/>
            <w:vAlign w:val="center"/>
            <w:hideMark/>
          </w:tcPr>
          <w:p w14:paraId="73B50D6E" w14:textId="3B53A8A3"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709" w:type="dxa"/>
            <w:tcBorders>
              <w:top w:val="nil"/>
              <w:left w:val="nil"/>
              <w:right w:val="single" w:sz="8" w:space="0" w:color="auto"/>
            </w:tcBorders>
            <w:shd w:val="clear" w:color="auto" w:fill="auto"/>
            <w:noWrap/>
            <w:vAlign w:val="center"/>
            <w:hideMark/>
          </w:tcPr>
          <w:p w14:paraId="03D12AAD" w14:textId="30141B2C"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693" w:type="dxa"/>
            <w:tcBorders>
              <w:top w:val="nil"/>
              <w:left w:val="nil"/>
              <w:right w:val="single" w:sz="8" w:space="0" w:color="auto"/>
            </w:tcBorders>
            <w:shd w:val="clear" w:color="auto" w:fill="auto"/>
            <w:noWrap/>
            <w:vAlign w:val="center"/>
            <w:hideMark/>
          </w:tcPr>
          <w:p w14:paraId="0A5EF01D" w14:textId="0FCEFAEF"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r>
      <w:tr w:rsidR="005C6630" w:rsidRPr="009C26EF" w14:paraId="7A4FFEF8" w14:textId="77777777" w:rsidTr="00B552D2">
        <w:trPr>
          <w:trHeight w:val="788"/>
        </w:trPr>
        <w:tc>
          <w:tcPr>
            <w:tcW w:w="4394" w:type="dxa"/>
            <w:tcBorders>
              <w:top w:val="nil"/>
              <w:left w:val="single" w:sz="8" w:space="0" w:color="auto"/>
              <w:right w:val="single" w:sz="8" w:space="0" w:color="auto"/>
            </w:tcBorders>
            <w:shd w:val="clear" w:color="auto" w:fill="auto"/>
            <w:vAlign w:val="center"/>
            <w:hideMark/>
          </w:tcPr>
          <w:p w14:paraId="44F4A2ED"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Ingresos por venta de bienes y prestación de servicios de fideicomisos financieros públicos con participación estatal mayoritaria</w:t>
            </w:r>
          </w:p>
        </w:tc>
        <w:tc>
          <w:tcPr>
            <w:tcW w:w="1985" w:type="dxa"/>
            <w:tcBorders>
              <w:top w:val="nil"/>
              <w:left w:val="nil"/>
              <w:right w:val="single" w:sz="8" w:space="0" w:color="auto"/>
            </w:tcBorders>
            <w:shd w:val="clear" w:color="auto" w:fill="auto"/>
            <w:noWrap/>
            <w:vAlign w:val="center"/>
            <w:hideMark/>
          </w:tcPr>
          <w:p w14:paraId="781B249A" w14:textId="6C39A718"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709" w:type="dxa"/>
            <w:tcBorders>
              <w:top w:val="nil"/>
              <w:left w:val="nil"/>
              <w:right w:val="single" w:sz="8" w:space="0" w:color="auto"/>
            </w:tcBorders>
            <w:shd w:val="clear" w:color="auto" w:fill="auto"/>
            <w:noWrap/>
            <w:vAlign w:val="center"/>
            <w:hideMark/>
          </w:tcPr>
          <w:p w14:paraId="4458253A" w14:textId="04827E18"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693" w:type="dxa"/>
            <w:tcBorders>
              <w:top w:val="nil"/>
              <w:left w:val="nil"/>
              <w:right w:val="single" w:sz="8" w:space="0" w:color="auto"/>
            </w:tcBorders>
            <w:shd w:val="clear" w:color="auto" w:fill="auto"/>
            <w:noWrap/>
            <w:vAlign w:val="center"/>
            <w:hideMark/>
          </w:tcPr>
          <w:p w14:paraId="0498F086" w14:textId="40D981C8"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r>
      <w:tr w:rsidR="005C6630" w:rsidRPr="009C26EF" w14:paraId="66782AB9" w14:textId="77777777" w:rsidTr="00B552D2">
        <w:trPr>
          <w:trHeight w:val="612"/>
        </w:trPr>
        <w:tc>
          <w:tcPr>
            <w:tcW w:w="4394" w:type="dxa"/>
            <w:tcBorders>
              <w:left w:val="single" w:sz="8" w:space="0" w:color="auto"/>
              <w:bottom w:val="nil"/>
              <w:right w:val="single" w:sz="8" w:space="0" w:color="auto"/>
            </w:tcBorders>
            <w:shd w:val="clear" w:color="auto" w:fill="auto"/>
            <w:vAlign w:val="center"/>
            <w:hideMark/>
          </w:tcPr>
          <w:p w14:paraId="69F57C6F" w14:textId="77777777" w:rsidR="005C6630" w:rsidRPr="005C6630" w:rsidRDefault="005C6630" w:rsidP="002F131C">
            <w:pPr>
              <w:rPr>
                <w:rFonts w:ascii="Montserrat Medium" w:eastAsia="Times New Roman" w:hAnsi="Montserrat Medium" w:cs="Calibri"/>
                <w:color w:val="595959"/>
                <w:sz w:val="16"/>
                <w:szCs w:val="18"/>
                <w:lang w:val="es-MX" w:eastAsia="es-MX"/>
              </w:rPr>
            </w:pPr>
            <w:r w:rsidRPr="005C6630">
              <w:rPr>
                <w:rFonts w:ascii="Montserrat Medium" w:eastAsia="Times New Roman" w:hAnsi="Montserrat Medium" w:cs="Calibri"/>
                <w:color w:val="595959"/>
                <w:sz w:val="16"/>
                <w:szCs w:val="18"/>
                <w:lang w:val="es-MX" w:eastAsia="es-MX"/>
              </w:rPr>
              <w:t>Ingresos por venta de bienes y prestación de servicios de los Poderes Legislativo y Judicial, y de los Órganos Autónomos</w:t>
            </w:r>
          </w:p>
        </w:tc>
        <w:tc>
          <w:tcPr>
            <w:tcW w:w="1985" w:type="dxa"/>
            <w:tcBorders>
              <w:left w:val="nil"/>
              <w:bottom w:val="nil"/>
              <w:right w:val="single" w:sz="8" w:space="0" w:color="auto"/>
            </w:tcBorders>
            <w:shd w:val="clear" w:color="auto" w:fill="auto"/>
            <w:noWrap/>
            <w:vAlign w:val="center"/>
            <w:hideMark/>
          </w:tcPr>
          <w:p w14:paraId="09B39069" w14:textId="12E8EC4B"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709" w:type="dxa"/>
            <w:tcBorders>
              <w:left w:val="nil"/>
              <w:bottom w:val="nil"/>
              <w:right w:val="single" w:sz="8" w:space="0" w:color="auto"/>
            </w:tcBorders>
            <w:shd w:val="clear" w:color="auto" w:fill="auto"/>
            <w:noWrap/>
            <w:vAlign w:val="center"/>
            <w:hideMark/>
          </w:tcPr>
          <w:p w14:paraId="48B7B6B4" w14:textId="66D3E1A2"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c>
          <w:tcPr>
            <w:tcW w:w="1693" w:type="dxa"/>
            <w:tcBorders>
              <w:left w:val="nil"/>
              <w:bottom w:val="nil"/>
              <w:right w:val="single" w:sz="8" w:space="0" w:color="auto"/>
            </w:tcBorders>
            <w:shd w:val="clear" w:color="auto" w:fill="auto"/>
            <w:noWrap/>
            <w:vAlign w:val="center"/>
            <w:hideMark/>
          </w:tcPr>
          <w:p w14:paraId="4AE8F7D3" w14:textId="03275D9D" w:rsidR="005C6630" w:rsidRPr="005C6630" w:rsidRDefault="005C6630" w:rsidP="002F131C">
            <w:pPr>
              <w:jc w:val="right"/>
              <w:rPr>
                <w:rFonts w:ascii="Montserrat Medium" w:eastAsia="Times New Roman" w:hAnsi="Montserrat Medium" w:cs="Calibri"/>
                <w:color w:val="595959"/>
                <w:sz w:val="16"/>
                <w:szCs w:val="16"/>
                <w:lang w:val="es-MX" w:eastAsia="es-MX"/>
              </w:rPr>
            </w:pPr>
            <w:r w:rsidRPr="005C6630">
              <w:rPr>
                <w:rFonts w:ascii="Montserrat Medium" w:hAnsi="Montserrat Medium" w:cs="Calibri"/>
                <w:color w:val="000000"/>
                <w:sz w:val="16"/>
                <w:szCs w:val="16"/>
              </w:rPr>
              <w:t>0.00</w:t>
            </w:r>
          </w:p>
        </w:tc>
      </w:tr>
      <w:tr w:rsidR="005C6630" w:rsidRPr="009C26EF" w14:paraId="675BAB9A" w14:textId="77777777" w:rsidTr="00F8375F">
        <w:trPr>
          <w:trHeight w:val="315"/>
        </w:trPr>
        <w:tc>
          <w:tcPr>
            <w:tcW w:w="43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0BE994" w14:textId="77777777" w:rsidR="005C6630" w:rsidRPr="005C6630" w:rsidRDefault="005C6630" w:rsidP="002F131C">
            <w:pPr>
              <w:rPr>
                <w:rFonts w:ascii="Montserrat Medium" w:eastAsia="Times New Roman" w:hAnsi="Montserrat Medium" w:cs="Calibri"/>
                <w:b/>
                <w:bCs/>
                <w:color w:val="000000"/>
                <w:sz w:val="16"/>
                <w:szCs w:val="18"/>
                <w:lang w:val="es-MX" w:eastAsia="es-MX"/>
              </w:rPr>
            </w:pPr>
            <w:r w:rsidRPr="005C6630">
              <w:rPr>
                <w:rFonts w:ascii="Montserrat Medium" w:eastAsia="Times New Roman" w:hAnsi="Montserrat Medium" w:cs="Calibri"/>
                <w:b/>
                <w:bCs/>
                <w:color w:val="000000"/>
                <w:sz w:val="16"/>
                <w:szCs w:val="18"/>
                <w:lang w:val="es-MX" w:eastAsia="es-MX"/>
              </w:rPr>
              <w:t>Total de Ingresos de Gestión</w:t>
            </w:r>
          </w:p>
        </w:tc>
        <w:tc>
          <w:tcPr>
            <w:tcW w:w="1985" w:type="dxa"/>
            <w:tcBorders>
              <w:top w:val="single" w:sz="8" w:space="0" w:color="auto"/>
              <w:left w:val="nil"/>
              <w:bottom w:val="single" w:sz="8" w:space="0" w:color="auto"/>
              <w:right w:val="single" w:sz="8" w:space="0" w:color="auto"/>
            </w:tcBorders>
            <w:shd w:val="clear" w:color="auto" w:fill="auto"/>
            <w:noWrap/>
            <w:vAlign w:val="center"/>
            <w:hideMark/>
          </w:tcPr>
          <w:p w14:paraId="030C9B9A" w14:textId="4595FD55"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7,831,088,657.98</w:t>
            </w:r>
          </w:p>
        </w:tc>
        <w:tc>
          <w:tcPr>
            <w:tcW w:w="1709" w:type="dxa"/>
            <w:tcBorders>
              <w:top w:val="single" w:sz="8" w:space="0" w:color="auto"/>
              <w:left w:val="nil"/>
              <w:bottom w:val="single" w:sz="8" w:space="0" w:color="auto"/>
              <w:right w:val="single" w:sz="8" w:space="0" w:color="auto"/>
            </w:tcBorders>
            <w:shd w:val="clear" w:color="auto" w:fill="auto"/>
            <w:noWrap/>
            <w:vAlign w:val="center"/>
            <w:hideMark/>
          </w:tcPr>
          <w:p w14:paraId="15BA0557" w14:textId="606171BB"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13,595,569,514.78</w:t>
            </w:r>
          </w:p>
        </w:tc>
        <w:tc>
          <w:tcPr>
            <w:tcW w:w="1693" w:type="dxa"/>
            <w:tcBorders>
              <w:top w:val="single" w:sz="8" w:space="0" w:color="auto"/>
              <w:left w:val="nil"/>
              <w:bottom w:val="single" w:sz="8" w:space="0" w:color="auto"/>
              <w:right w:val="single" w:sz="8" w:space="0" w:color="auto"/>
            </w:tcBorders>
            <w:shd w:val="clear" w:color="auto" w:fill="auto"/>
            <w:noWrap/>
            <w:vAlign w:val="center"/>
            <w:hideMark/>
          </w:tcPr>
          <w:p w14:paraId="1C6B9C66" w14:textId="78C6BA2C" w:rsidR="005C6630" w:rsidRPr="005C6630" w:rsidRDefault="005C6630" w:rsidP="002F131C">
            <w:pPr>
              <w:jc w:val="right"/>
              <w:rPr>
                <w:rFonts w:ascii="Montserrat Medium" w:eastAsia="Times New Roman" w:hAnsi="Montserrat Medium" w:cs="Calibri"/>
                <w:b/>
                <w:bCs/>
                <w:color w:val="000000"/>
                <w:sz w:val="16"/>
                <w:szCs w:val="16"/>
                <w:lang w:val="es-MX" w:eastAsia="es-MX"/>
              </w:rPr>
            </w:pPr>
            <w:r w:rsidRPr="005C6630">
              <w:rPr>
                <w:rFonts w:ascii="Montserrat Medium" w:hAnsi="Montserrat Medium" w:cs="Calibri"/>
                <w:b/>
                <w:bCs/>
                <w:color w:val="000000"/>
                <w:sz w:val="16"/>
                <w:szCs w:val="16"/>
              </w:rPr>
              <w:t>-6,126,283,780.94</w:t>
            </w:r>
          </w:p>
        </w:tc>
      </w:tr>
    </w:tbl>
    <w:p w14:paraId="4A546C0C" w14:textId="77777777" w:rsidR="005C6630" w:rsidRPr="005C6630" w:rsidRDefault="005C6630" w:rsidP="002F131C">
      <w:pPr>
        <w:jc w:val="both"/>
        <w:rPr>
          <w:rFonts w:ascii="Montserrat Medium" w:hAnsi="Montserrat Medium"/>
          <w:bCs/>
          <w:color w:val="595959"/>
          <w:sz w:val="22"/>
          <w:szCs w:val="22"/>
        </w:rPr>
      </w:pPr>
      <w:r w:rsidRPr="005C6630">
        <w:rPr>
          <w:rFonts w:ascii="Montserrat Medium" w:hAnsi="Montserrat Medium"/>
          <w:bCs/>
          <w:color w:val="595959"/>
          <w:sz w:val="22"/>
          <w:szCs w:val="22"/>
        </w:rPr>
        <w:lastRenderedPageBreak/>
        <w:t>Los Ingresos de Gestión al 30 de junio de 2025, integrado por Impuestos, Derechos Productos y Aprovechamientos ascienden a un total de $7,831,088,657.98 pesos, dicha cifra se desglosa en las siguientes cuentas de rubros que integran cada grupo y se da una explicación a los que representan un 15% o más del total del rubro a que correspondan.</w:t>
      </w:r>
    </w:p>
    <w:p w14:paraId="23C1DE4E" w14:textId="77777777" w:rsidR="005C6630" w:rsidRPr="005C6630" w:rsidRDefault="005C6630" w:rsidP="002F131C">
      <w:pPr>
        <w:jc w:val="both"/>
        <w:rPr>
          <w:rFonts w:ascii="Montserrat Medium" w:hAnsi="Montserrat Medium"/>
          <w:bCs/>
          <w:color w:val="595959"/>
          <w:sz w:val="22"/>
          <w:szCs w:val="22"/>
          <w:highlight w:val="yellow"/>
        </w:rPr>
      </w:pPr>
    </w:p>
    <w:p w14:paraId="5F7A16EC" w14:textId="77777777" w:rsidR="005C6630" w:rsidRPr="005C6630" w:rsidRDefault="005C6630" w:rsidP="002F131C">
      <w:pPr>
        <w:jc w:val="both"/>
        <w:rPr>
          <w:rFonts w:ascii="Montserrat Medium" w:hAnsi="Montserrat Medium"/>
          <w:b/>
          <w:bCs/>
          <w:color w:val="595959"/>
          <w:sz w:val="22"/>
          <w:szCs w:val="22"/>
        </w:rPr>
      </w:pPr>
      <w:r w:rsidRPr="005C6630">
        <w:rPr>
          <w:rFonts w:ascii="Montserrat Medium" w:hAnsi="Montserrat Medium"/>
          <w:b/>
          <w:bCs/>
          <w:color w:val="595959"/>
          <w:sz w:val="22"/>
          <w:szCs w:val="22"/>
        </w:rPr>
        <w:t>Impuestos.</w:t>
      </w:r>
    </w:p>
    <w:p w14:paraId="69CE4B9A" w14:textId="77777777" w:rsidR="005C6630" w:rsidRPr="005C6630" w:rsidRDefault="005C6630" w:rsidP="002F131C">
      <w:pPr>
        <w:jc w:val="both"/>
        <w:rPr>
          <w:rFonts w:ascii="Montserrat Medium" w:hAnsi="Montserrat Medium"/>
          <w:bCs/>
          <w:color w:val="595959"/>
          <w:sz w:val="22"/>
          <w:szCs w:val="22"/>
        </w:rPr>
      </w:pPr>
    </w:p>
    <w:p w14:paraId="2A37340E" w14:textId="77777777" w:rsidR="005C6630" w:rsidRPr="005C6630" w:rsidRDefault="005C6630" w:rsidP="002F131C">
      <w:pPr>
        <w:jc w:val="both"/>
        <w:rPr>
          <w:rFonts w:ascii="Montserrat Medium" w:hAnsi="Montserrat Medium"/>
          <w:bCs/>
          <w:color w:val="595959"/>
          <w:sz w:val="22"/>
          <w:szCs w:val="22"/>
        </w:rPr>
      </w:pPr>
      <w:r w:rsidRPr="005C6630">
        <w:rPr>
          <w:rFonts w:ascii="Montserrat Medium" w:hAnsi="Montserrat Medium"/>
          <w:b/>
          <w:bCs/>
          <w:color w:val="595959"/>
          <w:sz w:val="22"/>
          <w:szCs w:val="22"/>
        </w:rPr>
        <w:t>Impuestos sobre la producción, el consumo y las transacciones. -</w:t>
      </w:r>
      <w:r w:rsidRPr="005C6630">
        <w:rPr>
          <w:rFonts w:ascii="Montserrat Medium" w:hAnsi="Montserrat Medium"/>
          <w:bCs/>
          <w:color w:val="595959"/>
          <w:sz w:val="22"/>
          <w:szCs w:val="22"/>
        </w:rPr>
        <w:t xml:space="preserve"> Este rubro representa el 43.64% del total de los Impuestos, está integrado por los siguientes conceptos: Del impuesto sobre adquisición de vehículos de motor usados entre particulares, del impuesto al hospedaje, del impuesto a la venta final de bebidas con contenido alcohólico en envase cerrado y Del impuesto sobre las erogaciones por participar en actividades con animales acuáticos, destacando los ingresos recaudados por el cobro de Impuesto al Hospedaje por $2,434,260,023.38 pesos al 30 de junio del año 2025.</w:t>
      </w:r>
    </w:p>
    <w:p w14:paraId="22D4C026" w14:textId="77777777" w:rsidR="005C6630" w:rsidRPr="005C6630" w:rsidRDefault="005C6630" w:rsidP="002F131C">
      <w:pPr>
        <w:jc w:val="both"/>
        <w:rPr>
          <w:rFonts w:ascii="Montserrat Medium" w:hAnsi="Montserrat Medium"/>
          <w:bCs/>
          <w:color w:val="595959"/>
          <w:sz w:val="22"/>
          <w:szCs w:val="22"/>
          <w:highlight w:val="yellow"/>
        </w:rPr>
      </w:pPr>
    </w:p>
    <w:p w14:paraId="56DC3B15" w14:textId="77777777" w:rsidR="005C6630" w:rsidRPr="005C6630" w:rsidRDefault="005C6630" w:rsidP="002F131C">
      <w:pPr>
        <w:jc w:val="both"/>
        <w:rPr>
          <w:rFonts w:ascii="Montserrat Medium" w:hAnsi="Montserrat Medium"/>
          <w:bCs/>
          <w:color w:val="595959"/>
          <w:sz w:val="22"/>
          <w:szCs w:val="22"/>
        </w:rPr>
      </w:pPr>
      <w:r w:rsidRPr="005C6630">
        <w:rPr>
          <w:rFonts w:ascii="Montserrat Medium" w:hAnsi="Montserrat Medium"/>
          <w:b/>
          <w:bCs/>
          <w:color w:val="595959"/>
          <w:sz w:val="22"/>
          <w:szCs w:val="22"/>
        </w:rPr>
        <w:t>Impuestos sobre nóminas y asimilables. -</w:t>
      </w:r>
      <w:r w:rsidRPr="005C6630">
        <w:rPr>
          <w:rFonts w:ascii="Montserrat Medium" w:hAnsi="Montserrat Medium"/>
          <w:bCs/>
          <w:color w:val="595959"/>
          <w:sz w:val="22"/>
          <w:szCs w:val="22"/>
        </w:rPr>
        <w:t xml:space="preserve"> Este rubro representa el 49.77% del total de los Impuestos, está integrado por los siguientes conceptos: Del impuesto sobre nóminas y Del impuesto adicional para el fomento al empleo. Destacando los ingresos recaudados por el cobro de Impuesto sobre nóminas por $2</w:t>
      </w:r>
      <w:proofErr w:type="gramStart"/>
      <w:r w:rsidRPr="005C6630">
        <w:rPr>
          <w:rFonts w:ascii="Montserrat Medium" w:hAnsi="Montserrat Medium"/>
          <w:bCs/>
          <w:color w:val="595959"/>
          <w:sz w:val="22"/>
          <w:szCs w:val="22"/>
        </w:rPr>
        <w:t>,933,323,121</w:t>
      </w:r>
      <w:proofErr w:type="gramEnd"/>
      <w:r w:rsidRPr="005C6630">
        <w:rPr>
          <w:rFonts w:ascii="Montserrat Medium" w:hAnsi="Montserrat Medium"/>
          <w:bCs/>
          <w:color w:val="595959"/>
          <w:sz w:val="22"/>
          <w:szCs w:val="22"/>
        </w:rPr>
        <w:t xml:space="preserve"> pesos al 30 de junio del año 2025.</w:t>
      </w:r>
    </w:p>
    <w:p w14:paraId="22F65897" w14:textId="77777777" w:rsidR="005C6630" w:rsidRPr="005C6630" w:rsidRDefault="005C6630" w:rsidP="002F131C">
      <w:pPr>
        <w:jc w:val="both"/>
        <w:rPr>
          <w:rFonts w:ascii="Montserrat Medium" w:hAnsi="Montserrat Medium"/>
          <w:bCs/>
          <w:color w:val="595959"/>
          <w:sz w:val="22"/>
          <w:szCs w:val="22"/>
        </w:rPr>
      </w:pPr>
    </w:p>
    <w:p w14:paraId="5FB16103" w14:textId="77777777" w:rsidR="005C6630" w:rsidRPr="005C6630" w:rsidRDefault="005C6630" w:rsidP="002F131C">
      <w:pPr>
        <w:jc w:val="both"/>
        <w:rPr>
          <w:rFonts w:ascii="Montserrat Medium" w:hAnsi="Montserrat Medium"/>
          <w:b/>
          <w:bCs/>
          <w:color w:val="595959"/>
          <w:sz w:val="22"/>
          <w:szCs w:val="22"/>
        </w:rPr>
      </w:pPr>
      <w:r w:rsidRPr="005C6630">
        <w:rPr>
          <w:rFonts w:ascii="Montserrat Medium" w:hAnsi="Montserrat Medium"/>
          <w:b/>
          <w:bCs/>
          <w:color w:val="595959"/>
          <w:sz w:val="22"/>
          <w:szCs w:val="22"/>
        </w:rPr>
        <w:t>Derechos.</w:t>
      </w:r>
    </w:p>
    <w:p w14:paraId="32E386DC" w14:textId="77777777" w:rsidR="005C6630" w:rsidRPr="005C6630" w:rsidRDefault="005C6630" w:rsidP="002F131C">
      <w:pPr>
        <w:jc w:val="both"/>
        <w:rPr>
          <w:rFonts w:ascii="Montserrat Medium" w:hAnsi="Montserrat Medium"/>
          <w:bCs/>
          <w:color w:val="595959"/>
          <w:sz w:val="22"/>
          <w:szCs w:val="22"/>
        </w:rPr>
      </w:pPr>
    </w:p>
    <w:p w14:paraId="5DB9666F" w14:textId="77777777" w:rsidR="005C6630" w:rsidRPr="005C6630" w:rsidRDefault="005C6630" w:rsidP="002F131C">
      <w:pPr>
        <w:jc w:val="both"/>
        <w:rPr>
          <w:rFonts w:ascii="Montserrat Medium" w:hAnsi="Montserrat Medium"/>
          <w:bCs/>
          <w:color w:val="595959"/>
          <w:sz w:val="22"/>
          <w:szCs w:val="22"/>
        </w:rPr>
      </w:pPr>
      <w:r w:rsidRPr="005C6630">
        <w:rPr>
          <w:rFonts w:ascii="Montserrat Medium" w:hAnsi="Montserrat Medium"/>
          <w:b/>
          <w:bCs/>
          <w:color w:val="595959"/>
          <w:sz w:val="22"/>
          <w:szCs w:val="22"/>
        </w:rPr>
        <w:t>Derechos por el uso, goce, aprovechamiento o explotación de bienes de dominio público.-</w:t>
      </w:r>
      <w:r w:rsidRPr="005C6630">
        <w:rPr>
          <w:rFonts w:ascii="Montserrat Medium" w:hAnsi="Montserrat Medium"/>
          <w:bCs/>
          <w:color w:val="595959"/>
          <w:sz w:val="22"/>
          <w:szCs w:val="22"/>
        </w:rPr>
        <w:t xml:space="preserve"> Este rubro representa el 22.31% del total de los Derechos, está integrado por los siguientes conceptos de cobro: De los servicios en Zonas Arqueológicas, A visitantes extranjeros (</w:t>
      </w:r>
      <w:proofErr w:type="spellStart"/>
      <w:r w:rsidRPr="005C6630">
        <w:rPr>
          <w:rFonts w:ascii="Montserrat Medium" w:hAnsi="Montserrat Medium"/>
          <w:bCs/>
          <w:color w:val="595959"/>
          <w:sz w:val="22"/>
          <w:szCs w:val="22"/>
        </w:rPr>
        <w:t>Visitax</w:t>
      </w:r>
      <w:proofErr w:type="spellEnd"/>
      <w:r w:rsidRPr="005C6630">
        <w:rPr>
          <w:rFonts w:ascii="Montserrat Medium" w:hAnsi="Montserrat Medium"/>
          <w:bCs/>
          <w:color w:val="595959"/>
          <w:sz w:val="22"/>
          <w:szCs w:val="22"/>
        </w:rPr>
        <w:t>) y A los Pasajeros de Cruceros, destacando los ingresos recaudados por el cobro A visitantes extranjeros (</w:t>
      </w:r>
      <w:proofErr w:type="spellStart"/>
      <w:r w:rsidRPr="005C6630">
        <w:rPr>
          <w:rFonts w:ascii="Montserrat Medium" w:hAnsi="Montserrat Medium"/>
          <w:bCs/>
          <w:color w:val="595959"/>
          <w:sz w:val="22"/>
          <w:szCs w:val="22"/>
        </w:rPr>
        <w:t>Visitax</w:t>
      </w:r>
      <w:proofErr w:type="spellEnd"/>
      <w:r w:rsidRPr="005C6630">
        <w:rPr>
          <w:rFonts w:ascii="Montserrat Medium" w:hAnsi="Montserrat Medium"/>
          <w:bCs/>
          <w:color w:val="595959"/>
          <w:sz w:val="22"/>
          <w:szCs w:val="22"/>
        </w:rPr>
        <w:t>) por $201,935,851 pesos y A los Pasajeros de Cruceros por $157,300,160.14 pesos al 30 de junio de 2025.</w:t>
      </w:r>
    </w:p>
    <w:p w14:paraId="2C9B993A" w14:textId="77777777" w:rsidR="005C6630" w:rsidRPr="005C6630" w:rsidRDefault="005C6630" w:rsidP="002F131C">
      <w:pPr>
        <w:jc w:val="both"/>
        <w:rPr>
          <w:rFonts w:ascii="Montserrat Medium" w:hAnsi="Montserrat Medium"/>
          <w:bCs/>
          <w:color w:val="595959"/>
          <w:sz w:val="22"/>
          <w:szCs w:val="22"/>
        </w:rPr>
      </w:pPr>
    </w:p>
    <w:p w14:paraId="685204EF" w14:textId="77777777" w:rsidR="005C6630" w:rsidRPr="005C6630" w:rsidRDefault="005C6630" w:rsidP="002F131C">
      <w:pPr>
        <w:jc w:val="both"/>
        <w:rPr>
          <w:rFonts w:ascii="Montserrat Medium" w:hAnsi="Montserrat Medium"/>
          <w:bCs/>
          <w:color w:val="595959"/>
          <w:sz w:val="22"/>
          <w:szCs w:val="22"/>
        </w:rPr>
      </w:pPr>
      <w:r w:rsidRPr="005C6630">
        <w:rPr>
          <w:rFonts w:ascii="Montserrat Medium" w:hAnsi="Montserrat Medium"/>
          <w:b/>
          <w:bCs/>
          <w:color w:val="595959"/>
          <w:sz w:val="22"/>
          <w:szCs w:val="22"/>
        </w:rPr>
        <w:t>Derechos por prestación de servicios. -</w:t>
      </w:r>
      <w:r w:rsidRPr="005C6630">
        <w:rPr>
          <w:rFonts w:ascii="Montserrat Medium" w:hAnsi="Montserrat Medium"/>
          <w:bCs/>
          <w:color w:val="595959"/>
          <w:sz w:val="22"/>
          <w:szCs w:val="22"/>
        </w:rPr>
        <w:t xml:space="preserve"> Este rubro representa el 73.90% del total de los Derechos, está integrado por los servicios que prestan todas la Secretarías del Estado, siendo las siguientes Secretarías las de mayor recaudación: </w:t>
      </w:r>
    </w:p>
    <w:p w14:paraId="2D942DE0" w14:textId="77777777" w:rsidR="005C6630" w:rsidRPr="005C6630" w:rsidRDefault="005C6630" w:rsidP="002F131C">
      <w:pPr>
        <w:jc w:val="both"/>
        <w:rPr>
          <w:rFonts w:ascii="Montserrat Medium" w:hAnsi="Montserrat Medium"/>
          <w:bCs/>
          <w:color w:val="595959"/>
          <w:sz w:val="22"/>
          <w:szCs w:val="22"/>
        </w:rPr>
      </w:pPr>
    </w:p>
    <w:p w14:paraId="28B0B72E" w14:textId="77777777" w:rsidR="005C6630" w:rsidRPr="005C6630" w:rsidRDefault="005C6630" w:rsidP="002F131C">
      <w:pPr>
        <w:pStyle w:val="Prrafodelista"/>
        <w:numPr>
          <w:ilvl w:val="0"/>
          <w:numId w:val="44"/>
        </w:numPr>
        <w:jc w:val="both"/>
        <w:rPr>
          <w:rFonts w:ascii="Montserrat Medium" w:hAnsi="Montserrat Medium"/>
          <w:bCs/>
          <w:color w:val="595959"/>
          <w:sz w:val="22"/>
          <w:szCs w:val="22"/>
        </w:rPr>
      </w:pPr>
      <w:r w:rsidRPr="005C6630">
        <w:rPr>
          <w:rFonts w:ascii="Montserrat Medium" w:hAnsi="Montserrat Medium"/>
          <w:b/>
          <w:bCs/>
          <w:color w:val="595959"/>
          <w:sz w:val="22"/>
          <w:szCs w:val="22"/>
        </w:rPr>
        <w:t>Secretaría de Finanzas y Planeación:</w:t>
      </w:r>
      <w:r w:rsidRPr="005C6630">
        <w:rPr>
          <w:rFonts w:ascii="Montserrat Medium" w:hAnsi="Montserrat Medium"/>
          <w:bCs/>
          <w:color w:val="595959"/>
          <w:sz w:val="22"/>
          <w:szCs w:val="22"/>
        </w:rPr>
        <w:t xml:space="preserve"> con una recaudación acumulada al 30 de junio de $ 645</w:t>
      </w:r>
      <w:proofErr w:type="gramStart"/>
      <w:r w:rsidRPr="005C6630">
        <w:rPr>
          <w:rFonts w:ascii="Montserrat Medium" w:hAnsi="Montserrat Medium"/>
          <w:bCs/>
          <w:color w:val="595959"/>
          <w:sz w:val="22"/>
          <w:szCs w:val="22"/>
        </w:rPr>
        <w:t>,365,152.17</w:t>
      </w:r>
      <w:proofErr w:type="gramEnd"/>
      <w:r w:rsidRPr="005C6630">
        <w:rPr>
          <w:rFonts w:ascii="Montserrat Medium" w:hAnsi="Montserrat Medium"/>
          <w:bCs/>
          <w:color w:val="595959"/>
          <w:sz w:val="22"/>
          <w:szCs w:val="22"/>
        </w:rPr>
        <w:t xml:space="preserve"> pesos, destacando el cobro por el Derecho de Servicios de control vehicular por $338,069,107.17 pesos y por Derechos de Expedición de licencias de bebidas alcohólicas por $297,282,836 pesos.</w:t>
      </w:r>
    </w:p>
    <w:p w14:paraId="1E701A28" w14:textId="77777777" w:rsidR="005C6630" w:rsidRPr="005C6630" w:rsidRDefault="005C6630" w:rsidP="002F131C">
      <w:pPr>
        <w:pStyle w:val="Prrafodelista"/>
        <w:numPr>
          <w:ilvl w:val="0"/>
          <w:numId w:val="44"/>
        </w:numPr>
        <w:jc w:val="both"/>
        <w:rPr>
          <w:rFonts w:ascii="Montserrat Medium" w:hAnsi="Montserrat Medium"/>
          <w:bCs/>
          <w:color w:val="595959"/>
          <w:sz w:val="22"/>
          <w:szCs w:val="22"/>
        </w:rPr>
      </w:pPr>
      <w:r w:rsidRPr="005C6630">
        <w:rPr>
          <w:rFonts w:ascii="Montserrat Medium" w:hAnsi="Montserrat Medium"/>
          <w:b/>
          <w:bCs/>
          <w:color w:val="595959"/>
          <w:sz w:val="22"/>
          <w:szCs w:val="22"/>
        </w:rPr>
        <w:t>Secretaría de Gobierno:</w:t>
      </w:r>
      <w:r w:rsidRPr="005C6630">
        <w:rPr>
          <w:rFonts w:ascii="Montserrat Medium" w:hAnsi="Montserrat Medium"/>
          <w:bCs/>
          <w:color w:val="595959"/>
          <w:sz w:val="22"/>
          <w:szCs w:val="22"/>
        </w:rPr>
        <w:t xml:space="preserve"> con una recaudación acumulada al 30 de junio de $423</w:t>
      </w:r>
      <w:proofErr w:type="gramStart"/>
      <w:r w:rsidRPr="005C6630">
        <w:rPr>
          <w:rFonts w:ascii="Montserrat Medium" w:hAnsi="Montserrat Medium"/>
          <w:bCs/>
          <w:color w:val="595959"/>
          <w:sz w:val="22"/>
          <w:szCs w:val="22"/>
        </w:rPr>
        <w:t>,820,076</w:t>
      </w:r>
      <w:proofErr w:type="gramEnd"/>
      <w:r w:rsidRPr="005C6630">
        <w:rPr>
          <w:rFonts w:ascii="Montserrat Medium" w:hAnsi="Montserrat Medium"/>
          <w:bCs/>
          <w:color w:val="595959"/>
          <w:sz w:val="22"/>
          <w:szCs w:val="22"/>
        </w:rPr>
        <w:t xml:space="preserve"> pesos, destacando el cobro por los servicios que presta el Registro Público de la Propiedad por $354,807,614 pesos.</w:t>
      </w:r>
    </w:p>
    <w:p w14:paraId="4DA83E15" w14:textId="77777777" w:rsidR="005C6630" w:rsidRDefault="005C6630" w:rsidP="002F131C">
      <w:pPr>
        <w:jc w:val="both"/>
        <w:rPr>
          <w:rFonts w:ascii="Montserrat Medium" w:hAnsi="Montserrat Medium"/>
          <w:bCs/>
          <w:color w:val="595959"/>
          <w:sz w:val="22"/>
          <w:szCs w:val="22"/>
          <w:highlight w:val="yellow"/>
        </w:rPr>
      </w:pPr>
    </w:p>
    <w:p w14:paraId="302AE919" w14:textId="77777777" w:rsidR="00B552D2" w:rsidRDefault="00B552D2" w:rsidP="002F131C">
      <w:pPr>
        <w:jc w:val="both"/>
        <w:rPr>
          <w:rFonts w:ascii="Montserrat Medium" w:hAnsi="Montserrat Medium"/>
          <w:bCs/>
          <w:color w:val="595959"/>
          <w:sz w:val="22"/>
          <w:szCs w:val="22"/>
          <w:highlight w:val="yellow"/>
        </w:rPr>
      </w:pPr>
    </w:p>
    <w:p w14:paraId="793D3201" w14:textId="77777777" w:rsidR="00B552D2" w:rsidRPr="005C6630" w:rsidRDefault="00B552D2" w:rsidP="002F131C">
      <w:pPr>
        <w:jc w:val="both"/>
        <w:rPr>
          <w:rFonts w:ascii="Montserrat Medium" w:hAnsi="Montserrat Medium"/>
          <w:bCs/>
          <w:color w:val="595959"/>
          <w:sz w:val="22"/>
          <w:szCs w:val="22"/>
          <w:highlight w:val="yellow"/>
        </w:rPr>
      </w:pPr>
    </w:p>
    <w:p w14:paraId="4A628565" w14:textId="77777777" w:rsidR="005C6630" w:rsidRPr="005C6630" w:rsidRDefault="005C6630" w:rsidP="002F131C">
      <w:pPr>
        <w:jc w:val="both"/>
        <w:rPr>
          <w:rFonts w:ascii="Montserrat Medium" w:hAnsi="Montserrat Medium"/>
          <w:b/>
          <w:bCs/>
          <w:color w:val="595959"/>
          <w:sz w:val="22"/>
          <w:szCs w:val="22"/>
        </w:rPr>
      </w:pPr>
      <w:r w:rsidRPr="005C6630">
        <w:rPr>
          <w:rFonts w:ascii="Montserrat Medium" w:hAnsi="Montserrat Medium"/>
          <w:b/>
          <w:bCs/>
          <w:color w:val="595959"/>
          <w:sz w:val="22"/>
          <w:szCs w:val="22"/>
        </w:rPr>
        <w:lastRenderedPageBreak/>
        <w:t>Productos</w:t>
      </w:r>
    </w:p>
    <w:p w14:paraId="40A43E65" w14:textId="77777777" w:rsidR="005C6630" w:rsidRPr="005C6630" w:rsidRDefault="005C6630" w:rsidP="002F131C">
      <w:pPr>
        <w:jc w:val="both"/>
        <w:rPr>
          <w:rFonts w:ascii="Montserrat Medium" w:hAnsi="Montserrat Medium"/>
          <w:bCs/>
          <w:color w:val="595959"/>
          <w:sz w:val="22"/>
          <w:szCs w:val="22"/>
        </w:rPr>
      </w:pPr>
    </w:p>
    <w:p w14:paraId="77FA8633" w14:textId="77777777" w:rsidR="005C6630" w:rsidRPr="005C6630" w:rsidRDefault="005C6630" w:rsidP="002F131C">
      <w:pPr>
        <w:jc w:val="both"/>
        <w:rPr>
          <w:rFonts w:ascii="Montserrat Medium" w:hAnsi="Montserrat Medium"/>
          <w:bCs/>
          <w:color w:val="595959"/>
          <w:sz w:val="22"/>
          <w:szCs w:val="22"/>
        </w:rPr>
      </w:pPr>
      <w:r w:rsidRPr="005C6630">
        <w:rPr>
          <w:rFonts w:ascii="Montserrat Medium" w:hAnsi="Montserrat Medium"/>
          <w:b/>
          <w:bCs/>
          <w:color w:val="595959"/>
          <w:sz w:val="22"/>
          <w:szCs w:val="22"/>
        </w:rPr>
        <w:t>Productos. –</w:t>
      </w:r>
      <w:r w:rsidRPr="005C6630">
        <w:rPr>
          <w:rFonts w:ascii="Montserrat Medium" w:hAnsi="Montserrat Medium"/>
          <w:bCs/>
          <w:color w:val="595959"/>
          <w:sz w:val="22"/>
          <w:szCs w:val="22"/>
        </w:rPr>
        <w:t xml:space="preserve"> En el rubro de Productos destaca en un 84.93% los Rendimientos Financieros que al 30 de junio ascendieron a $ 162</w:t>
      </w:r>
      <w:proofErr w:type="gramStart"/>
      <w:r w:rsidRPr="005C6630">
        <w:rPr>
          <w:rFonts w:ascii="Montserrat Medium" w:hAnsi="Montserrat Medium"/>
          <w:bCs/>
          <w:color w:val="595959"/>
          <w:sz w:val="22"/>
          <w:szCs w:val="22"/>
        </w:rPr>
        <w:t>,214,948.02</w:t>
      </w:r>
      <w:proofErr w:type="gramEnd"/>
      <w:r w:rsidRPr="005C6630">
        <w:rPr>
          <w:rFonts w:ascii="Montserrat Medium" w:hAnsi="Montserrat Medium"/>
          <w:bCs/>
          <w:color w:val="595959"/>
          <w:sz w:val="22"/>
          <w:szCs w:val="22"/>
        </w:rPr>
        <w:t xml:space="preserve"> pesos.</w:t>
      </w:r>
    </w:p>
    <w:p w14:paraId="60FB46BD" w14:textId="77777777" w:rsidR="005C6630" w:rsidRPr="005C6630" w:rsidRDefault="005C6630" w:rsidP="002F131C">
      <w:pPr>
        <w:jc w:val="both"/>
        <w:rPr>
          <w:rFonts w:ascii="Montserrat Medium" w:hAnsi="Montserrat Medium"/>
          <w:bCs/>
          <w:color w:val="595959"/>
          <w:sz w:val="22"/>
          <w:szCs w:val="22"/>
        </w:rPr>
      </w:pPr>
    </w:p>
    <w:p w14:paraId="7BC2420F" w14:textId="77777777" w:rsidR="005C6630" w:rsidRPr="002F131C" w:rsidRDefault="005C6630" w:rsidP="002F131C">
      <w:pPr>
        <w:jc w:val="both"/>
        <w:rPr>
          <w:rFonts w:ascii="Montserrat Medium" w:hAnsi="Montserrat Medium"/>
          <w:b/>
          <w:bCs/>
          <w:color w:val="595959"/>
          <w:sz w:val="22"/>
          <w:szCs w:val="22"/>
        </w:rPr>
      </w:pPr>
      <w:r w:rsidRPr="002F131C">
        <w:rPr>
          <w:rFonts w:ascii="Montserrat Medium" w:hAnsi="Montserrat Medium"/>
          <w:b/>
          <w:bCs/>
          <w:color w:val="595959"/>
          <w:sz w:val="22"/>
          <w:szCs w:val="22"/>
        </w:rPr>
        <w:t>Aprovechamientos</w:t>
      </w:r>
    </w:p>
    <w:p w14:paraId="666D3AB3" w14:textId="77777777" w:rsidR="005C6630" w:rsidRPr="002F131C" w:rsidRDefault="005C6630" w:rsidP="002F131C">
      <w:pPr>
        <w:jc w:val="both"/>
        <w:rPr>
          <w:rFonts w:ascii="Montserrat Medium" w:hAnsi="Montserrat Medium"/>
          <w:bCs/>
          <w:color w:val="595959"/>
          <w:sz w:val="22"/>
          <w:szCs w:val="22"/>
        </w:rPr>
      </w:pPr>
    </w:p>
    <w:p w14:paraId="0771CB9C" w14:textId="77777777" w:rsidR="005C6630" w:rsidRPr="002F131C" w:rsidRDefault="005C6630" w:rsidP="002F131C">
      <w:pPr>
        <w:jc w:val="both"/>
        <w:rPr>
          <w:rFonts w:ascii="Montserrat Medium" w:hAnsi="Montserrat Medium"/>
          <w:bCs/>
          <w:color w:val="595959"/>
          <w:sz w:val="22"/>
          <w:szCs w:val="22"/>
        </w:rPr>
      </w:pPr>
      <w:r w:rsidRPr="002F131C">
        <w:rPr>
          <w:rFonts w:ascii="Montserrat Medium" w:hAnsi="Montserrat Medium"/>
          <w:bCs/>
          <w:color w:val="595959"/>
          <w:sz w:val="22"/>
          <w:szCs w:val="22"/>
        </w:rPr>
        <w:t>El rubro de Aprovechamientos está integrado por Multas, Donaciones de Particulares y Aprovechamientos Diversos,  destacando en este rubro los Aprovechamientos Diversos que al 30 de junio de 2025 se tienen ingresos por $131,585,692.65 pesos, que representan el 96.96% del rubro, destacan los ingresos por los siguientes conceptos:</w:t>
      </w:r>
    </w:p>
    <w:p w14:paraId="339CC656" w14:textId="77777777" w:rsidR="005C6630" w:rsidRPr="002F131C" w:rsidRDefault="005C6630" w:rsidP="002F131C">
      <w:pPr>
        <w:jc w:val="both"/>
        <w:rPr>
          <w:rFonts w:ascii="Montserrat Medium" w:hAnsi="Montserrat Medium"/>
          <w:bCs/>
          <w:color w:val="595959"/>
          <w:sz w:val="22"/>
          <w:szCs w:val="22"/>
        </w:rPr>
      </w:pPr>
    </w:p>
    <w:p w14:paraId="2071A098" w14:textId="77777777" w:rsidR="005C6630" w:rsidRPr="002F131C" w:rsidRDefault="005C6630" w:rsidP="002F131C">
      <w:pPr>
        <w:pStyle w:val="Prrafodelista"/>
        <w:numPr>
          <w:ilvl w:val="0"/>
          <w:numId w:val="45"/>
        </w:numPr>
        <w:jc w:val="both"/>
        <w:rPr>
          <w:rFonts w:ascii="Montserrat Medium" w:hAnsi="Montserrat Medium"/>
          <w:bCs/>
          <w:color w:val="595959"/>
          <w:sz w:val="22"/>
          <w:szCs w:val="22"/>
        </w:rPr>
      </w:pPr>
      <w:r w:rsidRPr="002F131C">
        <w:rPr>
          <w:rFonts w:ascii="Montserrat Medium" w:hAnsi="Montserrat Medium"/>
          <w:bCs/>
          <w:color w:val="595959"/>
          <w:sz w:val="22"/>
          <w:szCs w:val="22"/>
        </w:rPr>
        <w:t>Rezagos S.T.C. Vehicular por $ 49</w:t>
      </w:r>
      <w:proofErr w:type="gramStart"/>
      <w:r w:rsidRPr="002F131C">
        <w:rPr>
          <w:rFonts w:ascii="Montserrat Medium" w:hAnsi="Montserrat Medium"/>
          <w:bCs/>
          <w:color w:val="595959"/>
          <w:sz w:val="22"/>
          <w:szCs w:val="22"/>
        </w:rPr>
        <w:t>,557,251.53</w:t>
      </w:r>
      <w:proofErr w:type="gramEnd"/>
      <w:r w:rsidRPr="002F131C">
        <w:rPr>
          <w:rFonts w:ascii="Montserrat Medium" w:hAnsi="Montserrat Medium"/>
          <w:bCs/>
          <w:color w:val="595959"/>
          <w:sz w:val="22"/>
          <w:szCs w:val="22"/>
        </w:rPr>
        <w:t xml:space="preserve"> pesos.</w:t>
      </w:r>
    </w:p>
    <w:p w14:paraId="798B78AB" w14:textId="77777777" w:rsidR="005C6630" w:rsidRPr="002F131C" w:rsidRDefault="005C6630" w:rsidP="002F131C">
      <w:pPr>
        <w:pStyle w:val="Prrafodelista"/>
        <w:numPr>
          <w:ilvl w:val="0"/>
          <w:numId w:val="45"/>
        </w:numPr>
        <w:jc w:val="both"/>
        <w:rPr>
          <w:rFonts w:ascii="Montserrat Medium" w:hAnsi="Montserrat Medium"/>
          <w:bCs/>
          <w:color w:val="595959"/>
          <w:sz w:val="22"/>
          <w:szCs w:val="22"/>
        </w:rPr>
      </w:pPr>
      <w:r w:rsidRPr="002F131C">
        <w:rPr>
          <w:rFonts w:ascii="Montserrat Medium" w:hAnsi="Montserrat Medium"/>
          <w:bCs/>
          <w:color w:val="595959"/>
          <w:sz w:val="22"/>
          <w:szCs w:val="22"/>
        </w:rPr>
        <w:t>Ingreso por Seguro de Cobertura de Tasa (SWAP) por $48</w:t>
      </w:r>
      <w:proofErr w:type="gramStart"/>
      <w:r w:rsidRPr="002F131C">
        <w:rPr>
          <w:rFonts w:ascii="Montserrat Medium" w:hAnsi="Montserrat Medium"/>
          <w:bCs/>
          <w:color w:val="595959"/>
          <w:sz w:val="22"/>
          <w:szCs w:val="22"/>
        </w:rPr>
        <w:t>,439,938.47</w:t>
      </w:r>
      <w:proofErr w:type="gramEnd"/>
      <w:r w:rsidRPr="002F131C">
        <w:rPr>
          <w:rFonts w:ascii="Montserrat Medium" w:hAnsi="Montserrat Medium"/>
          <w:bCs/>
          <w:color w:val="595959"/>
          <w:sz w:val="22"/>
          <w:szCs w:val="22"/>
        </w:rPr>
        <w:t xml:space="preserve"> pesos.</w:t>
      </w:r>
    </w:p>
    <w:p w14:paraId="76A11E9F" w14:textId="77777777" w:rsidR="005C6630" w:rsidRPr="002F131C" w:rsidRDefault="005C6630" w:rsidP="002F131C">
      <w:pPr>
        <w:jc w:val="both"/>
        <w:rPr>
          <w:rFonts w:ascii="Montserrat Medium" w:hAnsi="Montserrat Medium"/>
          <w:bCs/>
          <w:color w:val="595959"/>
          <w:sz w:val="22"/>
          <w:szCs w:val="22"/>
        </w:rPr>
      </w:pPr>
    </w:p>
    <w:p w14:paraId="1E20A62F" w14:textId="77777777" w:rsidR="005C6630" w:rsidRPr="002F131C" w:rsidRDefault="005C6630" w:rsidP="002F131C">
      <w:pPr>
        <w:jc w:val="both"/>
        <w:rPr>
          <w:rFonts w:ascii="Montserrat Medium" w:hAnsi="Montserrat Medium"/>
          <w:bCs/>
          <w:color w:val="595959"/>
          <w:sz w:val="22"/>
          <w:szCs w:val="22"/>
        </w:rPr>
      </w:pPr>
      <w:r w:rsidRPr="002F131C">
        <w:rPr>
          <w:rFonts w:ascii="Montserrat Medium" w:hAnsi="Montserrat Medium"/>
          <w:bCs/>
          <w:color w:val="595959"/>
          <w:sz w:val="22"/>
          <w:szCs w:val="22"/>
        </w:rPr>
        <w:t>Fideicomiso para el Fortalecimiento a la Actividad Turística del Estado de Quintana Roo 2025 por $20</w:t>
      </w:r>
      <w:proofErr w:type="gramStart"/>
      <w:r w:rsidRPr="002F131C">
        <w:rPr>
          <w:rFonts w:ascii="Montserrat Medium" w:hAnsi="Montserrat Medium"/>
          <w:bCs/>
          <w:color w:val="595959"/>
          <w:sz w:val="22"/>
          <w:szCs w:val="22"/>
        </w:rPr>
        <w:t>,000,000</w:t>
      </w:r>
      <w:proofErr w:type="gramEnd"/>
      <w:r w:rsidRPr="002F131C">
        <w:rPr>
          <w:rFonts w:ascii="Montserrat Medium" w:hAnsi="Montserrat Medium"/>
          <w:bCs/>
          <w:color w:val="595959"/>
          <w:sz w:val="22"/>
          <w:szCs w:val="22"/>
        </w:rPr>
        <w:t>.</w:t>
      </w:r>
    </w:p>
    <w:p w14:paraId="76D8AD27" w14:textId="77777777" w:rsidR="00613488" w:rsidRDefault="00613488" w:rsidP="002F131C">
      <w:pPr>
        <w:jc w:val="both"/>
        <w:rPr>
          <w:rFonts w:ascii="Montserrat Medium" w:eastAsia="Times New Roman" w:hAnsi="Montserrat Medium" w:cs="Arial"/>
          <w:color w:val="595959"/>
          <w:sz w:val="20"/>
          <w:szCs w:val="20"/>
          <w:highlight w:val="yellow"/>
          <w:lang w:eastAsia="en-US"/>
        </w:rPr>
      </w:pPr>
    </w:p>
    <w:p w14:paraId="4A65EB49" w14:textId="6ED1B18B" w:rsidR="003B3579" w:rsidRPr="002F131C" w:rsidRDefault="003B3579" w:rsidP="002F131C">
      <w:pPr>
        <w:jc w:val="both"/>
        <w:rPr>
          <w:rFonts w:ascii="Montserrat Medium" w:hAnsi="Montserrat Medium"/>
          <w:b/>
          <w:color w:val="595959"/>
          <w:sz w:val="20"/>
        </w:rPr>
      </w:pPr>
      <w:r w:rsidRPr="002F131C">
        <w:rPr>
          <w:rFonts w:ascii="Montserrat Medium" w:hAnsi="Montserrat Medium"/>
          <w:b/>
          <w:color w:val="595959"/>
          <w:sz w:val="22"/>
        </w:rPr>
        <w:t>Participaciones, Aportaciones, Convenios, Incentivos Derivados de la Colaboración Fiscal, Fondos Distintos de Aportaciones, Transferencias, Asignaciones, Subsidios y Subvenciones, y Pensiones y Jubilaciones</w:t>
      </w:r>
      <w:r w:rsidR="00962C0F" w:rsidRPr="002F131C">
        <w:rPr>
          <w:rFonts w:ascii="Montserrat Medium" w:hAnsi="Montserrat Medium"/>
          <w:b/>
          <w:color w:val="595959"/>
          <w:sz w:val="22"/>
        </w:rPr>
        <w:t>.</w:t>
      </w:r>
    </w:p>
    <w:p w14:paraId="4E2F0F07" w14:textId="77777777" w:rsidR="001B51AE" w:rsidRPr="002F131C" w:rsidRDefault="001B51AE" w:rsidP="002F131C">
      <w:pPr>
        <w:jc w:val="both"/>
        <w:rPr>
          <w:rFonts w:ascii="Montserrat Medium" w:eastAsia="Times New Roman" w:hAnsi="Montserrat Medium" w:cs="Arial"/>
          <w:color w:val="595959"/>
          <w:sz w:val="22"/>
          <w:lang w:eastAsia="en-US"/>
        </w:rPr>
      </w:pPr>
    </w:p>
    <w:p w14:paraId="0E6EDD51" w14:textId="5F68CA4D" w:rsidR="00A1177D" w:rsidRPr="002F131C" w:rsidRDefault="00A1177D" w:rsidP="002F131C">
      <w:pPr>
        <w:jc w:val="both"/>
        <w:rPr>
          <w:rFonts w:ascii="Montserrat Medium" w:eastAsia="Times New Roman" w:hAnsi="Montserrat Medium" w:cs="Arial"/>
          <w:color w:val="595959"/>
          <w:sz w:val="22"/>
          <w:lang w:eastAsia="en-US"/>
        </w:rPr>
      </w:pPr>
      <w:r w:rsidRPr="002F131C">
        <w:rPr>
          <w:rFonts w:ascii="Montserrat Medium" w:eastAsia="Times New Roman" w:hAnsi="Montserrat Medium" w:cs="Arial"/>
          <w:color w:val="595959"/>
          <w:sz w:val="22"/>
          <w:lang w:eastAsia="en-US"/>
        </w:rPr>
        <w:t xml:space="preserve">Los ingresos de </w:t>
      </w:r>
      <w:r w:rsidR="00247F1F" w:rsidRPr="002F131C">
        <w:rPr>
          <w:rFonts w:ascii="Montserrat Medium" w:eastAsia="Times New Roman" w:hAnsi="Montserrat Medium" w:cs="Arial"/>
          <w:color w:val="595959"/>
          <w:sz w:val="22"/>
          <w:lang w:eastAsia="en-US"/>
        </w:rPr>
        <w:t>Participaciones, Aportaciones, Convenios, Incentivos Derivados de la Colaboración Fiscal, Fondos Distintos de Aportaciones, Transferencias, Asignaciones, Subsidios y Subvenciones, y Pensiones y Jubilaciones</w:t>
      </w:r>
      <w:r w:rsidRPr="002F131C">
        <w:rPr>
          <w:rFonts w:ascii="Montserrat Medium" w:eastAsia="Times New Roman" w:hAnsi="Montserrat Medium" w:cs="Arial"/>
          <w:color w:val="595959"/>
          <w:sz w:val="22"/>
          <w:lang w:eastAsia="en-US"/>
        </w:rPr>
        <w:t xml:space="preserve">, comprende los recursos que reciben las entidades federativas y municipios en atención a la Ley de Coordinación Fiscal vigente, así mismo incluye los recursos recibidos para la ejecución de programas federales, mediante la reasignación de responsabilidades y recursos presupuestarios, en los términos de los convenios que celebren el Gobierno Federal con éstos, </w:t>
      </w:r>
      <w:r w:rsidR="000901FA" w:rsidRPr="002F131C">
        <w:rPr>
          <w:rFonts w:ascii="Montserrat Medium" w:eastAsia="Times New Roman" w:hAnsi="Montserrat Medium" w:cs="Arial"/>
          <w:color w:val="595959"/>
          <w:sz w:val="22"/>
          <w:lang w:eastAsia="en-US"/>
        </w:rPr>
        <w:t>a</w:t>
      </w:r>
      <w:r w:rsidR="00A4586C" w:rsidRPr="002F131C">
        <w:rPr>
          <w:rFonts w:ascii="Montserrat Medium" w:eastAsia="Times New Roman" w:hAnsi="Montserrat Medium" w:cs="Arial"/>
          <w:color w:val="595959"/>
          <w:sz w:val="22"/>
          <w:lang w:eastAsia="en-US"/>
        </w:rPr>
        <w:t>l 3</w:t>
      </w:r>
      <w:r w:rsidR="002F131C" w:rsidRPr="002F131C">
        <w:rPr>
          <w:rFonts w:ascii="Montserrat Medium" w:eastAsia="Times New Roman" w:hAnsi="Montserrat Medium" w:cs="Arial"/>
          <w:color w:val="595959"/>
          <w:sz w:val="22"/>
          <w:lang w:eastAsia="en-US"/>
        </w:rPr>
        <w:t>0</w:t>
      </w:r>
      <w:r w:rsidR="00A4586C" w:rsidRPr="002F131C">
        <w:rPr>
          <w:rFonts w:ascii="Montserrat Medium" w:eastAsia="Times New Roman" w:hAnsi="Montserrat Medium" w:cs="Arial"/>
          <w:color w:val="595959"/>
          <w:sz w:val="22"/>
          <w:lang w:eastAsia="en-US"/>
        </w:rPr>
        <w:t xml:space="preserve"> de </w:t>
      </w:r>
      <w:r w:rsidR="002F131C" w:rsidRPr="002F131C">
        <w:rPr>
          <w:rFonts w:ascii="Montserrat Medium" w:eastAsia="Times New Roman" w:hAnsi="Montserrat Medium" w:cs="Arial"/>
          <w:color w:val="595959"/>
          <w:sz w:val="22"/>
          <w:lang w:eastAsia="en-US"/>
        </w:rPr>
        <w:t>junio</w:t>
      </w:r>
      <w:r w:rsidR="00A4586C" w:rsidRPr="002F131C">
        <w:rPr>
          <w:rFonts w:ascii="Montserrat Medium" w:eastAsia="Times New Roman" w:hAnsi="Montserrat Medium" w:cs="Arial"/>
          <w:color w:val="595959"/>
          <w:sz w:val="22"/>
          <w:lang w:eastAsia="en-US"/>
        </w:rPr>
        <w:t xml:space="preserve"> de 202</w:t>
      </w:r>
      <w:r w:rsidR="006F6606" w:rsidRPr="002F131C">
        <w:rPr>
          <w:rFonts w:ascii="Montserrat Medium" w:eastAsia="Times New Roman" w:hAnsi="Montserrat Medium" w:cs="Arial"/>
          <w:color w:val="595959"/>
          <w:sz w:val="22"/>
          <w:lang w:eastAsia="en-US"/>
        </w:rPr>
        <w:t>5</w:t>
      </w:r>
      <w:r w:rsidRPr="002F131C">
        <w:rPr>
          <w:rFonts w:ascii="Montserrat Medium" w:eastAsia="Times New Roman" w:hAnsi="Montserrat Medium" w:cs="Arial"/>
          <w:color w:val="595959"/>
          <w:sz w:val="22"/>
          <w:lang w:eastAsia="en-US"/>
        </w:rPr>
        <w:t xml:space="preserve"> y </w:t>
      </w:r>
      <w:r w:rsidR="00434BD5" w:rsidRPr="002F131C">
        <w:rPr>
          <w:rFonts w:ascii="Montserrat Medium" w:eastAsia="Times New Roman" w:hAnsi="Montserrat Medium" w:cs="Arial"/>
          <w:color w:val="595959"/>
          <w:sz w:val="22"/>
          <w:lang w:eastAsia="en-US"/>
        </w:rPr>
        <w:t>ejercicio fiscal 202</w:t>
      </w:r>
      <w:r w:rsidR="006F6606" w:rsidRPr="002F131C">
        <w:rPr>
          <w:rFonts w:ascii="Montserrat Medium" w:eastAsia="Times New Roman" w:hAnsi="Montserrat Medium" w:cs="Arial"/>
          <w:color w:val="595959"/>
          <w:sz w:val="22"/>
          <w:lang w:eastAsia="en-US"/>
        </w:rPr>
        <w:t>4</w:t>
      </w:r>
      <w:r w:rsidRPr="002F131C">
        <w:rPr>
          <w:rFonts w:ascii="Montserrat Medium" w:eastAsia="Times New Roman" w:hAnsi="Montserrat Medium" w:cs="Arial"/>
          <w:color w:val="595959"/>
          <w:sz w:val="22"/>
          <w:lang w:eastAsia="en-US"/>
        </w:rPr>
        <w:t>,</w:t>
      </w:r>
      <w:r w:rsidR="0072118A" w:rsidRPr="002F131C">
        <w:rPr>
          <w:rFonts w:ascii="Montserrat Medium" w:eastAsia="Times New Roman" w:hAnsi="Montserrat Medium" w:cs="Arial"/>
          <w:color w:val="595959"/>
          <w:sz w:val="22"/>
          <w:lang w:eastAsia="en-US"/>
        </w:rPr>
        <w:t xml:space="preserve"> </w:t>
      </w:r>
      <w:r w:rsidRPr="002F131C">
        <w:rPr>
          <w:rFonts w:ascii="Montserrat Medium" w:eastAsia="Times New Roman" w:hAnsi="Montserrat Medium" w:cs="Arial"/>
          <w:color w:val="595959"/>
          <w:sz w:val="22"/>
          <w:lang w:eastAsia="en-US"/>
        </w:rPr>
        <w:t>se integran como sigue:</w:t>
      </w:r>
    </w:p>
    <w:p w14:paraId="7EF66B1F" w14:textId="77777777" w:rsidR="008F3511" w:rsidRPr="009C26EF" w:rsidRDefault="008F3511" w:rsidP="002F131C">
      <w:pPr>
        <w:jc w:val="both"/>
        <w:rPr>
          <w:rFonts w:ascii="Montserrat Medium" w:eastAsia="Times New Roman" w:hAnsi="Montserrat Medium" w:cs="Arial"/>
          <w:color w:val="595959"/>
          <w:sz w:val="22"/>
          <w:highlight w:val="yellow"/>
          <w:lang w:eastAsia="en-US"/>
        </w:rPr>
      </w:pPr>
    </w:p>
    <w:tbl>
      <w:tblPr>
        <w:tblW w:w="9639" w:type="dxa"/>
        <w:tblInd w:w="212" w:type="dxa"/>
        <w:tblCellMar>
          <w:left w:w="70" w:type="dxa"/>
          <w:right w:w="70" w:type="dxa"/>
        </w:tblCellMar>
        <w:tblLook w:val="04A0" w:firstRow="1" w:lastRow="0" w:firstColumn="1" w:lastColumn="0" w:noHBand="0" w:noVBand="1"/>
      </w:tblPr>
      <w:tblGrid>
        <w:gridCol w:w="4536"/>
        <w:gridCol w:w="1568"/>
        <w:gridCol w:w="1834"/>
        <w:gridCol w:w="1701"/>
      </w:tblGrid>
      <w:tr w:rsidR="008B1400" w:rsidRPr="00082C1F" w14:paraId="2D847569" w14:textId="77777777" w:rsidTr="006F6606">
        <w:trPr>
          <w:trHeight w:val="255"/>
          <w:tblHeader/>
        </w:trPr>
        <w:tc>
          <w:tcPr>
            <w:tcW w:w="4536"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161E9115" w14:textId="77777777" w:rsidR="008B1400" w:rsidRPr="00082C1F" w:rsidRDefault="008B1400" w:rsidP="002F131C">
            <w:pPr>
              <w:jc w:val="center"/>
              <w:rPr>
                <w:rFonts w:ascii="Montserrat Medium" w:eastAsia="Times New Roman" w:hAnsi="Montserrat Medium" w:cs="Calibri"/>
                <w:b/>
                <w:bCs/>
                <w:color w:val="000000"/>
                <w:sz w:val="16"/>
                <w:szCs w:val="16"/>
                <w:lang w:val="es-MX" w:eastAsia="es-MX"/>
              </w:rPr>
            </w:pPr>
            <w:r w:rsidRPr="00082C1F">
              <w:rPr>
                <w:rFonts w:ascii="Montserrat Medium" w:eastAsia="Times New Roman" w:hAnsi="Montserrat Medium" w:cs="Calibri"/>
                <w:b/>
                <w:bCs/>
                <w:color w:val="000000"/>
                <w:sz w:val="16"/>
                <w:szCs w:val="16"/>
                <w:lang w:val="es-MX" w:eastAsia="es-MX"/>
              </w:rPr>
              <w:t>Concepto</w:t>
            </w:r>
          </w:p>
        </w:tc>
        <w:tc>
          <w:tcPr>
            <w:tcW w:w="1568" w:type="dxa"/>
            <w:tcBorders>
              <w:top w:val="single" w:sz="8" w:space="0" w:color="auto"/>
              <w:left w:val="nil"/>
              <w:bottom w:val="single" w:sz="8" w:space="0" w:color="auto"/>
              <w:right w:val="single" w:sz="8" w:space="0" w:color="auto"/>
            </w:tcBorders>
            <w:shd w:val="clear" w:color="000000" w:fill="A6A6A6"/>
            <w:vAlign w:val="center"/>
            <w:hideMark/>
          </w:tcPr>
          <w:p w14:paraId="2DB09325" w14:textId="511E9EB9" w:rsidR="008B1400" w:rsidRPr="00082C1F" w:rsidRDefault="006F6606" w:rsidP="00082C1F">
            <w:pPr>
              <w:jc w:val="center"/>
              <w:rPr>
                <w:rFonts w:ascii="Montserrat Medium" w:eastAsia="Times New Roman" w:hAnsi="Montserrat Medium" w:cs="Calibri"/>
                <w:b/>
                <w:bCs/>
                <w:color w:val="000000"/>
                <w:sz w:val="16"/>
                <w:szCs w:val="16"/>
                <w:lang w:val="es-MX" w:eastAsia="es-MX"/>
              </w:rPr>
            </w:pPr>
            <w:r w:rsidRPr="00082C1F">
              <w:rPr>
                <w:rFonts w:ascii="Montserrat Medium" w:eastAsia="Times New Roman" w:hAnsi="Montserrat Medium" w:cs="Calibri"/>
                <w:b/>
                <w:bCs/>
                <w:color w:val="000000"/>
                <w:sz w:val="16"/>
                <w:szCs w:val="16"/>
                <w:lang w:val="es-MX" w:eastAsia="es-MX"/>
              </w:rPr>
              <w:t>Al 3</w:t>
            </w:r>
            <w:r w:rsidR="00082C1F">
              <w:rPr>
                <w:rFonts w:ascii="Montserrat Medium" w:eastAsia="Times New Roman" w:hAnsi="Montserrat Medium" w:cs="Calibri"/>
                <w:b/>
                <w:bCs/>
                <w:color w:val="000000"/>
                <w:sz w:val="16"/>
                <w:szCs w:val="16"/>
                <w:lang w:val="es-MX" w:eastAsia="es-MX"/>
              </w:rPr>
              <w:t>0</w:t>
            </w:r>
            <w:r w:rsidRPr="00082C1F">
              <w:rPr>
                <w:rFonts w:ascii="Montserrat Medium" w:eastAsia="Times New Roman" w:hAnsi="Montserrat Medium" w:cs="Calibri"/>
                <w:b/>
                <w:bCs/>
                <w:color w:val="000000"/>
                <w:sz w:val="16"/>
                <w:szCs w:val="16"/>
                <w:lang w:val="es-MX" w:eastAsia="es-MX"/>
              </w:rPr>
              <w:t xml:space="preserve"> de </w:t>
            </w:r>
            <w:r w:rsidR="00082C1F">
              <w:rPr>
                <w:rFonts w:ascii="Montserrat Medium" w:eastAsia="Times New Roman" w:hAnsi="Montserrat Medium" w:cs="Calibri"/>
                <w:b/>
                <w:bCs/>
                <w:color w:val="000000"/>
                <w:sz w:val="16"/>
                <w:szCs w:val="16"/>
                <w:lang w:val="es-MX" w:eastAsia="es-MX"/>
              </w:rPr>
              <w:t>junio</w:t>
            </w:r>
            <w:r w:rsidRPr="00082C1F">
              <w:rPr>
                <w:rFonts w:ascii="Montserrat Medium" w:eastAsia="Times New Roman" w:hAnsi="Montserrat Medium" w:cs="Calibri"/>
                <w:b/>
                <w:bCs/>
                <w:color w:val="000000"/>
                <w:sz w:val="16"/>
                <w:szCs w:val="16"/>
                <w:lang w:val="es-MX" w:eastAsia="es-MX"/>
              </w:rPr>
              <w:t xml:space="preserve"> de 2025</w:t>
            </w:r>
          </w:p>
        </w:tc>
        <w:tc>
          <w:tcPr>
            <w:tcW w:w="1834" w:type="dxa"/>
            <w:tcBorders>
              <w:top w:val="single" w:sz="8" w:space="0" w:color="auto"/>
              <w:left w:val="nil"/>
              <w:bottom w:val="single" w:sz="8" w:space="0" w:color="auto"/>
              <w:right w:val="single" w:sz="8" w:space="0" w:color="auto"/>
            </w:tcBorders>
            <w:shd w:val="clear" w:color="000000" w:fill="A6A6A6"/>
            <w:noWrap/>
            <w:vAlign w:val="center"/>
            <w:hideMark/>
          </w:tcPr>
          <w:p w14:paraId="6A09B4FA" w14:textId="5949BDB8" w:rsidR="008B1400" w:rsidRPr="00082C1F" w:rsidRDefault="006F6606" w:rsidP="002F131C">
            <w:pPr>
              <w:jc w:val="center"/>
              <w:rPr>
                <w:rFonts w:ascii="Montserrat Medium" w:eastAsia="Times New Roman" w:hAnsi="Montserrat Medium" w:cs="Calibri"/>
                <w:b/>
                <w:bCs/>
                <w:color w:val="000000"/>
                <w:sz w:val="16"/>
                <w:szCs w:val="16"/>
                <w:lang w:val="es-MX" w:eastAsia="es-MX"/>
              </w:rPr>
            </w:pPr>
            <w:r w:rsidRPr="00082C1F">
              <w:rPr>
                <w:rFonts w:ascii="Montserrat Medium" w:eastAsia="Times New Roman" w:hAnsi="Montserrat Medium" w:cs="Calibri"/>
                <w:b/>
                <w:bCs/>
                <w:color w:val="000000"/>
                <w:sz w:val="16"/>
                <w:szCs w:val="16"/>
                <w:lang w:val="es-MX" w:eastAsia="es-MX"/>
              </w:rPr>
              <w:t>2024</w:t>
            </w:r>
          </w:p>
        </w:tc>
        <w:tc>
          <w:tcPr>
            <w:tcW w:w="1701" w:type="dxa"/>
            <w:tcBorders>
              <w:top w:val="single" w:sz="8" w:space="0" w:color="auto"/>
              <w:left w:val="nil"/>
              <w:bottom w:val="single" w:sz="8" w:space="0" w:color="auto"/>
              <w:right w:val="single" w:sz="8" w:space="0" w:color="auto"/>
            </w:tcBorders>
            <w:shd w:val="clear" w:color="000000" w:fill="A6A6A6"/>
            <w:noWrap/>
            <w:vAlign w:val="center"/>
            <w:hideMark/>
          </w:tcPr>
          <w:p w14:paraId="1170C00D" w14:textId="77777777" w:rsidR="008B1400" w:rsidRPr="00082C1F" w:rsidRDefault="008B1400" w:rsidP="002F131C">
            <w:pPr>
              <w:jc w:val="center"/>
              <w:rPr>
                <w:rFonts w:ascii="Montserrat Medium" w:eastAsia="Times New Roman" w:hAnsi="Montserrat Medium" w:cs="Calibri"/>
                <w:b/>
                <w:bCs/>
                <w:color w:val="000000"/>
                <w:sz w:val="16"/>
                <w:szCs w:val="16"/>
                <w:lang w:val="es-MX" w:eastAsia="es-MX"/>
              </w:rPr>
            </w:pPr>
            <w:r w:rsidRPr="00082C1F">
              <w:rPr>
                <w:rFonts w:ascii="Montserrat Medium" w:eastAsia="Times New Roman" w:hAnsi="Montserrat Medium" w:cs="Calibri"/>
                <w:b/>
                <w:bCs/>
                <w:color w:val="000000"/>
                <w:sz w:val="16"/>
                <w:szCs w:val="16"/>
                <w:lang w:val="es-MX" w:eastAsia="es-MX"/>
              </w:rPr>
              <w:t>Variación</w:t>
            </w:r>
          </w:p>
        </w:tc>
      </w:tr>
      <w:tr w:rsidR="002F131C" w:rsidRPr="00082C1F" w14:paraId="0EBD2B3C" w14:textId="77777777" w:rsidTr="006F6606">
        <w:trPr>
          <w:trHeight w:val="255"/>
        </w:trPr>
        <w:tc>
          <w:tcPr>
            <w:tcW w:w="4536" w:type="dxa"/>
            <w:tcBorders>
              <w:top w:val="nil"/>
              <w:left w:val="single" w:sz="8" w:space="0" w:color="auto"/>
              <w:bottom w:val="nil"/>
              <w:right w:val="single" w:sz="8" w:space="0" w:color="auto"/>
            </w:tcBorders>
            <w:shd w:val="clear" w:color="000000" w:fill="BFBFBF"/>
            <w:vAlign w:val="center"/>
            <w:hideMark/>
          </w:tcPr>
          <w:p w14:paraId="4D9909F2" w14:textId="77777777" w:rsidR="002F131C" w:rsidRPr="00082C1F" w:rsidRDefault="002F131C" w:rsidP="002F131C">
            <w:pPr>
              <w:jc w:val="both"/>
              <w:rPr>
                <w:rFonts w:ascii="Montserrat Medium" w:eastAsia="Times New Roman" w:hAnsi="Montserrat Medium" w:cs="Calibri"/>
                <w:b/>
                <w:bCs/>
                <w:color w:val="000000"/>
                <w:sz w:val="16"/>
                <w:szCs w:val="16"/>
                <w:lang w:val="es-MX" w:eastAsia="es-MX"/>
              </w:rPr>
            </w:pPr>
            <w:r w:rsidRPr="00082C1F">
              <w:rPr>
                <w:rFonts w:ascii="Montserrat Medium" w:eastAsia="Times New Roman" w:hAnsi="Montserrat Medium" w:cs="Calibri"/>
                <w:b/>
                <w:bCs/>
                <w:color w:val="000000"/>
                <w:sz w:val="16"/>
                <w:szCs w:val="16"/>
                <w:lang w:val="es-MX" w:eastAsia="es-MX"/>
              </w:rPr>
              <w:t>Participaciones, Aportaciones, Convenios, Incentivos Derivados de la Colaboración Fiscal y Fondos Distintos de Aportaciones</w:t>
            </w:r>
          </w:p>
        </w:tc>
        <w:tc>
          <w:tcPr>
            <w:tcW w:w="1568" w:type="dxa"/>
            <w:tcBorders>
              <w:top w:val="nil"/>
              <w:left w:val="nil"/>
              <w:bottom w:val="nil"/>
              <w:right w:val="single" w:sz="8" w:space="0" w:color="auto"/>
            </w:tcBorders>
            <w:shd w:val="clear" w:color="000000" w:fill="BFBFBF"/>
            <w:vAlign w:val="center"/>
            <w:hideMark/>
          </w:tcPr>
          <w:p w14:paraId="031F69BA" w14:textId="48811771" w:rsidR="002F131C" w:rsidRPr="00082C1F" w:rsidRDefault="002F131C" w:rsidP="002F131C">
            <w:pPr>
              <w:jc w:val="right"/>
              <w:rPr>
                <w:rFonts w:ascii="Montserrat Medium" w:eastAsia="Times New Roman" w:hAnsi="Montserrat Medium" w:cs="Calibri"/>
                <w:b/>
                <w:bCs/>
                <w:color w:val="000000"/>
                <w:sz w:val="16"/>
                <w:szCs w:val="16"/>
                <w:lang w:val="es-MX" w:eastAsia="es-MX"/>
              </w:rPr>
            </w:pPr>
            <w:r w:rsidRPr="00082C1F">
              <w:rPr>
                <w:rFonts w:ascii="Montserrat Medium" w:hAnsi="Montserrat Medium" w:cs="Calibri"/>
                <w:b/>
                <w:bCs/>
                <w:color w:val="000000"/>
                <w:sz w:val="16"/>
                <w:szCs w:val="16"/>
              </w:rPr>
              <w:t>20,126,676,746.41</w:t>
            </w:r>
          </w:p>
        </w:tc>
        <w:tc>
          <w:tcPr>
            <w:tcW w:w="1834" w:type="dxa"/>
            <w:tcBorders>
              <w:top w:val="nil"/>
              <w:left w:val="nil"/>
              <w:bottom w:val="nil"/>
              <w:right w:val="single" w:sz="8" w:space="0" w:color="auto"/>
            </w:tcBorders>
            <w:shd w:val="clear" w:color="000000" w:fill="BFBFBF"/>
            <w:vAlign w:val="center"/>
            <w:hideMark/>
          </w:tcPr>
          <w:p w14:paraId="6727ABC1" w14:textId="4779574F" w:rsidR="002F131C" w:rsidRPr="00082C1F" w:rsidRDefault="002F131C" w:rsidP="002F131C">
            <w:pPr>
              <w:jc w:val="right"/>
              <w:rPr>
                <w:rFonts w:ascii="Montserrat Medium" w:eastAsia="Times New Roman" w:hAnsi="Montserrat Medium" w:cs="Calibri"/>
                <w:b/>
                <w:bCs/>
                <w:color w:val="000000"/>
                <w:sz w:val="16"/>
                <w:szCs w:val="16"/>
                <w:lang w:val="es-MX" w:eastAsia="es-MX"/>
              </w:rPr>
            </w:pPr>
            <w:r w:rsidRPr="00082C1F">
              <w:rPr>
                <w:rFonts w:ascii="Montserrat Medium" w:hAnsi="Montserrat Medium" w:cs="Calibri"/>
                <w:b/>
                <w:bCs/>
                <w:color w:val="000000"/>
                <w:sz w:val="16"/>
                <w:szCs w:val="16"/>
              </w:rPr>
              <w:t>35,291,769,611.83</w:t>
            </w:r>
          </w:p>
        </w:tc>
        <w:tc>
          <w:tcPr>
            <w:tcW w:w="1701" w:type="dxa"/>
            <w:tcBorders>
              <w:top w:val="nil"/>
              <w:left w:val="nil"/>
              <w:bottom w:val="nil"/>
              <w:right w:val="single" w:sz="8" w:space="0" w:color="auto"/>
            </w:tcBorders>
            <w:shd w:val="clear" w:color="000000" w:fill="BFBFBF"/>
            <w:vAlign w:val="center"/>
            <w:hideMark/>
          </w:tcPr>
          <w:p w14:paraId="77F50B3D" w14:textId="37415B42" w:rsidR="002F131C" w:rsidRPr="00082C1F" w:rsidRDefault="002F131C" w:rsidP="002F131C">
            <w:pPr>
              <w:jc w:val="right"/>
              <w:rPr>
                <w:rFonts w:ascii="Montserrat Medium" w:eastAsia="Times New Roman" w:hAnsi="Montserrat Medium" w:cs="Calibri"/>
                <w:b/>
                <w:bCs/>
                <w:color w:val="000000"/>
                <w:sz w:val="16"/>
                <w:szCs w:val="16"/>
                <w:lang w:val="es-MX" w:eastAsia="es-MX"/>
              </w:rPr>
            </w:pPr>
            <w:r w:rsidRPr="00082C1F">
              <w:rPr>
                <w:rFonts w:ascii="Montserrat Medium" w:hAnsi="Montserrat Medium" w:cs="Calibri"/>
                <w:b/>
                <w:bCs/>
                <w:color w:val="000000"/>
                <w:sz w:val="16"/>
                <w:szCs w:val="16"/>
              </w:rPr>
              <w:t>-15,177,569,566.42</w:t>
            </w:r>
          </w:p>
        </w:tc>
      </w:tr>
      <w:tr w:rsidR="002F131C" w:rsidRPr="00082C1F" w14:paraId="40984F26"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0A304AE2" w14:textId="77777777" w:rsidR="002F131C" w:rsidRPr="00082C1F" w:rsidRDefault="002F131C" w:rsidP="002F131C">
            <w:pPr>
              <w:rPr>
                <w:rFonts w:ascii="Montserrat Medium" w:eastAsia="Times New Roman" w:hAnsi="Montserrat Medium" w:cs="Calibri"/>
                <w:b/>
                <w:bCs/>
                <w:color w:val="000000"/>
                <w:sz w:val="16"/>
                <w:szCs w:val="16"/>
                <w:lang w:val="es-MX" w:eastAsia="es-MX"/>
              </w:rPr>
            </w:pPr>
            <w:r w:rsidRPr="00082C1F">
              <w:rPr>
                <w:rFonts w:ascii="Montserrat Medium" w:eastAsia="Times New Roman" w:hAnsi="Montserrat Medium" w:cs="Calibri"/>
                <w:b/>
                <w:bCs/>
                <w:color w:val="000000"/>
                <w:sz w:val="16"/>
                <w:szCs w:val="16"/>
                <w:lang w:val="es-MX" w:eastAsia="es-MX"/>
              </w:rPr>
              <w:t>Participaciones</w:t>
            </w:r>
          </w:p>
        </w:tc>
        <w:tc>
          <w:tcPr>
            <w:tcW w:w="1568" w:type="dxa"/>
            <w:tcBorders>
              <w:top w:val="nil"/>
              <w:left w:val="nil"/>
              <w:bottom w:val="nil"/>
              <w:right w:val="single" w:sz="8" w:space="0" w:color="auto"/>
            </w:tcBorders>
            <w:shd w:val="clear" w:color="auto" w:fill="auto"/>
            <w:noWrap/>
            <w:vAlign w:val="center"/>
            <w:hideMark/>
          </w:tcPr>
          <w:p w14:paraId="79B56869" w14:textId="57CE98B0" w:rsidR="002F131C" w:rsidRPr="00082C1F" w:rsidRDefault="002F131C" w:rsidP="002F131C">
            <w:pPr>
              <w:jc w:val="right"/>
              <w:rPr>
                <w:rFonts w:ascii="Montserrat Medium" w:eastAsia="Times New Roman" w:hAnsi="Montserrat Medium" w:cs="Calibri"/>
                <w:b/>
                <w:bCs/>
                <w:color w:val="000000"/>
                <w:sz w:val="16"/>
                <w:szCs w:val="16"/>
                <w:lang w:val="es-MX" w:eastAsia="es-MX"/>
              </w:rPr>
            </w:pPr>
            <w:r w:rsidRPr="00082C1F">
              <w:rPr>
                <w:rFonts w:ascii="Montserrat Medium" w:hAnsi="Montserrat Medium" w:cs="Calibri"/>
                <w:b/>
                <w:bCs/>
                <w:color w:val="000000"/>
                <w:sz w:val="16"/>
                <w:szCs w:val="16"/>
              </w:rPr>
              <w:t>11,297,723,397.00</w:t>
            </w:r>
          </w:p>
        </w:tc>
        <w:tc>
          <w:tcPr>
            <w:tcW w:w="1834" w:type="dxa"/>
            <w:tcBorders>
              <w:top w:val="nil"/>
              <w:left w:val="nil"/>
              <w:bottom w:val="nil"/>
              <w:right w:val="single" w:sz="8" w:space="0" w:color="auto"/>
            </w:tcBorders>
            <w:shd w:val="clear" w:color="auto" w:fill="auto"/>
            <w:noWrap/>
            <w:vAlign w:val="center"/>
            <w:hideMark/>
          </w:tcPr>
          <w:p w14:paraId="3F7379B5" w14:textId="2950BC59" w:rsidR="002F131C" w:rsidRPr="00082C1F" w:rsidRDefault="002F131C" w:rsidP="002F131C">
            <w:pPr>
              <w:jc w:val="right"/>
              <w:rPr>
                <w:rFonts w:ascii="Montserrat Medium" w:eastAsia="Times New Roman" w:hAnsi="Montserrat Medium" w:cs="Calibri"/>
                <w:b/>
                <w:bCs/>
                <w:color w:val="000000"/>
                <w:sz w:val="16"/>
                <w:szCs w:val="16"/>
                <w:lang w:val="es-MX" w:eastAsia="es-MX"/>
              </w:rPr>
            </w:pPr>
            <w:r w:rsidRPr="00082C1F">
              <w:rPr>
                <w:rFonts w:ascii="Montserrat Medium" w:hAnsi="Montserrat Medium" w:cs="Calibri"/>
                <w:b/>
                <w:bCs/>
                <w:color w:val="000000"/>
                <w:sz w:val="16"/>
                <w:szCs w:val="16"/>
              </w:rPr>
              <w:t>16,988,764,740.00</w:t>
            </w:r>
          </w:p>
        </w:tc>
        <w:tc>
          <w:tcPr>
            <w:tcW w:w="1701" w:type="dxa"/>
            <w:tcBorders>
              <w:top w:val="nil"/>
              <w:left w:val="nil"/>
              <w:bottom w:val="nil"/>
              <w:right w:val="single" w:sz="8" w:space="0" w:color="auto"/>
            </w:tcBorders>
            <w:shd w:val="clear" w:color="auto" w:fill="auto"/>
            <w:noWrap/>
            <w:vAlign w:val="center"/>
            <w:hideMark/>
          </w:tcPr>
          <w:p w14:paraId="4C10EE71" w14:textId="22B05AA5" w:rsidR="002F131C" w:rsidRPr="00082C1F" w:rsidRDefault="002F131C" w:rsidP="002F131C">
            <w:pPr>
              <w:jc w:val="right"/>
              <w:rPr>
                <w:rFonts w:ascii="Montserrat Medium" w:eastAsia="Times New Roman" w:hAnsi="Montserrat Medium" w:cs="Calibri"/>
                <w:b/>
                <w:bCs/>
                <w:color w:val="000000"/>
                <w:sz w:val="16"/>
                <w:szCs w:val="16"/>
                <w:lang w:val="es-MX" w:eastAsia="es-MX"/>
              </w:rPr>
            </w:pPr>
            <w:r w:rsidRPr="00082C1F">
              <w:rPr>
                <w:rFonts w:ascii="Montserrat Medium" w:hAnsi="Montserrat Medium" w:cs="Calibri"/>
                <w:b/>
                <w:bCs/>
                <w:color w:val="000000"/>
                <w:sz w:val="16"/>
                <w:szCs w:val="16"/>
              </w:rPr>
              <w:t>-5,691,041,343.00</w:t>
            </w:r>
          </w:p>
        </w:tc>
      </w:tr>
      <w:tr w:rsidR="002F131C" w:rsidRPr="00082C1F" w14:paraId="7A2454C7" w14:textId="77777777" w:rsidTr="006F6606">
        <w:trPr>
          <w:trHeight w:val="103"/>
        </w:trPr>
        <w:tc>
          <w:tcPr>
            <w:tcW w:w="4536" w:type="dxa"/>
            <w:tcBorders>
              <w:top w:val="nil"/>
              <w:left w:val="single" w:sz="8" w:space="0" w:color="auto"/>
              <w:bottom w:val="nil"/>
              <w:right w:val="single" w:sz="8" w:space="0" w:color="auto"/>
            </w:tcBorders>
            <w:shd w:val="clear" w:color="auto" w:fill="auto"/>
            <w:vAlign w:val="center"/>
            <w:hideMark/>
          </w:tcPr>
          <w:p w14:paraId="2E214670"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Fondo General de Participaciones</w:t>
            </w:r>
          </w:p>
        </w:tc>
        <w:tc>
          <w:tcPr>
            <w:tcW w:w="1568" w:type="dxa"/>
            <w:tcBorders>
              <w:top w:val="nil"/>
              <w:left w:val="nil"/>
              <w:bottom w:val="nil"/>
              <w:right w:val="single" w:sz="8" w:space="0" w:color="auto"/>
            </w:tcBorders>
            <w:shd w:val="clear" w:color="auto" w:fill="auto"/>
            <w:noWrap/>
            <w:vAlign w:val="center"/>
            <w:hideMark/>
          </w:tcPr>
          <w:p w14:paraId="4D98042A" w14:textId="1EE26E78"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8,756,289,991.00</w:t>
            </w:r>
          </w:p>
        </w:tc>
        <w:tc>
          <w:tcPr>
            <w:tcW w:w="1834" w:type="dxa"/>
            <w:tcBorders>
              <w:top w:val="nil"/>
              <w:left w:val="nil"/>
              <w:bottom w:val="nil"/>
              <w:right w:val="single" w:sz="8" w:space="0" w:color="auto"/>
            </w:tcBorders>
            <w:shd w:val="clear" w:color="auto" w:fill="auto"/>
            <w:noWrap/>
            <w:vAlign w:val="center"/>
            <w:hideMark/>
          </w:tcPr>
          <w:p w14:paraId="5BE4920D" w14:textId="05467A80"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12,818,998,842.00</w:t>
            </w:r>
          </w:p>
        </w:tc>
        <w:tc>
          <w:tcPr>
            <w:tcW w:w="1701" w:type="dxa"/>
            <w:tcBorders>
              <w:top w:val="nil"/>
              <w:left w:val="nil"/>
              <w:bottom w:val="nil"/>
              <w:right w:val="single" w:sz="8" w:space="0" w:color="auto"/>
            </w:tcBorders>
            <w:shd w:val="clear" w:color="auto" w:fill="auto"/>
            <w:noWrap/>
            <w:vAlign w:val="center"/>
            <w:hideMark/>
          </w:tcPr>
          <w:p w14:paraId="6AC3F1E9" w14:textId="64D6C101"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-4,062,708,851.00</w:t>
            </w:r>
          </w:p>
        </w:tc>
      </w:tr>
      <w:tr w:rsidR="002F131C" w:rsidRPr="00082C1F" w14:paraId="73469516"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5ED54E07"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Fondo de Fomento Municipal</w:t>
            </w:r>
          </w:p>
        </w:tc>
        <w:tc>
          <w:tcPr>
            <w:tcW w:w="1568" w:type="dxa"/>
            <w:tcBorders>
              <w:top w:val="nil"/>
              <w:left w:val="nil"/>
              <w:bottom w:val="nil"/>
              <w:right w:val="single" w:sz="8" w:space="0" w:color="auto"/>
            </w:tcBorders>
            <w:shd w:val="clear" w:color="auto" w:fill="auto"/>
            <w:noWrap/>
            <w:vAlign w:val="center"/>
            <w:hideMark/>
          </w:tcPr>
          <w:p w14:paraId="381F4693" w14:textId="1A6E65F0"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346,406,079.00</w:t>
            </w:r>
          </w:p>
        </w:tc>
        <w:tc>
          <w:tcPr>
            <w:tcW w:w="1834" w:type="dxa"/>
            <w:tcBorders>
              <w:top w:val="nil"/>
              <w:left w:val="nil"/>
              <w:bottom w:val="nil"/>
              <w:right w:val="single" w:sz="8" w:space="0" w:color="auto"/>
            </w:tcBorders>
            <w:shd w:val="clear" w:color="auto" w:fill="auto"/>
            <w:noWrap/>
            <w:vAlign w:val="center"/>
            <w:hideMark/>
          </w:tcPr>
          <w:p w14:paraId="22E33BB0" w14:textId="52179160"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613,994,022.00</w:t>
            </w:r>
          </w:p>
        </w:tc>
        <w:tc>
          <w:tcPr>
            <w:tcW w:w="1701" w:type="dxa"/>
            <w:tcBorders>
              <w:top w:val="nil"/>
              <w:left w:val="nil"/>
              <w:bottom w:val="nil"/>
              <w:right w:val="single" w:sz="8" w:space="0" w:color="auto"/>
            </w:tcBorders>
            <w:shd w:val="clear" w:color="auto" w:fill="auto"/>
            <w:noWrap/>
            <w:vAlign w:val="center"/>
            <w:hideMark/>
          </w:tcPr>
          <w:p w14:paraId="027590F4" w14:textId="0B34C41E"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-267,587,943.00</w:t>
            </w:r>
          </w:p>
        </w:tc>
      </w:tr>
      <w:tr w:rsidR="002F131C" w:rsidRPr="00082C1F" w14:paraId="44D91AB4"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75D272E3"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Fondo de Fiscalización y Recaudación</w:t>
            </w:r>
          </w:p>
        </w:tc>
        <w:tc>
          <w:tcPr>
            <w:tcW w:w="1568" w:type="dxa"/>
            <w:tcBorders>
              <w:top w:val="nil"/>
              <w:left w:val="nil"/>
              <w:bottom w:val="nil"/>
              <w:right w:val="single" w:sz="8" w:space="0" w:color="auto"/>
            </w:tcBorders>
            <w:shd w:val="clear" w:color="auto" w:fill="auto"/>
            <w:noWrap/>
            <w:vAlign w:val="center"/>
            <w:hideMark/>
          </w:tcPr>
          <w:p w14:paraId="258E7603" w14:textId="7C1EB494"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577,751,858.00</w:t>
            </w:r>
          </w:p>
        </w:tc>
        <w:tc>
          <w:tcPr>
            <w:tcW w:w="1834" w:type="dxa"/>
            <w:tcBorders>
              <w:top w:val="nil"/>
              <w:left w:val="nil"/>
              <w:bottom w:val="nil"/>
              <w:right w:val="single" w:sz="8" w:space="0" w:color="auto"/>
            </w:tcBorders>
            <w:shd w:val="clear" w:color="auto" w:fill="auto"/>
            <w:noWrap/>
            <w:vAlign w:val="center"/>
            <w:hideMark/>
          </w:tcPr>
          <w:p w14:paraId="65521B31" w14:textId="17202861"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949,012,708.00</w:t>
            </w:r>
          </w:p>
        </w:tc>
        <w:tc>
          <w:tcPr>
            <w:tcW w:w="1701" w:type="dxa"/>
            <w:tcBorders>
              <w:top w:val="nil"/>
              <w:left w:val="nil"/>
              <w:bottom w:val="nil"/>
              <w:right w:val="single" w:sz="8" w:space="0" w:color="auto"/>
            </w:tcBorders>
            <w:shd w:val="clear" w:color="auto" w:fill="auto"/>
            <w:noWrap/>
            <w:vAlign w:val="center"/>
            <w:hideMark/>
          </w:tcPr>
          <w:p w14:paraId="19EA194B" w14:textId="3F827236"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-371,260,850.00</w:t>
            </w:r>
          </w:p>
        </w:tc>
      </w:tr>
      <w:tr w:rsidR="002F131C" w:rsidRPr="00082C1F" w14:paraId="07114B15"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57E237AB"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Impuesto Especial sobre Producción y Servicios</w:t>
            </w:r>
          </w:p>
        </w:tc>
        <w:tc>
          <w:tcPr>
            <w:tcW w:w="1568" w:type="dxa"/>
            <w:tcBorders>
              <w:top w:val="nil"/>
              <w:left w:val="nil"/>
              <w:bottom w:val="nil"/>
              <w:right w:val="single" w:sz="8" w:space="0" w:color="auto"/>
            </w:tcBorders>
            <w:shd w:val="clear" w:color="auto" w:fill="auto"/>
            <w:noWrap/>
            <w:vAlign w:val="center"/>
            <w:hideMark/>
          </w:tcPr>
          <w:p w14:paraId="1C7E7184" w14:textId="43F36D42"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271,975,686.00</w:t>
            </w:r>
          </w:p>
        </w:tc>
        <w:tc>
          <w:tcPr>
            <w:tcW w:w="1834" w:type="dxa"/>
            <w:tcBorders>
              <w:top w:val="nil"/>
              <w:left w:val="nil"/>
              <w:bottom w:val="nil"/>
              <w:right w:val="single" w:sz="8" w:space="0" w:color="auto"/>
            </w:tcBorders>
            <w:shd w:val="clear" w:color="auto" w:fill="auto"/>
            <w:noWrap/>
            <w:vAlign w:val="center"/>
            <w:hideMark/>
          </w:tcPr>
          <w:p w14:paraId="39D598FD" w14:textId="36DA0450"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507,813,877.00</w:t>
            </w:r>
          </w:p>
        </w:tc>
        <w:tc>
          <w:tcPr>
            <w:tcW w:w="1701" w:type="dxa"/>
            <w:tcBorders>
              <w:top w:val="nil"/>
              <w:left w:val="nil"/>
              <w:bottom w:val="nil"/>
              <w:right w:val="single" w:sz="8" w:space="0" w:color="auto"/>
            </w:tcBorders>
            <w:shd w:val="clear" w:color="auto" w:fill="auto"/>
            <w:noWrap/>
            <w:vAlign w:val="center"/>
            <w:hideMark/>
          </w:tcPr>
          <w:p w14:paraId="525AF90D" w14:textId="2684814C"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-235,838,191.00</w:t>
            </w:r>
          </w:p>
        </w:tc>
      </w:tr>
      <w:tr w:rsidR="002F131C" w:rsidRPr="00082C1F" w14:paraId="1F169870"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3D7A128F"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Participaciones de Gasolina y Diésel</w:t>
            </w:r>
          </w:p>
        </w:tc>
        <w:tc>
          <w:tcPr>
            <w:tcW w:w="1568" w:type="dxa"/>
            <w:tcBorders>
              <w:top w:val="nil"/>
              <w:left w:val="nil"/>
              <w:bottom w:val="nil"/>
              <w:right w:val="single" w:sz="8" w:space="0" w:color="auto"/>
            </w:tcBorders>
            <w:shd w:val="clear" w:color="auto" w:fill="auto"/>
            <w:noWrap/>
            <w:vAlign w:val="center"/>
            <w:hideMark/>
          </w:tcPr>
          <w:p w14:paraId="0F26DF0E" w14:textId="591BA3A9"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305,624,990.00</w:t>
            </w:r>
          </w:p>
        </w:tc>
        <w:tc>
          <w:tcPr>
            <w:tcW w:w="1834" w:type="dxa"/>
            <w:tcBorders>
              <w:top w:val="nil"/>
              <w:left w:val="nil"/>
              <w:bottom w:val="nil"/>
              <w:right w:val="single" w:sz="8" w:space="0" w:color="auto"/>
            </w:tcBorders>
            <w:shd w:val="clear" w:color="auto" w:fill="auto"/>
            <w:noWrap/>
            <w:vAlign w:val="center"/>
            <w:hideMark/>
          </w:tcPr>
          <w:p w14:paraId="6147CD2A" w14:textId="1E0DDF13"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673,684,877.00</w:t>
            </w:r>
          </w:p>
        </w:tc>
        <w:tc>
          <w:tcPr>
            <w:tcW w:w="1701" w:type="dxa"/>
            <w:tcBorders>
              <w:top w:val="nil"/>
              <w:left w:val="nil"/>
              <w:bottom w:val="nil"/>
              <w:right w:val="single" w:sz="8" w:space="0" w:color="auto"/>
            </w:tcBorders>
            <w:shd w:val="clear" w:color="auto" w:fill="auto"/>
            <w:noWrap/>
            <w:vAlign w:val="center"/>
            <w:hideMark/>
          </w:tcPr>
          <w:p w14:paraId="1A969D20" w14:textId="77FEB7AA"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-368,059,887.00</w:t>
            </w:r>
          </w:p>
        </w:tc>
      </w:tr>
      <w:tr w:rsidR="002F131C" w:rsidRPr="00082C1F" w14:paraId="73EC06AD"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40E2C2ED"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Fondo de Impuesto Sobre la Renta</w:t>
            </w:r>
          </w:p>
        </w:tc>
        <w:tc>
          <w:tcPr>
            <w:tcW w:w="1568" w:type="dxa"/>
            <w:tcBorders>
              <w:top w:val="nil"/>
              <w:left w:val="nil"/>
              <w:bottom w:val="nil"/>
              <w:right w:val="single" w:sz="8" w:space="0" w:color="auto"/>
            </w:tcBorders>
            <w:shd w:val="clear" w:color="auto" w:fill="auto"/>
            <w:noWrap/>
            <w:vAlign w:val="center"/>
            <w:hideMark/>
          </w:tcPr>
          <w:p w14:paraId="565CC774" w14:textId="786BB371"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1,039,674,793.00</w:t>
            </w:r>
          </w:p>
        </w:tc>
        <w:tc>
          <w:tcPr>
            <w:tcW w:w="1834" w:type="dxa"/>
            <w:tcBorders>
              <w:top w:val="nil"/>
              <w:left w:val="nil"/>
              <w:bottom w:val="nil"/>
              <w:right w:val="single" w:sz="8" w:space="0" w:color="auto"/>
            </w:tcBorders>
            <w:shd w:val="clear" w:color="auto" w:fill="auto"/>
            <w:noWrap/>
            <w:vAlign w:val="center"/>
            <w:hideMark/>
          </w:tcPr>
          <w:p w14:paraId="405C8050" w14:textId="034C62B0"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1,385,106,136.00</w:t>
            </w:r>
          </w:p>
        </w:tc>
        <w:tc>
          <w:tcPr>
            <w:tcW w:w="1701" w:type="dxa"/>
            <w:tcBorders>
              <w:top w:val="nil"/>
              <w:left w:val="nil"/>
              <w:bottom w:val="nil"/>
              <w:right w:val="single" w:sz="8" w:space="0" w:color="auto"/>
            </w:tcBorders>
            <w:shd w:val="clear" w:color="auto" w:fill="auto"/>
            <w:noWrap/>
            <w:vAlign w:val="center"/>
            <w:hideMark/>
          </w:tcPr>
          <w:p w14:paraId="37B3485E" w14:textId="5BCA4BD5"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-345,431,343.00</w:t>
            </w:r>
          </w:p>
        </w:tc>
      </w:tr>
      <w:tr w:rsidR="002F131C" w:rsidRPr="00082C1F" w14:paraId="4A8DA6C9"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40C91475"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Fondo de Estabilización de los Ingresos de las Entidades Federativas</w:t>
            </w:r>
          </w:p>
        </w:tc>
        <w:tc>
          <w:tcPr>
            <w:tcW w:w="1568" w:type="dxa"/>
            <w:tcBorders>
              <w:top w:val="nil"/>
              <w:left w:val="nil"/>
              <w:bottom w:val="nil"/>
              <w:right w:val="single" w:sz="8" w:space="0" w:color="auto"/>
            </w:tcBorders>
            <w:shd w:val="clear" w:color="auto" w:fill="auto"/>
            <w:noWrap/>
            <w:vAlign w:val="center"/>
            <w:hideMark/>
          </w:tcPr>
          <w:p w14:paraId="7D229ED9" w14:textId="000FA6EA"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0.00</w:t>
            </w:r>
          </w:p>
        </w:tc>
        <w:tc>
          <w:tcPr>
            <w:tcW w:w="1834" w:type="dxa"/>
            <w:tcBorders>
              <w:top w:val="nil"/>
              <w:left w:val="nil"/>
              <w:bottom w:val="nil"/>
              <w:right w:val="single" w:sz="8" w:space="0" w:color="auto"/>
            </w:tcBorders>
            <w:shd w:val="clear" w:color="auto" w:fill="auto"/>
            <w:noWrap/>
            <w:vAlign w:val="center"/>
            <w:hideMark/>
          </w:tcPr>
          <w:p w14:paraId="3434DC93" w14:textId="08CA554F"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40,154,278.00</w:t>
            </w:r>
          </w:p>
        </w:tc>
        <w:tc>
          <w:tcPr>
            <w:tcW w:w="1701" w:type="dxa"/>
            <w:tcBorders>
              <w:top w:val="nil"/>
              <w:left w:val="nil"/>
              <w:bottom w:val="nil"/>
              <w:right w:val="single" w:sz="8" w:space="0" w:color="auto"/>
            </w:tcBorders>
            <w:shd w:val="clear" w:color="auto" w:fill="auto"/>
            <w:noWrap/>
            <w:vAlign w:val="center"/>
            <w:hideMark/>
          </w:tcPr>
          <w:p w14:paraId="6AFEC30C" w14:textId="47A4CB36"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-40,154,278.00</w:t>
            </w:r>
          </w:p>
        </w:tc>
      </w:tr>
      <w:tr w:rsidR="002F131C" w:rsidRPr="00082C1F" w14:paraId="58E90D08" w14:textId="77777777" w:rsidTr="00B552D2">
        <w:trPr>
          <w:trHeight w:val="255"/>
        </w:trPr>
        <w:tc>
          <w:tcPr>
            <w:tcW w:w="4536" w:type="dxa"/>
            <w:tcBorders>
              <w:top w:val="nil"/>
              <w:left w:val="single" w:sz="8" w:space="0" w:color="auto"/>
              <w:right w:val="single" w:sz="8" w:space="0" w:color="auto"/>
            </w:tcBorders>
            <w:shd w:val="clear" w:color="auto" w:fill="auto"/>
            <w:vAlign w:val="center"/>
            <w:hideMark/>
          </w:tcPr>
          <w:p w14:paraId="37443793" w14:textId="77777777" w:rsidR="002F131C" w:rsidRPr="00082C1F" w:rsidRDefault="002F131C" w:rsidP="002F131C">
            <w:pPr>
              <w:rPr>
                <w:rFonts w:ascii="Montserrat Medium" w:eastAsia="Times New Roman" w:hAnsi="Montserrat Medium" w:cs="Calibri"/>
                <w:b/>
                <w:bCs/>
                <w:color w:val="000000"/>
                <w:sz w:val="16"/>
                <w:szCs w:val="16"/>
                <w:lang w:val="es-MX" w:eastAsia="es-MX"/>
              </w:rPr>
            </w:pPr>
            <w:r w:rsidRPr="00082C1F">
              <w:rPr>
                <w:rFonts w:ascii="Montserrat Medium" w:eastAsia="Times New Roman" w:hAnsi="Montserrat Medium" w:cs="Calibri"/>
                <w:b/>
                <w:bCs/>
                <w:color w:val="000000"/>
                <w:sz w:val="16"/>
                <w:szCs w:val="16"/>
                <w:lang w:val="es-MX" w:eastAsia="es-MX"/>
              </w:rPr>
              <w:t>Aportaciones</w:t>
            </w:r>
          </w:p>
        </w:tc>
        <w:tc>
          <w:tcPr>
            <w:tcW w:w="1568" w:type="dxa"/>
            <w:tcBorders>
              <w:top w:val="nil"/>
              <w:left w:val="nil"/>
              <w:right w:val="single" w:sz="8" w:space="0" w:color="auto"/>
            </w:tcBorders>
            <w:shd w:val="clear" w:color="auto" w:fill="auto"/>
            <w:noWrap/>
            <w:vAlign w:val="center"/>
            <w:hideMark/>
          </w:tcPr>
          <w:p w14:paraId="4F14D1FA" w14:textId="6F182F46" w:rsidR="002F131C" w:rsidRPr="00082C1F" w:rsidRDefault="002F131C" w:rsidP="002F131C">
            <w:pPr>
              <w:jc w:val="right"/>
              <w:rPr>
                <w:rFonts w:ascii="Montserrat Medium" w:eastAsia="Times New Roman" w:hAnsi="Montserrat Medium" w:cs="Calibri"/>
                <w:b/>
                <w:bCs/>
                <w:color w:val="000000"/>
                <w:sz w:val="16"/>
                <w:szCs w:val="16"/>
                <w:lang w:val="es-MX" w:eastAsia="es-MX"/>
              </w:rPr>
            </w:pPr>
            <w:r w:rsidRPr="00082C1F">
              <w:rPr>
                <w:rFonts w:ascii="Montserrat Medium" w:hAnsi="Montserrat Medium" w:cs="Calibri"/>
                <w:b/>
                <w:bCs/>
                <w:color w:val="000000"/>
                <w:sz w:val="16"/>
                <w:szCs w:val="16"/>
              </w:rPr>
              <w:t>6,650,182,498.77</w:t>
            </w:r>
          </w:p>
        </w:tc>
        <w:tc>
          <w:tcPr>
            <w:tcW w:w="1834" w:type="dxa"/>
            <w:tcBorders>
              <w:top w:val="nil"/>
              <w:left w:val="nil"/>
              <w:right w:val="single" w:sz="8" w:space="0" w:color="auto"/>
            </w:tcBorders>
            <w:shd w:val="clear" w:color="auto" w:fill="auto"/>
            <w:noWrap/>
            <w:vAlign w:val="center"/>
            <w:hideMark/>
          </w:tcPr>
          <w:p w14:paraId="6CC839E9" w14:textId="12E04024" w:rsidR="002F131C" w:rsidRPr="00082C1F" w:rsidRDefault="002F131C" w:rsidP="002F131C">
            <w:pPr>
              <w:jc w:val="right"/>
              <w:rPr>
                <w:rFonts w:ascii="Montserrat Medium" w:eastAsia="Times New Roman" w:hAnsi="Montserrat Medium" w:cs="Calibri"/>
                <w:b/>
                <w:bCs/>
                <w:color w:val="000000"/>
                <w:sz w:val="16"/>
                <w:szCs w:val="16"/>
                <w:lang w:val="es-MX" w:eastAsia="es-MX"/>
              </w:rPr>
            </w:pPr>
            <w:r w:rsidRPr="00082C1F">
              <w:rPr>
                <w:rFonts w:ascii="Montserrat Medium" w:hAnsi="Montserrat Medium" w:cs="Calibri"/>
                <w:b/>
                <w:bCs/>
                <w:color w:val="000000"/>
                <w:sz w:val="16"/>
                <w:szCs w:val="16"/>
              </w:rPr>
              <w:t>13,478,941,305.34</w:t>
            </w:r>
          </w:p>
        </w:tc>
        <w:tc>
          <w:tcPr>
            <w:tcW w:w="1701" w:type="dxa"/>
            <w:tcBorders>
              <w:top w:val="nil"/>
              <w:left w:val="nil"/>
              <w:right w:val="single" w:sz="8" w:space="0" w:color="auto"/>
            </w:tcBorders>
            <w:shd w:val="clear" w:color="auto" w:fill="auto"/>
            <w:noWrap/>
            <w:vAlign w:val="center"/>
            <w:hideMark/>
          </w:tcPr>
          <w:p w14:paraId="58629488" w14:textId="3FFC03C0" w:rsidR="002F131C" w:rsidRPr="00082C1F" w:rsidRDefault="002F131C" w:rsidP="002F131C">
            <w:pPr>
              <w:jc w:val="right"/>
              <w:rPr>
                <w:rFonts w:ascii="Montserrat Medium" w:eastAsia="Times New Roman" w:hAnsi="Montserrat Medium" w:cs="Calibri"/>
                <w:b/>
                <w:bCs/>
                <w:color w:val="000000"/>
                <w:sz w:val="16"/>
                <w:szCs w:val="16"/>
                <w:lang w:val="es-MX" w:eastAsia="es-MX"/>
              </w:rPr>
            </w:pPr>
            <w:r w:rsidRPr="00082C1F">
              <w:rPr>
                <w:rFonts w:ascii="Montserrat Medium" w:hAnsi="Montserrat Medium" w:cs="Calibri"/>
                <w:b/>
                <w:bCs/>
                <w:color w:val="000000"/>
                <w:sz w:val="16"/>
                <w:szCs w:val="16"/>
              </w:rPr>
              <w:t>-6,828,758,806.57</w:t>
            </w:r>
          </w:p>
        </w:tc>
      </w:tr>
      <w:tr w:rsidR="002F131C" w:rsidRPr="00082C1F" w14:paraId="3C1B0701" w14:textId="77777777" w:rsidTr="00B552D2">
        <w:trPr>
          <w:trHeight w:val="255"/>
        </w:trPr>
        <w:tc>
          <w:tcPr>
            <w:tcW w:w="4536" w:type="dxa"/>
            <w:tcBorders>
              <w:top w:val="nil"/>
              <w:left w:val="single" w:sz="8" w:space="0" w:color="auto"/>
              <w:bottom w:val="single" w:sz="4" w:space="0" w:color="auto"/>
              <w:right w:val="single" w:sz="8" w:space="0" w:color="auto"/>
            </w:tcBorders>
            <w:shd w:val="clear" w:color="auto" w:fill="auto"/>
            <w:vAlign w:val="center"/>
            <w:hideMark/>
          </w:tcPr>
          <w:p w14:paraId="7FA5CDC2"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Fondo de Aportaciones para la Nómina Educativa y Gasto Operativo</w:t>
            </w:r>
          </w:p>
        </w:tc>
        <w:tc>
          <w:tcPr>
            <w:tcW w:w="1568" w:type="dxa"/>
            <w:tcBorders>
              <w:top w:val="nil"/>
              <w:left w:val="nil"/>
              <w:bottom w:val="single" w:sz="4" w:space="0" w:color="auto"/>
              <w:right w:val="single" w:sz="8" w:space="0" w:color="auto"/>
            </w:tcBorders>
            <w:shd w:val="clear" w:color="auto" w:fill="auto"/>
            <w:noWrap/>
            <w:vAlign w:val="center"/>
            <w:hideMark/>
          </w:tcPr>
          <w:p w14:paraId="16D39439" w14:textId="30F41961"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3,065,449,628.77</w:t>
            </w:r>
          </w:p>
        </w:tc>
        <w:tc>
          <w:tcPr>
            <w:tcW w:w="1834" w:type="dxa"/>
            <w:tcBorders>
              <w:top w:val="nil"/>
              <w:left w:val="nil"/>
              <w:bottom w:val="single" w:sz="4" w:space="0" w:color="auto"/>
              <w:right w:val="single" w:sz="8" w:space="0" w:color="auto"/>
            </w:tcBorders>
            <w:shd w:val="clear" w:color="auto" w:fill="auto"/>
            <w:noWrap/>
            <w:vAlign w:val="center"/>
            <w:hideMark/>
          </w:tcPr>
          <w:p w14:paraId="4DEA1537" w14:textId="506FD8D8"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6,642,142,292.27</w:t>
            </w:r>
          </w:p>
        </w:tc>
        <w:tc>
          <w:tcPr>
            <w:tcW w:w="1701" w:type="dxa"/>
            <w:tcBorders>
              <w:top w:val="nil"/>
              <w:left w:val="nil"/>
              <w:bottom w:val="single" w:sz="4" w:space="0" w:color="auto"/>
              <w:right w:val="single" w:sz="8" w:space="0" w:color="auto"/>
            </w:tcBorders>
            <w:shd w:val="clear" w:color="auto" w:fill="auto"/>
            <w:noWrap/>
            <w:vAlign w:val="center"/>
            <w:hideMark/>
          </w:tcPr>
          <w:p w14:paraId="283CB5E6" w14:textId="1446AB0E"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-3,576,692,663.50</w:t>
            </w:r>
          </w:p>
        </w:tc>
      </w:tr>
      <w:tr w:rsidR="002F131C" w:rsidRPr="00082C1F" w14:paraId="7B22D89E" w14:textId="77777777" w:rsidTr="00B552D2">
        <w:trPr>
          <w:trHeight w:val="255"/>
        </w:trPr>
        <w:tc>
          <w:tcPr>
            <w:tcW w:w="4536" w:type="dxa"/>
            <w:tcBorders>
              <w:top w:val="single" w:sz="4" w:space="0" w:color="auto"/>
              <w:left w:val="single" w:sz="8" w:space="0" w:color="auto"/>
              <w:bottom w:val="nil"/>
              <w:right w:val="single" w:sz="8" w:space="0" w:color="auto"/>
            </w:tcBorders>
            <w:shd w:val="clear" w:color="auto" w:fill="auto"/>
            <w:vAlign w:val="center"/>
            <w:hideMark/>
          </w:tcPr>
          <w:p w14:paraId="73E89205"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lastRenderedPageBreak/>
              <w:t>Fondo de Aportaciones para los Servicios de Salud</w:t>
            </w:r>
          </w:p>
        </w:tc>
        <w:tc>
          <w:tcPr>
            <w:tcW w:w="1568" w:type="dxa"/>
            <w:tcBorders>
              <w:top w:val="single" w:sz="4" w:space="0" w:color="auto"/>
              <w:left w:val="nil"/>
              <w:bottom w:val="nil"/>
              <w:right w:val="single" w:sz="8" w:space="0" w:color="auto"/>
            </w:tcBorders>
            <w:shd w:val="clear" w:color="auto" w:fill="auto"/>
            <w:noWrap/>
            <w:vAlign w:val="center"/>
            <w:hideMark/>
          </w:tcPr>
          <w:p w14:paraId="3C36AFCB" w14:textId="4E1889E6"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593,872,017.00</w:t>
            </w:r>
          </w:p>
        </w:tc>
        <w:tc>
          <w:tcPr>
            <w:tcW w:w="1834" w:type="dxa"/>
            <w:tcBorders>
              <w:top w:val="single" w:sz="4" w:space="0" w:color="auto"/>
              <w:left w:val="nil"/>
              <w:bottom w:val="nil"/>
              <w:right w:val="single" w:sz="8" w:space="0" w:color="auto"/>
            </w:tcBorders>
            <w:shd w:val="clear" w:color="auto" w:fill="auto"/>
            <w:noWrap/>
            <w:vAlign w:val="center"/>
            <w:hideMark/>
          </w:tcPr>
          <w:p w14:paraId="1902E0D4" w14:textId="27226DB6"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1,425,168,092.26</w:t>
            </w:r>
          </w:p>
        </w:tc>
        <w:tc>
          <w:tcPr>
            <w:tcW w:w="1701" w:type="dxa"/>
            <w:tcBorders>
              <w:top w:val="single" w:sz="4" w:space="0" w:color="auto"/>
              <w:left w:val="nil"/>
              <w:bottom w:val="nil"/>
              <w:right w:val="single" w:sz="8" w:space="0" w:color="auto"/>
            </w:tcBorders>
            <w:shd w:val="clear" w:color="auto" w:fill="auto"/>
            <w:noWrap/>
            <w:vAlign w:val="center"/>
            <w:hideMark/>
          </w:tcPr>
          <w:p w14:paraId="1E77F5F1" w14:textId="5FD1DADF"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-831,296,075.26</w:t>
            </w:r>
          </w:p>
        </w:tc>
      </w:tr>
      <w:tr w:rsidR="002F131C" w:rsidRPr="00082C1F" w14:paraId="63CC81D3"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02DD1CD7"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Fondo de Aportaciones para la Infraestructura Social</w:t>
            </w:r>
          </w:p>
        </w:tc>
        <w:tc>
          <w:tcPr>
            <w:tcW w:w="1568" w:type="dxa"/>
            <w:tcBorders>
              <w:top w:val="nil"/>
              <w:left w:val="nil"/>
              <w:bottom w:val="nil"/>
              <w:right w:val="single" w:sz="8" w:space="0" w:color="auto"/>
            </w:tcBorders>
            <w:shd w:val="clear" w:color="auto" w:fill="auto"/>
            <w:noWrap/>
            <w:vAlign w:val="center"/>
            <w:hideMark/>
          </w:tcPr>
          <w:p w14:paraId="77A805E5" w14:textId="2AAD4524"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971,110,297.00</w:t>
            </w:r>
          </w:p>
        </w:tc>
        <w:tc>
          <w:tcPr>
            <w:tcW w:w="1834" w:type="dxa"/>
            <w:tcBorders>
              <w:top w:val="nil"/>
              <w:left w:val="nil"/>
              <w:bottom w:val="nil"/>
              <w:right w:val="single" w:sz="8" w:space="0" w:color="auto"/>
            </w:tcBorders>
            <w:shd w:val="clear" w:color="auto" w:fill="auto"/>
            <w:noWrap/>
            <w:vAlign w:val="center"/>
            <w:hideMark/>
          </w:tcPr>
          <w:p w14:paraId="03F71F54" w14:textId="0EAA7FED"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1,636,080,357.00</w:t>
            </w:r>
          </w:p>
        </w:tc>
        <w:tc>
          <w:tcPr>
            <w:tcW w:w="1701" w:type="dxa"/>
            <w:tcBorders>
              <w:top w:val="nil"/>
              <w:left w:val="nil"/>
              <w:bottom w:val="nil"/>
              <w:right w:val="single" w:sz="8" w:space="0" w:color="auto"/>
            </w:tcBorders>
            <w:shd w:val="clear" w:color="auto" w:fill="auto"/>
            <w:noWrap/>
            <w:vAlign w:val="center"/>
            <w:hideMark/>
          </w:tcPr>
          <w:p w14:paraId="3A798ABF" w14:textId="49A7FD1B"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-664,970,060.00</w:t>
            </w:r>
          </w:p>
        </w:tc>
      </w:tr>
      <w:tr w:rsidR="002F131C" w:rsidRPr="00082C1F" w14:paraId="5FC7A86A"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379D5D96"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Fondo de Aportaciones para el Fortalecimiento de los Municipios</w:t>
            </w:r>
          </w:p>
        </w:tc>
        <w:tc>
          <w:tcPr>
            <w:tcW w:w="1568" w:type="dxa"/>
            <w:tcBorders>
              <w:top w:val="nil"/>
              <w:left w:val="nil"/>
              <w:bottom w:val="nil"/>
              <w:right w:val="single" w:sz="8" w:space="0" w:color="auto"/>
            </w:tcBorders>
            <w:shd w:val="clear" w:color="auto" w:fill="auto"/>
            <w:noWrap/>
            <w:vAlign w:val="center"/>
            <w:hideMark/>
          </w:tcPr>
          <w:p w14:paraId="2B1C067B" w14:textId="122EAE60"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909,274,752.00</w:t>
            </w:r>
          </w:p>
        </w:tc>
        <w:tc>
          <w:tcPr>
            <w:tcW w:w="1834" w:type="dxa"/>
            <w:tcBorders>
              <w:top w:val="nil"/>
              <w:left w:val="nil"/>
              <w:bottom w:val="nil"/>
              <w:right w:val="single" w:sz="8" w:space="0" w:color="auto"/>
            </w:tcBorders>
            <w:shd w:val="clear" w:color="auto" w:fill="auto"/>
            <w:noWrap/>
            <w:vAlign w:val="center"/>
            <w:hideMark/>
          </w:tcPr>
          <w:p w14:paraId="6D315EFE" w14:textId="06B3FCFE"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1,707,124,386.00</w:t>
            </w:r>
          </w:p>
        </w:tc>
        <w:tc>
          <w:tcPr>
            <w:tcW w:w="1701" w:type="dxa"/>
            <w:tcBorders>
              <w:top w:val="nil"/>
              <w:left w:val="nil"/>
              <w:bottom w:val="nil"/>
              <w:right w:val="single" w:sz="8" w:space="0" w:color="auto"/>
            </w:tcBorders>
            <w:shd w:val="clear" w:color="auto" w:fill="auto"/>
            <w:noWrap/>
            <w:vAlign w:val="center"/>
            <w:hideMark/>
          </w:tcPr>
          <w:p w14:paraId="1A162CF6" w14:textId="3089EC29"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-797,849,634.00</w:t>
            </w:r>
          </w:p>
        </w:tc>
      </w:tr>
      <w:tr w:rsidR="002F131C" w:rsidRPr="00082C1F" w14:paraId="3A58268B"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0994DC8D"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Fondo de Aportaciones Múltiples</w:t>
            </w:r>
          </w:p>
        </w:tc>
        <w:tc>
          <w:tcPr>
            <w:tcW w:w="1568" w:type="dxa"/>
            <w:tcBorders>
              <w:top w:val="nil"/>
              <w:left w:val="nil"/>
              <w:bottom w:val="nil"/>
              <w:right w:val="single" w:sz="8" w:space="0" w:color="auto"/>
            </w:tcBorders>
            <w:shd w:val="clear" w:color="auto" w:fill="auto"/>
            <w:noWrap/>
            <w:vAlign w:val="center"/>
            <w:hideMark/>
          </w:tcPr>
          <w:p w14:paraId="2EDDD23C" w14:textId="456F19CC"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483,320,106.00</w:t>
            </w:r>
          </w:p>
        </w:tc>
        <w:tc>
          <w:tcPr>
            <w:tcW w:w="1834" w:type="dxa"/>
            <w:tcBorders>
              <w:top w:val="nil"/>
              <w:left w:val="nil"/>
              <w:bottom w:val="nil"/>
              <w:right w:val="single" w:sz="8" w:space="0" w:color="auto"/>
            </w:tcBorders>
            <w:shd w:val="clear" w:color="auto" w:fill="auto"/>
            <w:noWrap/>
            <w:vAlign w:val="center"/>
            <w:hideMark/>
          </w:tcPr>
          <w:p w14:paraId="0ED70671" w14:textId="1D68F1DD"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877,156,233.00</w:t>
            </w:r>
          </w:p>
        </w:tc>
        <w:tc>
          <w:tcPr>
            <w:tcW w:w="1701" w:type="dxa"/>
            <w:tcBorders>
              <w:top w:val="nil"/>
              <w:left w:val="nil"/>
              <w:bottom w:val="nil"/>
              <w:right w:val="single" w:sz="8" w:space="0" w:color="auto"/>
            </w:tcBorders>
            <w:shd w:val="clear" w:color="auto" w:fill="auto"/>
            <w:noWrap/>
            <w:vAlign w:val="center"/>
            <w:hideMark/>
          </w:tcPr>
          <w:p w14:paraId="6A1ECAD4" w14:textId="2BA8082A"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-393,836,127.00</w:t>
            </w:r>
          </w:p>
        </w:tc>
      </w:tr>
      <w:tr w:rsidR="002F131C" w:rsidRPr="00082C1F" w14:paraId="723D09B0" w14:textId="77777777" w:rsidTr="00050920">
        <w:trPr>
          <w:trHeight w:val="255"/>
        </w:trPr>
        <w:tc>
          <w:tcPr>
            <w:tcW w:w="4536" w:type="dxa"/>
            <w:tcBorders>
              <w:top w:val="nil"/>
              <w:left w:val="single" w:sz="8" w:space="0" w:color="auto"/>
              <w:right w:val="single" w:sz="8" w:space="0" w:color="auto"/>
            </w:tcBorders>
            <w:shd w:val="clear" w:color="auto" w:fill="auto"/>
            <w:vAlign w:val="center"/>
            <w:hideMark/>
          </w:tcPr>
          <w:p w14:paraId="62CB822D"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Fondo de Aportaciones para la Educación Tecnológica y de Adultos</w:t>
            </w:r>
          </w:p>
        </w:tc>
        <w:tc>
          <w:tcPr>
            <w:tcW w:w="1568" w:type="dxa"/>
            <w:tcBorders>
              <w:top w:val="nil"/>
              <w:left w:val="nil"/>
              <w:right w:val="single" w:sz="8" w:space="0" w:color="auto"/>
            </w:tcBorders>
            <w:shd w:val="clear" w:color="auto" w:fill="auto"/>
            <w:noWrap/>
            <w:vAlign w:val="center"/>
            <w:hideMark/>
          </w:tcPr>
          <w:p w14:paraId="344DF6D4" w14:textId="12512CAD"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106,153,168.00</w:t>
            </w:r>
          </w:p>
        </w:tc>
        <w:tc>
          <w:tcPr>
            <w:tcW w:w="1834" w:type="dxa"/>
            <w:tcBorders>
              <w:top w:val="nil"/>
              <w:left w:val="nil"/>
              <w:right w:val="single" w:sz="8" w:space="0" w:color="auto"/>
            </w:tcBorders>
            <w:shd w:val="clear" w:color="auto" w:fill="auto"/>
            <w:noWrap/>
            <w:vAlign w:val="center"/>
            <w:hideMark/>
          </w:tcPr>
          <w:p w14:paraId="2E02EDDF" w14:textId="570D6E57"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211,748,882.81</w:t>
            </w:r>
          </w:p>
        </w:tc>
        <w:tc>
          <w:tcPr>
            <w:tcW w:w="1701" w:type="dxa"/>
            <w:tcBorders>
              <w:top w:val="nil"/>
              <w:left w:val="nil"/>
              <w:right w:val="single" w:sz="8" w:space="0" w:color="auto"/>
            </w:tcBorders>
            <w:shd w:val="clear" w:color="auto" w:fill="auto"/>
            <w:noWrap/>
            <w:vAlign w:val="center"/>
            <w:hideMark/>
          </w:tcPr>
          <w:p w14:paraId="416C4919" w14:textId="235FE06A"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-105,595,714.81</w:t>
            </w:r>
          </w:p>
        </w:tc>
      </w:tr>
      <w:tr w:rsidR="002F131C" w:rsidRPr="00082C1F" w14:paraId="687767BF" w14:textId="77777777" w:rsidTr="00B552D2">
        <w:trPr>
          <w:trHeight w:val="255"/>
        </w:trPr>
        <w:tc>
          <w:tcPr>
            <w:tcW w:w="4536" w:type="dxa"/>
            <w:tcBorders>
              <w:top w:val="nil"/>
              <w:left w:val="single" w:sz="8" w:space="0" w:color="auto"/>
              <w:right w:val="single" w:sz="8" w:space="0" w:color="auto"/>
            </w:tcBorders>
            <w:shd w:val="clear" w:color="auto" w:fill="auto"/>
            <w:vAlign w:val="center"/>
            <w:hideMark/>
          </w:tcPr>
          <w:p w14:paraId="2AA99B53"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Fondo de Aportaciones para la Seguridad Pública</w:t>
            </w:r>
          </w:p>
        </w:tc>
        <w:tc>
          <w:tcPr>
            <w:tcW w:w="1568" w:type="dxa"/>
            <w:tcBorders>
              <w:top w:val="nil"/>
              <w:left w:val="nil"/>
              <w:right w:val="single" w:sz="8" w:space="0" w:color="auto"/>
            </w:tcBorders>
            <w:shd w:val="clear" w:color="auto" w:fill="auto"/>
            <w:noWrap/>
            <w:vAlign w:val="center"/>
            <w:hideMark/>
          </w:tcPr>
          <w:p w14:paraId="47B898B1" w14:textId="61599638"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143,905,188.00</w:t>
            </w:r>
          </w:p>
        </w:tc>
        <w:tc>
          <w:tcPr>
            <w:tcW w:w="1834" w:type="dxa"/>
            <w:tcBorders>
              <w:top w:val="nil"/>
              <w:left w:val="nil"/>
              <w:right w:val="single" w:sz="8" w:space="0" w:color="auto"/>
            </w:tcBorders>
            <w:shd w:val="clear" w:color="auto" w:fill="auto"/>
            <w:noWrap/>
            <w:vAlign w:val="center"/>
            <w:hideMark/>
          </w:tcPr>
          <w:p w14:paraId="0FC69A77" w14:textId="1602E986"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230,950,392.00</w:t>
            </w:r>
          </w:p>
        </w:tc>
        <w:tc>
          <w:tcPr>
            <w:tcW w:w="1701" w:type="dxa"/>
            <w:tcBorders>
              <w:top w:val="nil"/>
              <w:left w:val="nil"/>
              <w:right w:val="single" w:sz="8" w:space="0" w:color="auto"/>
            </w:tcBorders>
            <w:shd w:val="clear" w:color="auto" w:fill="auto"/>
            <w:noWrap/>
            <w:vAlign w:val="center"/>
            <w:hideMark/>
          </w:tcPr>
          <w:p w14:paraId="51208ABD" w14:textId="1C9CBF4E"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-87,045,204.00</w:t>
            </w:r>
          </w:p>
        </w:tc>
      </w:tr>
      <w:tr w:rsidR="002F131C" w:rsidRPr="00082C1F" w14:paraId="5B13B4F9" w14:textId="77777777" w:rsidTr="00B552D2">
        <w:trPr>
          <w:trHeight w:val="255"/>
        </w:trPr>
        <w:tc>
          <w:tcPr>
            <w:tcW w:w="4536" w:type="dxa"/>
            <w:tcBorders>
              <w:top w:val="nil"/>
              <w:left w:val="single" w:sz="8" w:space="0" w:color="auto"/>
              <w:right w:val="single" w:sz="8" w:space="0" w:color="auto"/>
            </w:tcBorders>
            <w:shd w:val="clear" w:color="auto" w:fill="auto"/>
            <w:vAlign w:val="center"/>
            <w:hideMark/>
          </w:tcPr>
          <w:p w14:paraId="47D40A97"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Fondo de Aportaciones para el Fortalecimiento de las Entidades Federativas</w:t>
            </w:r>
          </w:p>
        </w:tc>
        <w:tc>
          <w:tcPr>
            <w:tcW w:w="1568" w:type="dxa"/>
            <w:tcBorders>
              <w:top w:val="nil"/>
              <w:left w:val="nil"/>
              <w:right w:val="single" w:sz="8" w:space="0" w:color="auto"/>
            </w:tcBorders>
            <w:shd w:val="clear" w:color="auto" w:fill="auto"/>
            <w:noWrap/>
            <w:vAlign w:val="center"/>
            <w:hideMark/>
          </w:tcPr>
          <w:p w14:paraId="2CA71487" w14:textId="43DD1F14"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377,097,342.00</w:t>
            </w:r>
          </w:p>
        </w:tc>
        <w:tc>
          <w:tcPr>
            <w:tcW w:w="1834" w:type="dxa"/>
            <w:tcBorders>
              <w:top w:val="nil"/>
              <w:left w:val="nil"/>
              <w:right w:val="single" w:sz="8" w:space="0" w:color="auto"/>
            </w:tcBorders>
            <w:shd w:val="clear" w:color="auto" w:fill="auto"/>
            <w:noWrap/>
            <w:vAlign w:val="center"/>
            <w:hideMark/>
          </w:tcPr>
          <w:p w14:paraId="20CB586F" w14:textId="72E810B8"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748,570,670.00</w:t>
            </w:r>
          </w:p>
        </w:tc>
        <w:tc>
          <w:tcPr>
            <w:tcW w:w="1701" w:type="dxa"/>
            <w:tcBorders>
              <w:top w:val="nil"/>
              <w:left w:val="nil"/>
              <w:right w:val="single" w:sz="8" w:space="0" w:color="auto"/>
            </w:tcBorders>
            <w:shd w:val="clear" w:color="auto" w:fill="auto"/>
            <w:noWrap/>
            <w:vAlign w:val="center"/>
            <w:hideMark/>
          </w:tcPr>
          <w:p w14:paraId="340C688D" w14:textId="7AA854D8"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-371,473,328.00</w:t>
            </w:r>
          </w:p>
        </w:tc>
      </w:tr>
      <w:tr w:rsidR="002F131C" w:rsidRPr="00082C1F" w14:paraId="2BAE2868" w14:textId="77777777" w:rsidTr="00B552D2">
        <w:trPr>
          <w:trHeight w:val="255"/>
        </w:trPr>
        <w:tc>
          <w:tcPr>
            <w:tcW w:w="4536" w:type="dxa"/>
            <w:tcBorders>
              <w:left w:val="single" w:sz="8" w:space="0" w:color="auto"/>
              <w:bottom w:val="nil"/>
              <w:right w:val="single" w:sz="8" w:space="0" w:color="auto"/>
            </w:tcBorders>
            <w:shd w:val="clear" w:color="auto" w:fill="auto"/>
            <w:vAlign w:val="center"/>
            <w:hideMark/>
          </w:tcPr>
          <w:p w14:paraId="1E12A6CD" w14:textId="77777777" w:rsidR="002F131C" w:rsidRPr="00082C1F" w:rsidRDefault="002F131C" w:rsidP="002F131C">
            <w:pPr>
              <w:rPr>
                <w:rFonts w:ascii="Montserrat Medium" w:eastAsia="Times New Roman" w:hAnsi="Montserrat Medium" w:cs="Calibri"/>
                <w:b/>
                <w:bCs/>
                <w:color w:val="000000"/>
                <w:sz w:val="16"/>
                <w:szCs w:val="16"/>
                <w:lang w:val="es-MX" w:eastAsia="es-MX"/>
              </w:rPr>
            </w:pPr>
            <w:r w:rsidRPr="00082C1F">
              <w:rPr>
                <w:rFonts w:ascii="Montserrat Medium" w:eastAsia="Times New Roman" w:hAnsi="Montserrat Medium" w:cs="Calibri"/>
                <w:b/>
                <w:bCs/>
                <w:color w:val="000000"/>
                <w:sz w:val="16"/>
                <w:szCs w:val="16"/>
                <w:lang w:val="es-MX" w:eastAsia="es-MX"/>
              </w:rPr>
              <w:t>Convenios</w:t>
            </w:r>
          </w:p>
        </w:tc>
        <w:tc>
          <w:tcPr>
            <w:tcW w:w="1568" w:type="dxa"/>
            <w:tcBorders>
              <w:left w:val="nil"/>
              <w:bottom w:val="nil"/>
              <w:right w:val="single" w:sz="8" w:space="0" w:color="auto"/>
            </w:tcBorders>
            <w:shd w:val="clear" w:color="auto" w:fill="auto"/>
            <w:noWrap/>
            <w:vAlign w:val="center"/>
            <w:hideMark/>
          </w:tcPr>
          <w:p w14:paraId="4C95C0FE" w14:textId="76819521" w:rsidR="002F131C" w:rsidRPr="00082C1F" w:rsidRDefault="002F131C" w:rsidP="002F131C">
            <w:pPr>
              <w:jc w:val="right"/>
              <w:rPr>
                <w:rFonts w:ascii="Montserrat Medium" w:eastAsia="Times New Roman" w:hAnsi="Montserrat Medium" w:cs="Calibri"/>
                <w:b/>
                <w:bCs/>
                <w:color w:val="000000"/>
                <w:sz w:val="16"/>
                <w:szCs w:val="16"/>
                <w:lang w:val="es-MX" w:eastAsia="es-MX"/>
              </w:rPr>
            </w:pPr>
            <w:r w:rsidRPr="00082C1F">
              <w:rPr>
                <w:rFonts w:ascii="Montserrat Medium" w:hAnsi="Montserrat Medium" w:cs="Calibri"/>
                <w:b/>
                <w:bCs/>
                <w:color w:val="000000"/>
                <w:sz w:val="16"/>
                <w:szCs w:val="16"/>
              </w:rPr>
              <w:t>1,073,329,358.64</w:t>
            </w:r>
          </w:p>
        </w:tc>
        <w:tc>
          <w:tcPr>
            <w:tcW w:w="1834" w:type="dxa"/>
            <w:tcBorders>
              <w:left w:val="nil"/>
              <w:bottom w:val="nil"/>
              <w:right w:val="single" w:sz="8" w:space="0" w:color="auto"/>
            </w:tcBorders>
            <w:shd w:val="clear" w:color="auto" w:fill="auto"/>
            <w:noWrap/>
            <w:vAlign w:val="center"/>
            <w:hideMark/>
          </w:tcPr>
          <w:p w14:paraId="2819A4CB" w14:textId="7927D471" w:rsidR="002F131C" w:rsidRPr="00082C1F" w:rsidRDefault="002F131C" w:rsidP="002F131C">
            <w:pPr>
              <w:jc w:val="right"/>
              <w:rPr>
                <w:rFonts w:ascii="Montserrat Medium" w:eastAsia="Times New Roman" w:hAnsi="Montserrat Medium" w:cs="Calibri"/>
                <w:b/>
                <w:bCs/>
                <w:color w:val="000000"/>
                <w:sz w:val="16"/>
                <w:szCs w:val="16"/>
                <w:lang w:val="es-MX" w:eastAsia="es-MX"/>
              </w:rPr>
            </w:pPr>
            <w:r w:rsidRPr="00082C1F">
              <w:rPr>
                <w:rFonts w:ascii="Montserrat Medium" w:hAnsi="Montserrat Medium" w:cs="Calibri"/>
                <w:b/>
                <w:bCs/>
                <w:color w:val="000000"/>
                <w:sz w:val="16"/>
                <w:szCs w:val="16"/>
              </w:rPr>
              <w:t>2,946,032,106.49</w:t>
            </w:r>
          </w:p>
        </w:tc>
        <w:tc>
          <w:tcPr>
            <w:tcW w:w="1701" w:type="dxa"/>
            <w:tcBorders>
              <w:left w:val="nil"/>
              <w:bottom w:val="nil"/>
              <w:right w:val="single" w:sz="8" w:space="0" w:color="auto"/>
            </w:tcBorders>
            <w:shd w:val="clear" w:color="auto" w:fill="auto"/>
            <w:noWrap/>
            <w:vAlign w:val="center"/>
            <w:hideMark/>
          </w:tcPr>
          <w:p w14:paraId="7AD3D563" w14:textId="1AD7EF53" w:rsidR="002F131C" w:rsidRPr="00082C1F" w:rsidRDefault="002F131C" w:rsidP="002F131C">
            <w:pPr>
              <w:jc w:val="right"/>
              <w:rPr>
                <w:rFonts w:ascii="Montserrat Medium" w:eastAsia="Times New Roman" w:hAnsi="Montserrat Medium" w:cs="Calibri"/>
                <w:b/>
                <w:bCs/>
                <w:color w:val="000000"/>
                <w:sz w:val="16"/>
                <w:szCs w:val="16"/>
                <w:lang w:val="es-MX" w:eastAsia="es-MX"/>
              </w:rPr>
            </w:pPr>
            <w:r w:rsidRPr="00082C1F">
              <w:rPr>
                <w:rFonts w:ascii="Montserrat Medium" w:hAnsi="Montserrat Medium" w:cs="Calibri"/>
                <w:b/>
                <w:bCs/>
                <w:color w:val="000000"/>
                <w:sz w:val="16"/>
                <w:szCs w:val="16"/>
              </w:rPr>
              <w:t>-1,885,179,448.85</w:t>
            </w:r>
          </w:p>
        </w:tc>
      </w:tr>
      <w:tr w:rsidR="002F131C" w:rsidRPr="00082C1F" w14:paraId="7EF2CDFB"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5350F7EB"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Ramo 04 Gobernación</w:t>
            </w:r>
          </w:p>
        </w:tc>
        <w:tc>
          <w:tcPr>
            <w:tcW w:w="1568" w:type="dxa"/>
            <w:tcBorders>
              <w:top w:val="nil"/>
              <w:left w:val="nil"/>
              <w:bottom w:val="nil"/>
              <w:right w:val="single" w:sz="8" w:space="0" w:color="auto"/>
            </w:tcBorders>
            <w:shd w:val="clear" w:color="auto" w:fill="auto"/>
            <w:noWrap/>
            <w:vAlign w:val="center"/>
            <w:hideMark/>
          </w:tcPr>
          <w:p w14:paraId="6443DFEA" w14:textId="0102D2CF"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9,774,745.42</w:t>
            </w:r>
          </w:p>
        </w:tc>
        <w:tc>
          <w:tcPr>
            <w:tcW w:w="1834" w:type="dxa"/>
            <w:tcBorders>
              <w:top w:val="nil"/>
              <w:left w:val="nil"/>
              <w:bottom w:val="nil"/>
              <w:right w:val="single" w:sz="8" w:space="0" w:color="auto"/>
            </w:tcBorders>
            <w:shd w:val="clear" w:color="auto" w:fill="auto"/>
            <w:noWrap/>
            <w:vAlign w:val="center"/>
            <w:hideMark/>
          </w:tcPr>
          <w:p w14:paraId="1AF20347" w14:textId="0351F2C7"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61,292,790.58</w:t>
            </w:r>
          </w:p>
        </w:tc>
        <w:tc>
          <w:tcPr>
            <w:tcW w:w="1701" w:type="dxa"/>
            <w:tcBorders>
              <w:top w:val="nil"/>
              <w:left w:val="nil"/>
              <w:bottom w:val="nil"/>
              <w:right w:val="single" w:sz="8" w:space="0" w:color="auto"/>
            </w:tcBorders>
            <w:shd w:val="clear" w:color="auto" w:fill="auto"/>
            <w:noWrap/>
            <w:vAlign w:val="center"/>
            <w:hideMark/>
          </w:tcPr>
          <w:p w14:paraId="51748A84" w14:textId="72E5A408"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-51,518,045.16</w:t>
            </w:r>
          </w:p>
        </w:tc>
      </w:tr>
      <w:tr w:rsidR="002F131C" w:rsidRPr="00082C1F" w14:paraId="47CA779F"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43D502D4"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Ramo 11 Educación Pública</w:t>
            </w:r>
          </w:p>
        </w:tc>
        <w:tc>
          <w:tcPr>
            <w:tcW w:w="1568" w:type="dxa"/>
            <w:tcBorders>
              <w:top w:val="nil"/>
              <w:left w:val="nil"/>
              <w:bottom w:val="nil"/>
              <w:right w:val="single" w:sz="8" w:space="0" w:color="auto"/>
            </w:tcBorders>
            <w:shd w:val="clear" w:color="auto" w:fill="auto"/>
            <w:noWrap/>
            <w:vAlign w:val="center"/>
            <w:hideMark/>
          </w:tcPr>
          <w:p w14:paraId="5DDA678A" w14:textId="23EBB46D"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788,857,489.16</w:t>
            </w:r>
          </w:p>
        </w:tc>
        <w:tc>
          <w:tcPr>
            <w:tcW w:w="1834" w:type="dxa"/>
            <w:tcBorders>
              <w:top w:val="nil"/>
              <w:left w:val="nil"/>
              <w:bottom w:val="nil"/>
              <w:right w:val="single" w:sz="8" w:space="0" w:color="auto"/>
            </w:tcBorders>
            <w:shd w:val="clear" w:color="auto" w:fill="auto"/>
            <w:noWrap/>
            <w:vAlign w:val="center"/>
            <w:hideMark/>
          </w:tcPr>
          <w:p w14:paraId="1EC301E3" w14:textId="49C36E1B"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1,822,692,715.10</w:t>
            </w:r>
          </w:p>
        </w:tc>
        <w:tc>
          <w:tcPr>
            <w:tcW w:w="1701" w:type="dxa"/>
            <w:tcBorders>
              <w:top w:val="nil"/>
              <w:left w:val="nil"/>
              <w:bottom w:val="nil"/>
              <w:right w:val="single" w:sz="8" w:space="0" w:color="auto"/>
            </w:tcBorders>
            <w:shd w:val="clear" w:color="auto" w:fill="auto"/>
            <w:noWrap/>
            <w:vAlign w:val="center"/>
            <w:hideMark/>
          </w:tcPr>
          <w:p w14:paraId="3A2C1265" w14:textId="37D436A2"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-1,033,835,225.94</w:t>
            </w:r>
          </w:p>
        </w:tc>
      </w:tr>
      <w:tr w:rsidR="002F131C" w:rsidRPr="00082C1F" w14:paraId="3F985E88"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3D5BDAD0"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Ramo 12 Salud</w:t>
            </w:r>
          </w:p>
        </w:tc>
        <w:tc>
          <w:tcPr>
            <w:tcW w:w="1568" w:type="dxa"/>
            <w:tcBorders>
              <w:top w:val="nil"/>
              <w:left w:val="nil"/>
              <w:bottom w:val="nil"/>
              <w:right w:val="single" w:sz="8" w:space="0" w:color="auto"/>
            </w:tcBorders>
            <w:shd w:val="clear" w:color="auto" w:fill="auto"/>
            <w:noWrap/>
            <w:vAlign w:val="center"/>
            <w:hideMark/>
          </w:tcPr>
          <w:p w14:paraId="07E6456B" w14:textId="42654610"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145,373,774.84</w:t>
            </w:r>
          </w:p>
        </w:tc>
        <w:tc>
          <w:tcPr>
            <w:tcW w:w="1834" w:type="dxa"/>
            <w:tcBorders>
              <w:top w:val="nil"/>
              <w:left w:val="nil"/>
              <w:bottom w:val="nil"/>
              <w:right w:val="single" w:sz="8" w:space="0" w:color="auto"/>
            </w:tcBorders>
            <w:shd w:val="clear" w:color="auto" w:fill="auto"/>
            <w:noWrap/>
            <w:vAlign w:val="center"/>
            <w:hideMark/>
          </w:tcPr>
          <w:p w14:paraId="2801C3E8" w14:textId="54E51E33"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731,039,670.59</w:t>
            </w:r>
          </w:p>
        </w:tc>
        <w:tc>
          <w:tcPr>
            <w:tcW w:w="1701" w:type="dxa"/>
            <w:tcBorders>
              <w:top w:val="nil"/>
              <w:left w:val="nil"/>
              <w:bottom w:val="nil"/>
              <w:right w:val="single" w:sz="8" w:space="0" w:color="auto"/>
            </w:tcBorders>
            <w:shd w:val="clear" w:color="auto" w:fill="auto"/>
            <w:noWrap/>
            <w:vAlign w:val="center"/>
            <w:hideMark/>
          </w:tcPr>
          <w:p w14:paraId="66C5714C" w14:textId="2DCF75DF"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-585,665,895.75</w:t>
            </w:r>
          </w:p>
        </w:tc>
      </w:tr>
      <w:tr w:rsidR="002F131C" w:rsidRPr="00082C1F" w14:paraId="2C3D6066"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536F4CCA"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Ramo 14 Trabajo y Previsión Social</w:t>
            </w:r>
          </w:p>
        </w:tc>
        <w:tc>
          <w:tcPr>
            <w:tcW w:w="1568" w:type="dxa"/>
            <w:tcBorders>
              <w:top w:val="nil"/>
              <w:left w:val="nil"/>
              <w:bottom w:val="nil"/>
              <w:right w:val="single" w:sz="8" w:space="0" w:color="auto"/>
            </w:tcBorders>
            <w:shd w:val="clear" w:color="auto" w:fill="auto"/>
            <w:noWrap/>
            <w:vAlign w:val="center"/>
            <w:hideMark/>
          </w:tcPr>
          <w:p w14:paraId="6FE1C2DD" w14:textId="459D0AC3"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0.00</w:t>
            </w:r>
          </w:p>
        </w:tc>
        <w:tc>
          <w:tcPr>
            <w:tcW w:w="1834" w:type="dxa"/>
            <w:tcBorders>
              <w:top w:val="nil"/>
              <w:left w:val="nil"/>
              <w:bottom w:val="nil"/>
              <w:right w:val="single" w:sz="8" w:space="0" w:color="auto"/>
            </w:tcBorders>
            <w:shd w:val="clear" w:color="auto" w:fill="auto"/>
            <w:noWrap/>
            <w:vAlign w:val="center"/>
            <w:hideMark/>
          </w:tcPr>
          <w:p w14:paraId="42FD7E30" w14:textId="4925EDB9"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0.00</w:t>
            </w:r>
          </w:p>
        </w:tc>
        <w:tc>
          <w:tcPr>
            <w:tcW w:w="1701" w:type="dxa"/>
            <w:tcBorders>
              <w:top w:val="nil"/>
              <w:left w:val="nil"/>
              <w:bottom w:val="nil"/>
              <w:right w:val="single" w:sz="8" w:space="0" w:color="auto"/>
            </w:tcBorders>
            <w:shd w:val="clear" w:color="auto" w:fill="auto"/>
            <w:noWrap/>
            <w:vAlign w:val="center"/>
            <w:hideMark/>
          </w:tcPr>
          <w:p w14:paraId="11DED27B" w14:textId="42D67D94"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0.00</w:t>
            </w:r>
          </w:p>
        </w:tc>
      </w:tr>
      <w:tr w:rsidR="002F131C" w:rsidRPr="00082C1F" w14:paraId="73CE2AA6"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49A7E6DF"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Ramo 15 Desarrollo Agrario, Territorial y Urbano</w:t>
            </w:r>
          </w:p>
        </w:tc>
        <w:tc>
          <w:tcPr>
            <w:tcW w:w="1568" w:type="dxa"/>
            <w:tcBorders>
              <w:top w:val="nil"/>
              <w:left w:val="nil"/>
              <w:bottom w:val="nil"/>
              <w:right w:val="single" w:sz="8" w:space="0" w:color="auto"/>
            </w:tcBorders>
            <w:shd w:val="clear" w:color="auto" w:fill="auto"/>
            <w:noWrap/>
            <w:vAlign w:val="center"/>
            <w:hideMark/>
          </w:tcPr>
          <w:p w14:paraId="4950CD3B" w14:textId="43A3E471"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4,117,682.62</w:t>
            </w:r>
          </w:p>
        </w:tc>
        <w:tc>
          <w:tcPr>
            <w:tcW w:w="1834" w:type="dxa"/>
            <w:tcBorders>
              <w:top w:val="nil"/>
              <w:left w:val="nil"/>
              <w:bottom w:val="nil"/>
              <w:right w:val="single" w:sz="8" w:space="0" w:color="auto"/>
            </w:tcBorders>
            <w:shd w:val="clear" w:color="auto" w:fill="auto"/>
            <w:noWrap/>
            <w:vAlign w:val="center"/>
            <w:hideMark/>
          </w:tcPr>
          <w:p w14:paraId="3BDE3091" w14:textId="1A368B89"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6,743,073.78</w:t>
            </w:r>
          </w:p>
        </w:tc>
        <w:tc>
          <w:tcPr>
            <w:tcW w:w="1701" w:type="dxa"/>
            <w:tcBorders>
              <w:top w:val="nil"/>
              <w:left w:val="nil"/>
              <w:bottom w:val="nil"/>
              <w:right w:val="single" w:sz="8" w:space="0" w:color="auto"/>
            </w:tcBorders>
            <w:shd w:val="clear" w:color="auto" w:fill="auto"/>
            <w:noWrap/>
            <w:vAlign w:val="center"/>
            <w:hideMark/>
          </w:tcPr>
          <w:p w14:paraId="55FA063D" w14:textId="72EFA4F9"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-2,625,391.16</w:t>
            </w:r>
          </w:p>
        </w:tc>
      </w:tr>
      <w:tr w:rsidR="002F131C" w:rsidRPr="00082C1F" w14:paraId="4C59FCB0"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47471000"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Ramo 16 Medio Ambiente y Recursos Naturales</w:t>
            </w:r>
          </w:p>
        </w:tc>
        <w:tc>
          <w:tcPr>
            <w:tcW w:w="1568" w:type="dxa"/>
            <w:tcBorders>
              <w:top w:val="nil"/>
              <w:left w:val="nil"/>
              <w:bottom w:val="nil"/>
              <w:right w:val="single" w:sz="8" w:space="0" w:color="auto"/>
            </w:tcBorders>
            <w:shd w:val="clear" w:color="auto" w:fill="auto"/>
            <w:noWrap/>
            <w:vAlign w:val="center"/>
            <w:hideMark/>
          </w:tcPr>
          <w:p w14:paraId="0C3DA6D8" w14:textId="77613D8E"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90,549,580.10</w:t>
            </w:r>
          </w:p>
        </w:tc>
        <w:tc>
          <w:tcPr>
            <w:tcW w:w="1834" w:type="dxa"/>
            <w:tcBorders>
              <w:top w:val="nil"/>
              <w:left w:val="nil"/>
              <w:bottom w:val="nil"/>
              <w:right w:val="single" w:sz="8" w:space="0" w:color="auto"/>
            </w:tcBorders>
            <w:shd w:val="clear" w:color="auto" w:fill="auto"/>
            <w:noWrap/>
            <w:vAlign w:val="center"/>
            <w:hideMark/>
          </w:tcPr>
          <w:p w14:paraId="343673F4" w14:textId="12E465A7"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129,437,410.60</w:t>
            </w:r>
          </w:p>
        </w:tc>
        <w:tc>
          <w:tcPr>
            <w:tcW w:w="1701" w:type="dxa"/>
            <w:tcBorders>
              <w:top w:val="nil"/>
              <w:left w:val="nil"/>
              <w:bottom w:val="nil"/>
              <w:right w:val="single" w:sz="8" w:space="0" w:color="auto"/>
            </w:tcBorders>
            <w:shd w:val="clear" w:color="auto" w:fill="auto"/>
            <w:noWrap/>
            <w:vAlign w:val="center"/>
            <w:hideMark/>
          </w:tcPr>
          <w:p w14:paraId="280B160F" w14:textId="6346B995"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-38,887,830.50</w:t>
            </w:r>
          </w:p>
        </w:tc>
      </w:tr>
      <w:tr w:rsidR="002F131C" w:rsidRPr="00082C1F" w14:paraId="6E5B14B9"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333FD177"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Ramo 20 Bienestar</w:t>
            </w:r>
          </w:p>
        </w:tc>
        <w:tc>
          <w:tcPr>
            <w:tcW w:w="1568" w:type="dxa"/>
            <w:tcBorders>
              <w:top w:val="nil"/>
              <w:left w:val="nil"/>
              <w:bottom w:val="nil"/>
              <w:right w:val="single" w:sz="8" w:space="0" w:color="auto"/>
            </w:tcBorders>
            <w:shd w:val="clear" w:color="auto" w:fill="auto"/>
            <w:noWrap/>
            <w:vAlign w:val="center"/>
            <w:hideMark/>
          </w:tcPr>
          <w:p w14:paraId="3253A0CB" w14:textId="6186E176"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0.00</w:t>
            </w:r>
          </w:p>
        </w:tc>
        <w:tc>
          <w:tcPr>
            <w:tcW w:w="1834" w:type="dxa"/>
            <w:tcBorders>
              <w:top w:val="nil"/>
              <w:left w:val="nil"/>
              <w:bottom w:val="nil"/>
              <w:right w:val="single" w:sz="8" w:space="0" w:color="auto"/>
            </w:tcBorders>
            <w:shd w:val="clear" w:color="auto" w:fill="auto"/>
            <w:noWrap/>
            <w:vAlign w:val="center"/>
            <w:hideMark/>
          </w:tcPr>
          <w:p w14:paraId="4D4C4810" w14:textId="04281A48"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0.00</w:t>
            </w:r>
          </w:p>
        </w:tc>
        <w:tc>
          <w:tcPr>
            <w:tcW w:w="1701" w:type="dxa"/>
            <w:tcBorders>
              <w:top w:val="nil"/>
              <w:left w:val="nil"/>
              <w:bottom w:val="nil"/>
              <w:right w:val="single" w:sz="8" w:space="0" w:color="auto"/>
            </w:tcBorders>
            <w:shd w:val="clear" w:color="auto" w:fill="auto"/>
            <w:noWrap/>
            <w:vAlign w:val="center"/>
            <w:hideMark/>
          </w:tcPr>
          <w:p w14:paraId="0275701F" w14:textId="352EBCE9"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0.00</w:t>
            </w:r>
          </w:p>
        </w:tc>
      </w:tr>
      <w:tr w:rsidR="002F131C" w:rsidRPr="00082C1F" w14:paraId="073E2777" w14:textId="77777777" w:rsidTr="006F6606">
        <w:trPr>
          <w:trHeight w:val="171"/>
        </w:trPr>
        <w:tc>
          <w:tcPr>
            <w:tcW w:w="4536" w:type="dxa"/>
            <w:tcBorders>
              <w:top w:val="nil"/>
              <w:left w:val="single" w:sz="8" w:space="0" w:color="auto"/>
              <w:bottom w:val="nil"/>
              <w:right w:val="single" w:sz="8" w:space="0" w:color="auto"/>
            </w:tcBorders>
            <w:shd w:val="clear" w:color="auto" w:fill="auto"/>
            <w:vAlign w:val="center"/>
            <w:hideMark/>
          </w:tcPr>
          <w:p w14:paraId="3736F7A5"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Ramo 21 Turismo</w:t>
            </w:r>
          </w:p>
        </w:tc>
        <w:tc>
          <w:tcPr>
            <w:tcW w:w="1568" w:type="dxa"/>
            <w:tcBorders>
              <w:top w:val="nil"/>
              <w:left w:val="nil"/>
              <w:bottom w:val="nil"/>
              <w:right w:val="single" w:sz="8" w:space="0" w:color="auto"/>
            </w:tcBorders>
            <w:shd w:val="clear" w:color="auto" w:fill="auto"/>
            <w:noWrap/>
            <w:vAlign w:val="center"/>
            <w:hideMark/>
          </w:tcPr>
          <w:p w14:paraId="52C737DA" w14:textId="1831E0AE"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0.00</w:t>
            </w:r>
          </w:p>
        </w:tc>
        <w:tc>
          <w:tcPr>
            <w:tcW w:w="1834" w:type="dxa"/>
            <w:tcBorders>
              <w:top w:val="nil"/>
              <w:left w:val="nil"/>
              <w:bottom w:val="nil"/>
              <w:right w:val="single" w:sz="8" w:space="0" w:color="auto"/>
            </w:tcBorders>
            <w:shd w:val="clear" w:color="auto" w:fill="auto"/>
            <w:noWrap/>
            <w:vAlign w:val="center"/>
            <w:hideMark/>
          </w:tcPr>
          <w:p w14:paraId="3FB687E7" w14:textId="2CA84E69"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153,495,256.32</w:t>
            </w:r>
          </w:p>
        </w:tc>
        <w:tc>
          <w:tcPr>
            <w:tcW w:w="1701" w:type="dxa"/>
            <w:tcBorders>
              <w:top w:val="nil"/>
              <w:left w:val="nil"/>
              <w:bottom w:val="nil"/>
              <w:right w:val="single" w:sz="8" w:space="0" w:color="auto"/>
            </w:tcBorders>
            <w:shd w:val="clear" w:color="auto" w:fill="auto"/>
            <w:noWrap/>
            <w:vAlign w:val="center"/>
            <w:hideMark/>
          </w:tcPr>
          <w:p w14:paraId="58887D5C" w14:textId="34B62802"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-153,495,256.32</w:t>
            </w:r>
          </w:p>
        </w:tc>
      </w:tr>
      <w:tr w:rsidR="002F131C" w:rsidRPr="00082C1F" w14:paraId="24596212"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767CA910"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Ramo 23 Provisiones Salariales y Económicas</w:t>
            </w:r>
          </w:p>
        </w:tc>
        <w:tc>
          <w:tcPr>
            <w:tcW w:w="1568" w:type="dxa"/>
            <w:tcBorders>
              <w:top w:val="nil"/>
              <w:left w:val="nil"/>
              <w:bottom w:val="nil"/>
              <w:right w:val="single" w:sz="8" w:space="0" w:color="auto"/>
            </w:tcBorders>
            <w:shd w:val="clear" w:color="auto" w:fill="auto"/>
            <w:noWrap/>
            <w:vAlign w:val="center"/>
            <w:hideMark/>
          </w:tcPr>
          <w:p w14:paraId="276ECACB" w14:textId="15CAC880"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4,339,447.50</w:t>
            </w:r>
          </w:p>
        </w:tc>
        <w:tc>
          <w:tcPr>
            <w:tcW w:w="1834" w:type="dxa"/>
            <w:tcBorders>
              <w:top w:val="nil"/>
              <w:left w:val="nil"/>
              <w:bottom w:val="nil"/>
              <w:right w:val="single" w:sz="8" w:space="0" w:color="auto"/>
            </w:tcBorders>
            <w:shd w:val="clear" w:color="auto" w:fill="auto"/>
            <w:noWrap/>
            <w:vAlign w:val="center"/>
            <w:hideMark/>
          </w:tcPr>
          <w:p w14:paraId="60668A83" w14:textId="3EF1809E"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7,906,494.30</w:t>
            </w:r>
          </w:p>
        </w:tc>
        <w:tc>
          <w:tcPr>
            <w:tcW w:w="1701" w:type="dxa"/>
            <w:tcBorders>
              <w:top w:val="nil"/>
              <w:left w:val="nil"/>
              <w:bottom w:val="nil"/>
              <w:right w:val="single" w:sz="8" w:space="0" w:color="auto"/>
            </w:tcBorders>
            <w:shd w:val="clear" w:color="auto" w:fill="auto"/>
            <w:noWrap/>
            <w:vAlign w:val="center"/>
            <w:hideMark/>
          </w:tcPr>
          <w:p w14:paraId="58DCA957" w14:textId="18DBF3D8"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-3,567,046.80</w:t>
            </w:r>
          </w:p>
        </w:tc>
      </w:tr>
      <w:tr w:rsidR="002F131C" w:rsidRPr="00082C1F" w14:paraId="7D51208B"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141422DC"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Ramo 36 Seguridad y Protección Ciudadana</w:t>
            </w:r>
          </w:p>
        </w:tc>
        <w:tc>
          <w:tcPr>
            <w:tcW w:w="1568" w:type="dxa"/>
            <w:tcBorders>
              <w:top w:val="nil"/>
              <w:left w:val="nil"/>
              <w:bottom w:val="nil"/>
              <w:right w:val="single" w:sz="8" w:space="0" w:color="auto"/>
            </w:tcBorders>
            <w:shd w:val="clear" w:color="auto" w:fill="auto"/>
            <w:noWrap/>
            <w:vAlign w:val="center"/>
            <w:hideMark/>
          </w:tcPr>
          <w:p w14:paraId="638A0EFD" w14:textId="63A9F9FC"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17,839,938.00</w:t>
            </w:r>
          </w:p>
        </w:tc>
        <w:tc>
          <w:tcPr>
            <w:tcW w:w="1834" w:type="dxa"/>
            <w:tcBorders>
              <w:top w:val="nil"/>
              <w:left w:val="nil"/>
              <w:bottom w:val="nil"/>
              <w:right w:val="single" w:sz="8" w:space="0" w:color="auto"/>
            </w:tcBorders>
            <w:shd w:val="clear" w:color="auto" w:fill="auto"/>
            <w:noWrap/>
            <w:vAlign w:val="center"/>
            <w:hideMark/>
          </w:tcPr>
          <w:p w14:paraId="426DDB2C" w14:textId="04D1093C"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16,912,462.00</w:t>
            </w:r>
          </w:p>
        </w:tc>
        <w:tc>
          <w:tcPr>
            <w:tcW w:w="1701" w:type="dxa"/>
            <w:tcBorders>
              <w:top w:val="nil"/>
              <w:left w:val="nil"/>
              <w:bottom w:val="nil"/>
              <w:right w:val="single" w:sz="8" w:space="0" w:color="auto"/>
            </w:tcBorders>
            <w:shd w:val="clear" w:color="auto" w:fill="auto"/>
            <w:noWrap/>
            <w:vAlign w:val="center"/>
            <w:hideMark/>
          </w:tcPr>
          <w:p w14:paraId="0B7E09F8" w14:textId="7D0C4CB6"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927,476.00</w:t>
            </w:r>
          </w:p>
        </w:tc>
      </w:tr>
      <w:tr w:rsidR="002F131C" w:rsidRPr="00082C1F" w14:paraId="689B6FE5"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2C5A7034"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Ramo 47 Entidades no Sectorizadas</w:t>
            </w:r>
          </w:p>
        </w:tc>
        <w:tc>
          <w:tcPr>
            <w:tcW w:w="1568" w:type="dxa"/>
            <w:tcBorders>
              <w:top w:val="nil"/>
              <w:left w:val="nil"/>
              <w:bottom w:val="nil"/>
              <w:right w:val="single" w:sz="8" w:space="0" w:color="auto"/>
            </w:tcBorders>
            <w:shd w:val="clear" w:color="auto" w:fill="auto"/>
            <w:noWrap/>
            <w:vAlign w:val="center"/>
            <w:hideMark/>
          </w:tcPr>
          <w:p w14:paraId="248F5089" w14:textId="5209150B"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0.00 </w:t>
            </w:r>
          </w:p>
        </w:tc>
        <w:tc>
          <w:tcPr>
            <w:tcW w:w="1834" w:type="dxa"/>
            <w:tcBorders>
              <w:top w:val="nil"/>
              <w:left w:val="nil"/>
              <w:bottom w:val="nil"/>
              <w:right w:val="single" w:sz="8" w:space="0" w:color="auto"/>
            </w:tcBorders>
            <w:shd w:val="clear" w:color="auto" w:fill="auto"/>
            <w:noWrap/>
            <w:vAlign w:val="center"/>
            <w:hideMark/>
          </w:tcPr>
          <w:p w14:paraId="291162D9" w14:textId="78212487"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12,496,607.22</w:t>
            </w:r>
          </w:p>
        </w:tc>
        <w:tc>
          <w:tcPr>
            <w:tcW w:w="1701" w:type="dxa"/>
            <w:tcBorders>
              <w:top w:val="nil"/>
              <w:left w:val="nil"/>
              <w:bottom w:val="nil"/>
              <w:right w:val="single" w:sz="8" w:space="0" w:color="auto"/>
            </w:tcBorders>
            <w:shd w:val="clear" w:color="auto" w:fill="auto"/>
            <w:noWrap/>
            <w:vAlign w:val="center"/>
            <w:hideMark/>
          </w:tcPr>
          <w:p w14:paraId="1B09F8D3" w14:textId="06ACE1DE"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-12,496,607.22</w:t>
            </w:r>
          </w:p>
        </w:tc>
      </w:tr>
      <w:tr w:rsidR="002F131C" w:rsidRPr="00082C1F" w14:paraId="215D915B"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2E209BB4"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Ramo 48 Cultura</w:t>
            </w:r>
          </w:p>
        </w:tc>
        <w:tc>
          <w:tcPr>
            <w:tcW w:w="1568" w:type="dxa"/>
            <w:tcBorders>
              <w:top w:val="nil"/>
              <w:left w:val="nil"/>
              <w:bottom w:val="nil"/>
              <w:right w:val="single" w:sz="8" w:space="0" w:color="auto"/>
            </w:tcBorders>
            <w:shd w:val="clear" w:color="auto" w:fill="auto"/>
            <w:noWrap/>
            <w:vAlign w:val="center"/>
            <w:hideMark/>
          </w:tcPr>
          <w:p w14:paraId="3402175E" w14:textId="372FCCC1"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0.00 </w:t>
            </w:r>
          </w:p>
        </w:tc>
        <w:tc>
          <w:tcPr>
            <w:tcW w:w="1834" w:type="dxa"/>
            <w:tcBorders>
              <w:top w:val="nil"/>
              <w:left w:val="nil"/>
              <w:bottom w:val="nil"/>
              <w:right w:val="single" w:sz="8" w:space="0" w:color="auto"/>
            </w:tcBorders>
            <w:shd w:val="clear" w:color="auto" w:fill="auto"/>
            <w:noWrap/>
            <w:vAlign w:val="center"/>
            <w:hideMark/>
          </w:tcPr>
          <w:p w14:paraId="4F4735DB" w14:textId="50F40BB2"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4,015,626.00</w:t>
            </w:r>
          </w:p>
        </w:tc>
        <w:tc>
          <w:tcPr>
            <w:tcW w:w="1701" w:type="dxa"/>
            <w:tcBorders>
              <w:top w:val="nil"/>
              <w:left w:val="nil"/>
              <w:bottom w:val="nil"/>
              <w:right w:val="single" w:sz="8" w:space="0" w:color="auto"/>
            </w:tcBorders>
            <w:shd w:val="clear" w:color="auto" w:fill="auto"/>
            <w:noWrap/>
            <w:vAlign w:val="center"/>
            <w:hideMark/>
          </w:tcPr>
          <w:p w14:paraId="79EA020C" w14:textId="46CDDB07"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-4,015,626.00</w:t>
            </w:r>
          </w:p>
        </w:tc>
      </w:tr>
      <w:tr w:rsidR="002F131C" w:rsidRPr="00082C1F" w14:paraId="31EFB671"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tcPr>
          <w:p w14:paraId="1BFB71A8" w14:textId="374CA0FD" w:rsidR="002F131C" w:rsidRPr="00082C1F" w:rsidRDefault="002F131C" w:rsidP="002F131C">
            <w:pPr>
              <w:rPr>
                <w:rFonts w:ascii="Montserrat Medium" w:eastAsia="Times New Roman" w:hAnsi="Montserrat Medium" w:cs="Calibri"/>
                <w:bCs/>
                <w:color w:val="000000"/>
                <w:sz w:val="16"/>
                <w:szCs w:val="16"/>
                <w:lang w:val="es-MX" w:eastAsia="es-MX"/>
              </w:rPr>
            </w:pPr>
            <w:r w:rsidRPr="00082C1F">
              <w:rPr>
                <w:rFonts w:ascii="Montserrat Medium" w:eastAsia="Times New Roman" w:hAnsi="Montserrat Medium" w:cs="Calibri"/>
                <w:bCs/>
                <w:color w:val="000000"/>
                <w:sz w:val="16"/>
                <w:szCs w:val="16"/>
                <w:lang w:val="es-MX" w:eastAsia="es-MX"/>
              </w:rPr>
              <w:t>Ramo 54 Mujeres</w:t>
            </w:r>
          </w:p>
        </w:tc>
        <w:tc>
          <w:tcPr>
            <w:tcW w:w="1568" w:type="dxa"/>
            <w:tcBorders>
              <w:top w:val="nil"/>
              <w:left w:val="nil"/>
              <w:bottom w:val="nil"/>
              <w:right w:val="single" w:sz="8" w:space="0" w:color="auto"/>
            </w:tcBorders>
            <w:shd w:val="clear" w:color="auto" w:fill="auto"/>
            <w:noWrap/>
            <w:vAlign w:val="center"/>
          </w:tcPr>
          <w:p w14:paraId="1843F035" w14:textId="6258711C" w:rsidR="002F131C" w:rsidRPr="00082C1F" w:rsidRDefault="002F131C" w:rsidP="002F131C">
            <w:pPr>
              <w:jc w:val="right"/>
              <w:rPr>
                <w:rFonts w:ascii="Montserrat Medium" w:hAnsi="Montserrat Medium" w:cs="Calibri"/>
                <w:b/>
                <w:bCs/>
                <w:color w:val="000000"/>
                <w:sz w:val="16"/>
                <w:szCs w:val="16"/>
              </w:rPr>
            </w:pPr>
            <w:r w:rsidRPr="00082C1F">
              <w:rPr>
                <w:rFonts w:ascii="Montserrat Medium" w:hAnsi="Montserrat Medium" w:cs="Calibri"/>
                <w:color w:val="000000"/>
                <w:sz w:val="16"/>
                <w:szCs w:val="16"/>
              </w:rPr>
              <w:t>12,476,701.00</w:t>
            </w:r>
          </w:p>
        </w:tc>
        <w:tc>
          <w:tcPr>
            <w:tcW w:w="1834" w:type="dxa"/>
            <w:tcBorders>
              <w:top w:val="nil"/>
              <w:left w:val="nil"/>
              <w:bottom w:val="nil"/>
              <w:right w:val="single" w:sz="8" w:space="0" w:color="auto"/>
            </w:tcBorders>
            <w:shd w:val="clear" w:color="auto" w:fill="auto"/>
            <w:noWrap/>
            <w:vAlign w:val="center"/>
          </w:tcPr>
          <w:p w14:paraId="0162E13F" w14:textId="007FC081" w:rsidR="002F131C" w:rsidRPr="00082C1F" w:rsidRDefault="002F131C" w:rsidP="002F131C">
            <w:pPr>
              <w:jc w:val="right"/>
              <w:rPr>
                <w:rFonts w:ascii="Montserrat Medium" w:hAnsi="Montserrat Medium" w:cs="Calibri"/>
                <w:b/>
                <w:bCs/>
                <w:color w:val="000000"/>
                <w:sz w:val="16"/>
                <w:szCs w:val="16"/>
              </w:rPr>
            </w:pPr>
            <w:r w:rsidRPr="00082C1F">
              <w:rPr>
                <w:rFonts w:ascii="Montserrat Medium" w:hAnsi="Montserrat Medium" w:cs="Calibri"/>
                <w:color w:val="000000"/>
                <w:sz w:val="16"/>
                <w:szCs w:val="16"/>
              </w:rPr>
              <w:t>0.00 </w:t>
            </w:r>
          </w:p>
        </w:tc>
        <w:tc>
          <w:tcPr>
            <w:tcW w:w="1701" w:type="dxa"/>
            <w:tcBorders>
              <w:top w:val="nil"/>
              <w:left w:val="nil"/>
              <w:bottom w:val="nil"/>
              <w:right w:val="single" w:sz="8" w:space="0" w:color="auto"/>
            </w:tcBorders>
            <w:shd w:val="clear" w:color="auto" w:fill="auto"/>
            <w:noWrap/>
            <w:vAlign w:val="center"/>
          </w:tcPr>
          <w:p w14:paraId="4967E602" w14:textId="31BAEAAB" w:rsidR="002F131C" w:rsidRPr="00082C1F" w:rsidRDefault="00082C1F" w:rsidP="002F131C">
            <w:pPr>
              <w:jc w:val="right"/>
              <w:rPr>
                <w:rFonts w:ascii="Montserrat Medium" w:hAnsi="Montserrat Medium" w:cs="Calibri"/>
                <w:b/>
                <w:bCs/>
                <w:color w:val="000000"/>
                <w:sz w:val="16"/>
                <w:szCs w:val="16"/>
              </w:rPr>
            </w:pPr>
            <w:r w:rsidRPr="00082C1F">
              <w:rPr>
                <w:rFonts w:ascii="Montserrat Medium" w:hAnsi="Montserrat Medium" w:cs="Calibri"/>
                <w:color w:val="000000"/>
                <w:sz w:val="16"/>
                <w:szCs w:val="16"/>
              </w:rPr>
              <w:t>12,476,701.00</w:t>
            </w:r>
            <w:r w:rsidR="002F131C" w:rsidRPr="00082C1F">
              <w:rPr>
                <w:rFonts w:ascii="Montserrat Medium" w:hAnsi="Montserrat Medium" w:cs="Calibri"/>
                <w:color w:val="000000"/>
                <w:sz w:val="16"/>
                <w:szCs w:val="16"/>
              </w:rPr>
              <w:t> </w:t>
            </w:r>
          </w:p>
        </w:tc>
      </w:tr>
      <w:tr w:rsidR="002F131C" w:rsidRPr="00082C1F" w14:paraId="35C9C237"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1D9E0170" w14:textId="77777777" w:rsidR="002F131C" w:rsidRPr="00082C1F" w:rsidRDefault="002F131C" w:rsidP="002F131C">
            <w:pPr>
              <w:rPr>
                <w:rFonts w:ascii="Montserrat Medium" w:eastAsia="Times New Roman" w:hAnsi="Montserrat Medium" w:cs="Calibri"/>
                <w:b/>
                <w:bCs/>
                <w:color w:val="000000"/>
                <w:sz w:val="16"/>
                <w:szCs w:val="16"/>
                <w:lang w:val="es-MX" w:eastAsia="es-MX"/>
              </w:rPr>
            </w:pPr>
            <w:r w:rsidRPr="00082C1F">
              <w:rPr>
                <w:rFonts w:ascii="Montserrat Medium" w:eastAsia="Times New Roman" w:hAnsi="Montserrat Medium" w:cs="Calibri"/>
                <w:b/>
                <w:bCs/>
                <w:color w:val="000000"/>
                <w:sz w:val="16"/>
                <w:szCs w:val="16"/>
                <w:lang w:val="es-MX" w:eastAsia="es-MX"/>
              </w:rPr>
              <w:t>Incentivos Derivados de la Colaboración Fiscal</w:t>
            </w:r>
          </w:p>
        </w:tc>
        <w:tc>
          <w:tcPr>
            <w:tcW w:w="1568" w:type="dxa"/>
            <w:tcBorders>
              <w:top w:val="nil"/>
              <w:left w:val="nil"/>
              <w:bottom w:val="nil"/>
              <w:right w:val="single" w:sz="8" w:space="0" w:color="auto"/>
            </w:tcBorders>
            <w:shd w:val="clear" w:color="auto" w:fill="auto"/>
            <w:noWrap/>
            <w:vAlign w:val="center"/>
            <w:hideMark/>
          </w:tcPr>
          <w:p w14:paraId="51A9F410" w14:textId="15369DAD" w:rsidR="002F131C" w:rsidRPr="00082C1F" w:rsidRDefault="002F131C" w:rsidP="002F131C">
            <w:pPr>
              <w:jc w:val="right"/>
              <w:rPr>
                <w:rFonts w:ascii="Montserrat Medium" w:eastAsia="Times New Roman" w:hAnsi="Montserrat Medium" w:cs="Calibri"/>
                <w:b/>
                <w:bCs/>
                <w:color w:val="000000"/>
                <w:sz w:val="16"/>
                <w:szCs w:val="16"/>
                <w:lang w:val="es-MX" w:eastAsia="es-MX"/>
              </w:rPr>
            </w:pPr>
            <w:r w:rsidRPr="00082C1F">
              <w:rPr>
                <w:rFonts w:ascii="Montserrat Medium" w:hAnsi="Montserrat Medium" w:cs="Calibri"/>
                <w:b/>
                <w:bCs/>
                <w:color w:val="000000"/>
                <w:sz w:val="16"/>
                <w:szCs w:val="16"/>
              </w:rPr>
              <w:t>1,105,441,492.00</w:t>
            </w:r>
          </w:p>
        </w:tc>
        <w:tc>
          <w:tcPr>
            <w:tcW w:w="1834" w:type="dxa"/>
            <w:tcBorders>
              <w:top w:val="nil"/>
              <w:left w:val="nil"/>
              <w:bottom w:val="nil"/>
              <w:right w:val="single" w:sz="8" w:space="0" w:color="auto"/>
            </w:tcBorders>
            <w:shd w:val="clear" w:color="auto" w:fill="auto"/>
            <w:noWrap/>
            <w:vAlign w:val="center"/>
            <w:hideMark/>
          </w:tcPr>
          <w:p w14:paraId="0004E382" w14:textId="522715C1" w:rsidR="002F131C" w:rsidRPr="00082C1F" w:rsidRDefault="002F131C" w:rsidP="002F131C">
            <w:pPr>
              <w:jc w:val="right"/>
              <w:rPr>
                <w:rFonts w:ascii="Montserrat Medium" w:eastAsia="Times New Roman" w:hAnsi="Montserrat Medium" w:cs="Calibri"/>
                <w:b/>
                <w:bCs/>
                <w:color w:val="000000"/>
                <w:sz w:val="16"/>
                <w:szCs w:val="16"/>
                <w:lang w:val="es-MX" w:eastAsia="es-MX"/>
              </w:rPr>
            </w:pPr>
            <w:r w:rsidRPr="00082C1F">
              <w:rPr>
                <w:rFonts w:ascii="Montserrat Medium" w:hAnsi="Montserrat Medium" w:cs="Calibri"/>
                <w:b/>
                <w:bCs/>
                <w:color w:val="000000"/>
                <w:sz w:val="16"/>
                <w:szCs w:val="16"/>
              </w:rPr>
              <w:t>1,878,031,460.00</w:t>
            </w:r>
          </w:p>
        </w:tc>
        <w:tc>
          <w:tcPr>
            <w:tcW w:w="1701" w:type="dxa"/>
            <w:tcBorders>
              <w:top w:val="nil"/>
              <w:left w:val="nil"/>
              <w:bottom w:val="nil"/>
              <w:right w:val="single" w:sz="8" w:space="0" w:color="auto"/>
            </w:tcBorders>
            <w:shd w:val="clear" w:color="auto" w:fill="auto"/>
            <w:noWrap/>
            <w:vAlign w:val="center"/>
            <w:hideMark/>
          </w:tcPr>
          <w:p w14:paraId="56988F99" w14:textId="31B87CBB" w:rsidR="002F131C" w:rsidRPr="00082C1F" w:rsidRDefault="002F131C" w:rsidP="002F131C">
            <w:pPr>
              <w:jc w:val="right"/>
              <w:rPr>
                <w:rFonts w:ascii="Montserrat Medium" w:eastAsia="Times New Roman" w:hAnsi="Montserrat Medium" w:cs="Calibri"/>
                <w:b/>
                <w:bCs/>
                <w:color w:val="000000"/>
                <w:sz w:val="16"/>
                <w:szCs w:val="16"/>
                <w:lang w:val="es-MX" w:eastAsia="es-MX"/>
              </w:rPr>
            </w:pPr>
            <w:r w:rsidRPr="00082C1F">
              <w:rPr>
                <w:rFonts w:ascii="Montserrat Medium" w:hAnsi="Montserrat Medium" w:cs="Calibri"/>
                <w:b/>
                <w:bCs/>
                <w:color w:val="000000"/>
                <w:sz w:val="16"/>
                <w:szCs w:val="16"/>
              </w:rPr>
              <w:t>-772,589,968.00</w:t>
            </w:r>
          </w:p>
        </w:tc>
      </w:tr>
      <w:tr w:rsidR="002F131C" w:rsidRPr="00082C1F" w14:paraId="2333B7FD"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182C9352"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Impuesto Sobre Tenencia o Uso de Vehículos</w:t>
            </w:r>
          </w:p>
        </w:tc>
        <w:tc>
          <w:tcPr>
            <w:tcW w:w="1568" w:type="dxa"/>
            <w:tcBorders>
              <w:top w:val="nil"/>
              <w:left w:val="nil"/>
              <w:bottom w:val="nil"/>
              <w:right w:val="single" w:sz="8" w:space="0" w:color="auto"/>
            </w:tcBorders>
            <w:shd w:val="clear" w:color="auto" w:fill="auto"/>
            <w:noWrap/>
            <w:vAlign w:val="center"/>
            <w:hideMark/>
          </w:tcPr>
          <w:p w14:paraId="011C7461" w14:textId="477DCAE6"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158,457.00</w:t>
            </w:r>
          </w:p>
        </w:tc>
        <w:tc>
          <w:tcPr>
            <w:tcW w:w="1834" w:type="dxa"/>
            <w:tcBorders>
              <w:top w:val="nil"/>
              <w:left w:val="nil"/>
              <w:bottom w:val="nil"/>
              <w:right w:val="single" w:sz="8" w:space="0" w:color="auto"/>
            </w:tcBorders>
            <w:shd w:val="clear" w:color="auto" w:fill="auto"/>
            <w:noWrap/>
            <w:vAlign w:val="center"/>
            <w:hideMark/>
          </w:tcPr>
          <w:p w14:paraId="3BA95A92" w14:textId="39C75DE1"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96,731.00</w:t>
            </w:r>
          </w:p>
        </w:tc>
        <w:tc>
          <w:tcPr>
            <w:tcW w:w="1701" w:type="dxa"/>
            <w:tcBorders>
              <w:top w:val="nil"/>
              <w:left w:val="nil"/>
              <w:bottom w:val="nil"/>
              <w:right w:val="single" w:sz="8" w:space="0" w:color="auto"/>
            </w:tcBorders>
            <w:shd w:val="clear" w:color="auto" w:fill="auto"/>
            <w:noWrap/>
            <w:vAlign w:val="center"/>
            <w:hideMark/>
          </w:tcPr>
          <w:p w14:paraId="6B0468C2" w14:textId="51DF12CE"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61,726.00</w:t>
            </w:r>
          </w:p>
        </w:tc>
      </w:tr>
      <w:tr w:rsidR="002F131C" w:rsidRPr="00082C1F" w14:paraId="68462E68"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122632C4"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Fondo de Compensación del ISAN</w:t>
            </w:r>
          </w:p>
        </w:tc>
        <w:tc>
          <w:tcPr>
            <w:tcW w:w="1568" w:type="dxa"/>
            <w:tcBorders>
              <w:top w:val="nil"/>
              <w:left w:val="nil"/>
              <w:bottom w:val="nil"/>
              <w:right w:val="single" w:sz="8" w:space="0" w:color="auto"/>
            </w:tcBorders>
            <w:shd w:val="clear" w:color="auto" w:fill="auto"/>
            <w:noWrap/>
            <w:vAlign w:val="center"/>
            <w:hideMark/>
          </w:tcPr>
          <w:p w14:paraId="5E76321D" w14:textId="5C12CC2D"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38,165,322.00</w:t>
            </w:r>
          </w:p>
        </w:tc>
        <w:tc>
          <w:tcPr>
            <w:tcW w:w="1834" w:type="dxa"/>
            <w:tcBorders>
              <w:top w:val="nil"/>
              <w:left w:val="nil"/>
              <w:bottom w:val="nil"/>
              <w:right w:val="single" w:sz="8" w:space="0" w:color="auto"/>
            </w:tcBorders>
            <w:shd w:val="clear" w:color="auto" w:fill="auto"/>
            <w:noWrap/>
            <w:vAlign w:val="center"/>
            <w:hideMark/>
          </w:tcPr>
          <w:p w14:paraId="776D631D" w14:textId="3AF7D1E7"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72,709,704.00</w:t>
            </w:r>
          </w:p>
        </w:tc>
        <w:tc>
          <w:tcPr>
            <w:tcW w:w="1701" w:type="dxa"/>
            <w:tcBorders>
              <w:top w:val="nil"/>
              <w:left w:val="nil"/>
              <w:bottom w:val="nil"/>
              <w:right w:val="single" w:sz="8" w:space="0" w:color="auto"/>
            </w:tcBorders>
            <w:shd w:val="clear" w:color="auto" w:fill="auto"/>
            <w:noWrap/>
            <w:vAlign w:val="center"/>
            <w:hideMark/>
          </w:tcPr>
          <w:p w14:paraId="3A8054E8" w14:textId="3454A1CB"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-34,544,382.00</w:t>
            </w:r>
          </w:p>
        </w:tc>
      </w:tr>
      <w:tr w:rsidR="002F131C" w:rsidRPr="00082C1F" w14:paraId="58ED2C5C"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676F3BB9"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Impuesto Sobre Automóviles Nuevos</w:t>
            </w:r>
          </w:p>
        </w:tc>
        <w:tc>
          <w:tcPr>
            <w:tcW w:w="1568" w:type="dxa"/>
            <w:tcBorders>
              <w:top w:val="nil"/>
              <w:left w:val="nil"/>
              <w:bottom w:val="nil"/>
              <w:right w:val="single" w:sz="8" w:space="0" w:color="auto"/>
            </w:tcBorders>
            <w:shd w:val="clear" w:color="auto" w:fill="auto"/>
            <w:noWrap/>
            <w:vAlign w:val="center"/>
            <w:hideMark/>
          </w:tcPr>
          <w:p w14:paraId="31531049" w14:textId="13FBE21A"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209,330,918.00</w:t>
            </w:r>
          </w:p>
        </w:tc>
        <w:tc>
          <w:tcPr>
            <w:tcW w:w="1834" w:type="dxa"/>
            <w:tcBorders>
              <w:top w:val="nil"/>
              <w:left w:val="nil"/>
              <w:bottom w:val="nil"/>
              <w:right w:val="single" w:sz="8" w:space="0" w:color="auto"/>
            </w:tcBorders>
            <w:shd w:val="clear" w:color="auto" w:fill="auto"/>
            <w:noWrap/>
            <w:vAlign w:val="center"/>
            <w:hideMark/>
          </w:tcPr>
          <w:p w14:paraId="5AA47F75" w14:textId="2C7F8CBC"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380,492,288.00</w:t>
            </w:r>
          </w:p>
        </w:tc>
        <w:tc>
          <w:tcPr>
            <w:tcW w:w="1701" w:type="dxa"/>
            <w:tcBorders>
              <w:top w:val="nil"/>
              <w:left w:val="nil"/>
              <w:bottom w:val="nil"/>
              <w:right w:val="single" w:sz="8" w:space="0" w:color="auto"/>
            </w:tcBorders>
            <w:shd w:val="clear" w:color="auto" w:fill="auto"/>
            <w:noWrap/>
            <w:vAlign w:val="center"/>
            <w:hideMark/>
          </w:tcPr>
          <w:p w14:paraId="73BA9B85" w14:textId="1B44CE15"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-171,161,370.00</w:t>
            </w:r>
          </w:p>
        </w:tc>
      </w:tr>
      <w:tr w:rsidR="002F131C" w:rsidRPr="00082C1F" w14:paraId="49596A4C" w14:textId="77777777" w:rsidTr="006F6606">
        <w:trPr>
          <w:trHeight w:val="255"/>
        </w:trPr>
        <w:tc>
          <w:tcPr>
            <w:tcW w:w="4536" w:type="dxa"/>
            <w:tcBorders>
              <w:top w:val="nil"/>
              <w:left w:val="single" w:sz="8" w:space="0" w:color="auto"/>
              <w:right w:val="single" w:sz="8" w:space="0" w:color="auto"/>
            </w:tcBorders>
            <w:shd w:val="clear" w:color="auto" w:fill="auto"/>
            <w:vAlign w:val="center"/>
            <w:hideMark/>
          </w:tcPr>
          <w:p w14:paraId="1DCBA6C2"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 xml:space="preserve">Fondo de Compensación de </w:t>
            </w:r>
            <w:proofErr w:type="spellStart"/>
            <w:r w:rsidRPr="00082C1F">
              <w:rPr>
                <w:rFonts w:ascii="Montserrat Medium" w:eastAsia="Times New Roman" w:hAnsi="Montserrat Medium" w:cs="Calibri"/>
                <w:color w:val="000000"/>
                <w:sz w:val="16"/>
                <w:szCs w:val="16"/>
                <w:lang w:val="es-MX" w:eastAsia="es-MX"/>
              </w:rPr>
              <w:t>Repecos</w:t>
            </w:r>
            <w:proofErr w:type="spellEnd"/>
            <w:r w:rsidRPr="00082C1F">
              <w:rPr>
                <w:rFonts w:ascii="Montserrat Medium" w:eastAsia="Times New Roman" w:hAnsi="Montserrat Medium" w:cs="Calibri"/>
                <w:color w:val="000000"/>
                <w:sz w:val="16"/>
                <w:szCs w:val="16"/>
                <w:lang w:val="es-MX" w:eastAsia="es-MX"/>
              </w:rPr>
              <w:t xml:space="preserve"> e Intermedios</w:t>
            </w:r>
          </w:p>
        </w:tc>
        <w:tc>
          <w:tcPr>
            <w:tcW w:w="1568" w:type="dxa"/>
            <w:tcBorders>
              <w:top w:val="nil"/>
              <w:left w:val="nil"/>
              <w:right w:val="single" w:sz="8" w:space="0" w:color="auto"/>
            </w:tcBorders>
            <w:shd w:val="clear" w:color="auto" w:fill="auto"/>
            <w:noWrap/>
            <w:vAlign w:val="center"/>
            <w:hideMark/>
          </w:tcPr>
          <w:p w14:paraId="28C91215" w14:textId="34CD8652"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6,344,805.00</w:t>
            </w:r>
          </w:p>
        </w:tc>
        <w:tc>
          <w:tcPr>
            <w:tcW w:w="1834" w:type="dxa"/>
            <w:tcBorders>
              <w:top w:val="nil"/>
              <w:left w:val="nil"/>
              <w:right w:val="single" w:sz="8" w:space="0" w:color="auto"/>
            </w:tcBorders>
            <w:shd w:val="clear" w:color="auto" w:fill="auto"/>
            <w:noWrap/>
            <w:vAlign w:val="center"/>
            <w:hideMark/>
          </w:tcPr>
          <w:p w14:paraId="44C76C8C" w14:textId="5996E13A"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13,893,987.00</w:t>
            </w:r>
          </w:p>
        </w:tc>
        <w:tc>
          <w:tcPr>
            <w:tcW w:w="1701" w:type="dxa"/>
            <w:tcBorders>
              <w:top w:val="nil"/>
              <w:left w:val="nil"/>
              <w:right w:val="single" w:sz="8" w:space="0" w:color="auto"/>
            </w:tcBorders>
            <w:shd w:val="clear" w:color="auto" w:fill="auto"/>
            <w:noWrap/>
            <w:vAlign w:val="center"/>
            <w:hideMark/>
          </w:tcPr>
          <w:p w14:paraId="319C0430" w14:textId="43231880"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-7,549,182.00</w:t>
            </w:r>
          </w:p>
        </w:tc>
      </w:tr>
      <w:tr w:rsidR="002F131C" w:rsidRPr="00082C1F" w14:paraId="5817BFEE" w14:textId="77777777" w:rsidTr="006F6606">
        <w:trPr>
          <w:trHeight w:val="255"/>
        </w:trPr>
        <w:tc>
          <w:tcPr>
            <w:tcW w:w="4536" w:type="dxa"/>
            <w:tcBorders>
              <w:top w:val="nil"/>
              <w:left w:val="single" w:sz="8" w:space="0" w:color="auto"/>
              <w:right w:val="single" w:sz="8" w:space="0" w:color="auto"/>
            </w:tcBorders>
            <w:shd w:val="clear" w:color="auto" w:fill="auto"/>
            <w:vAlign w:val="center"/>
            <w:hideMark/>
          </w:tcPr>
          <w:p w14:paraId="064FBCAE"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Otros ingresos por coordinación</w:t>
            </w:r>
          </w:p>
        </w:tc>
        <w:tc>
          <w:tcPr>
            <w:tcW w:w="1568" w:type="dxa"/>
            <w:tcBorders>
              <w:top w:val="nil"/>
              <w:left w:val="nil"/>
              <w:right w:val="single" w:sz="8" w:space="0" w:color="auto"/>
            </w:tcBorders>
            <w:shd w:val="clear" w:color="auto" w:fill="auto"/>
            <w:noWrap/>
            <w:vAlign w:val="center"/>
            <w:hideMark/>
          </w:tcPr>
          <w:p w14:paraId="3C06153C" w14:textId="3EC8148E"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851,441,990.00</w:t>
            </w:r>
          </w:p>
        </w:tc>
        <w:tc>
          <w:tcPr>
            <w:tcW w:w="1834" w:type="dxa"/>
            <w:tcBorders>
              <w:top w:val="nil"/>
              <w:left w:val="nil"/>
              <w:right w:val="single" w:sz="8" w:space="0" w:color="auto"/>
            </w:tcBorders>
            <w:shd w:val="clear" w:color="auto" w:fill="auto"/>
            <w:noWrap/>
            <w:vAlign w:val="center"/>
            <w:hideMark/>
          </w:tcPr>
          <w:p w14:paraId="50697736" w14:textId="71D53FD7"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1,410,838,750.00</w:t>
            </w:r>
          </w:p>
        </w:tc>
        <w:tc>
          <w:tcPr>
            <w:tcW w:w="1701" w:type="dxa"/>
            <w:tcBorders>
              <w:top w:val="nil"/>
              <w:left w:val="nil"/>
              <w:right w:val="single" w:sz="4" w:space="0" w:color="auto"/>
            </w:tcBorders>
            <w:shd w:val="clear" w:color="auto" w:fill="auto"/>
            <w:noWrap/>
            <w:vAlign w:val="center"/>
            <w:hideMark/>
          </w:tcPr>
          <w:p w14:paraId="790F3957" w14:textId="00F880C3"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-559,396,760.00</w:t>
            </w:r>
          </w:p>
        </w:tc>
      </w:tr>
      <w:tr w:rsidR="002F131C" w:rsidRPr="00082C1F" w14:paraId="666938F9" w14:textId="77777777" w:rsidTr="00050920">
        <w:trPr>
          <w:trHeight w:val="255"/>
        </w:trPr>
        <w:tc>
          <w:tcPr>
            <w:tcW w:w="4536" w:type="dxa"/>
            <w:tcBorders>
              <w:top w:val="nil"/>
              <w:left w:val="single" w:sz="8" w:space="0" w:color="auto"/>
              <w:right w:val="single" w:sz="8" w:space="0" w:color="auto"/>
            </w:tcBorders>
            <w:shd w:val="clear" w:color="auto" w:fill="auto"/>
            <w:vAlign w:val="center"/>
            <w:hideMark/>
          </w:tcPr>
          <w:p w14:paraId="222AFB15" w14:textId="77777777" w:rsidR="002F131C" w:rsidRPr="00082C1F" w:rsidRDefault="002F131C" w:rsidP="002F131C">
            <w:pPr>
              <w:rPr>
                <w:rFonts w:ascii="Montserrat Medium" w:eastAsia="Times New Roman" w:hAnsi="Montserrat Medium" w:cs="Calibri"/>
                <w:b/>
                <w:bCs/>
                <w:color w:val="000000"/>
                <w:sz w:val="16"/>
                <w:szCs w:val="16"/>
                <w:lang w:val="es-MX" w:eastAsia="es-MX"/>
              </w:rPr>
            </w:pPr>
            <w:r w:rsidRPr="00082C1F">
              <w:rPr>
                <w:rFonts w:ascii="Montserrat Medium" w:eastAsia="Times New Roman" w:hAnsi="Montserrat Medium" w:cs="Calibri"/>
                <w:b/>
                <w:bCs/>
                <w:color w:val="000000"/>
                <w:sz w:val="16"/>
                <w:szCs w:val="16"/>
                <w:lang w:val="es-MX" w:eastAsia="es-MX"/>
              </w:rPr>
              <w:t>Fondos distintos de aportaciones</w:t>
            </w:r>
          </w:p>
        </w:tc>
        <w:tc>
          <w:tcPr>
            <w:tcW w:w="1568" w:type="dxa"/>
            <w:tcBorders>
              <w:top w:val="nil"/>
              <w:left w:val="nil"/>
              <w:right w:val="single" w:sz="8" w:space="0" w:color="auto"/>
            </w:tcBorders>
            <w:shd w:val="clear" w:color="auto" w:fill="auto"/>
            <w:noWrap/>
            <w:vAlign w:val="center"/>
            <w:hideMark/>
          </w:tcPr>
          <w:p w14:paraId="65EF2480" w14:textId="6B6B576F" w:rsidR="002F131C" w:rsidRPr="00082C1F" w:rsidRDefault="002F131C" w:rsidP="002F131C">
            <w:pPr>
              <w:jc w:val="right"/>
              <w:rPr>
                <w:rFonts w:ascii="Montserrat Medium" w:eastAsia="Times New Roman" w:hAnsi="Montserrat Medium" w:cs="Calibri"/>
                <w:b/>
                <w:bCs/>
                <w:color w:val="000000"/>
                <w:sz w:val="16"/>
                <w:szCs w:val="16"/>
                <w:lang w:val="es-MX" w:eastAsia="es-MX"/>
              </w:rPr>
            </w:pPr>
            <w:r w:rsidRPr="00082C1F">
              <w:rPr>
                <w:rFonts w:ascii="Montserrat Medium" w:hAnsi="Montserrat Medium" w:cs="Calibri"/>
                <w:b/>
                <w:bCs/>
                <w:color w:val="000000"/>
                <w:sz w:val="16"/>
                <w:szCs w:val="16"/>
              </w:rPr>
              <w:t>0.00</w:t>
            </w:r>
          </w:p>
        </w:tc>
        <w:tc>
          <w:tcPr>
            <w:tcW w:w="1834" w:type="dxa"/>
            <w:tcBorders>
              <w:top w:val="nil"/>
              <w:left w:val="nil"/>
              <w:right w:val="single" w:sz="8" w:space="0" w:color="auto"/>
            </w:tcBorders>
            <w:shd w:val="clear" w:color="auto" w:fill="auto"/>
            <w:noWrap/>
            <w:vAlign w:val="center"/>
            <w:hideMark/>
          </w:tcPr>
          <w:p w14:paraId="22583478" w14:textId="57DE1389" w:rsidR="002F131C" w:rsidRPr="00082C1F" w:rsidRDefault="002F131C" w:rsidP="002F131C">
            <w:pPr>
              <w:jc w:val="right"/>
              <w:rPr>
                <w:rFonts w:ascii="Montserrat Medium" w:eastAsia="Times New Roman" w:hAnsi="Montserrat Medium" w:cs="Calibri"/>
                <w:b/>
                <w:bCs/>
                <w:color w:val="000000"/>
                <w:sz w:val="16"/>
                <w:szCs w:val="16"/>
                <w:lang w:val="es-MX" w:eastAsia="es-MX"/>
              </w:rPr>
            </w:pPr>
            <w:r w:rsidRPr="00082C1F">
              <w:rPr>
                <w:rFonts w:ascii="Montserrat Medium" w:hAnsi="Montserrat Medium" w:cs="Calibri"/>
                <w:b/>
                <w:bCs/>
                <w:color w:val="000000"/>
                <w:sz w:val="16"/>
                <w:szCs w:val="16"/>
              </w:rPr>
              <w:t>0.00</w:t>
            </w:r>
          </w:p>
        </w:tc>
        <w:tc>
          <w:tcPr>
            <w:tcW w:w="1701" w:type="dxa"/>
            <w:tcBorders>
              <w:top w:val="nil"/>
              <w:left w:val="nil"/>
              <w:right w:val="single" w:sz="4" w:space="0" w:color="auto"/>
            </w:tcBorders>
            <w:shd w:val="clear" w:color="auto" w:fill="auto"/>
            <w:noWrap/>
            <w:vAlign w:val="center"/>
            <w:hideMark/>
          </w:tcPr>
          <w:p w14:paraId="2CE19DA3" w14:textId="0859427F" w:rsidR="002F131C" w:rsidRPr="00082C1F" w:rsidRDefault="002F131C" w:rsidP="002F131C">
            <w:pPr>
              <w:jc w:val="right"/>
              <w:rPr>
                <w:rFonts w:ascii="Montserrat Medium" w:eastAsia="Times New Roman" w:hAnsi="Montserrat Medium" w:cs="Calibri"/>
                <w:b/>
                <w:bCs/>
                <w:color w:val="000000"/>
                <w:sz w:val="16"/>
                <w:szCs w:val="16"/>
                <w:lang w:val="es-MX" w:eastAsia="es-MX"/>
              </w:rPr>
            </w:pPr>
            <w:r w:rsidRPr="00082C1F">
              <w:rPr>
                <w:rFonts w:ascii="Montserrat Medium" w:hAnsi="Montserrat Medium" w:cs="Calibri"/>
                <w:b/>
                <w:bCs/>
                <w:color w:val="000000"/>
                <w:sz w:val="16"/>
                <w:szCs w:val="16"/>
              </w:rPr>
              <w:t>0.00</w:t>
            </w:r>
          </w:p>
        </w:tc>
      </w:tr>
      <w:tr w:rsidR="002F131C" w:rsidRPr="00082C1F" w14:paraId="4E6744AC" w14:textId="77777777" w:rsidTr="00050920">
        <w:trPr>
          <w:trHeight w:val="255"/>
        </w:trPr>
        <w:tc>
          <w:tcPr>
            <w:tcW w:w="4536" w:type="dxa"/>
            <w:tcBorders>
              <w:left w:val="single" w:sz="8" w:space="0" w:color="auto"/>
              <w:right w:val="single" w:sz="8" w:space="0" w:color="auto"/>
            </w:tcBorders>
            <w:shd w:val="clear" w:color="000000" w:fill="BFBFBF"/>
            <w:vAlign w:val="center"/>
            <w:hideMark/>
          </w:tcPr>
          <w:p w14:paraId="6DBBA296" w14:textId="77777777" w:rsidR="002F131C" w:rsidRPr="00082C1F" w:rsidRDefault="002F131C" w:rsidP="002F131C">
            <w:pPr>
              <w:rPr>
                <w:rFonts w:ascii="Montserrat Medium" w:eastAsia="Times New Roman" w:hAnsi="Montserrat Medium" w:cs="Calibri"/>
                <w:b/>
                <w:bCs/>
                <w:color w:val="000000"/>
                <w:sz w:val="16"/>
                <w:szCs w:val="16"/>
                <w:lang w:val="es-MX" w:eastAsia="es-MX"/>
              </w:rPr>
            </w:pPr>
            <w:r w:rsidRPr="00082C1F">
              <w:rPr>
                <w:rFonts w:ascii="Montserrat Medium" w:eastAsia="Times New Roman" w:hAnsi="Montserrat Medium" w:cs="Calibri"/>
                <w:b/>
                <w:bCs/>
                <w:color w:val="000000"/>
                <w:sz w:val="16"/>
                <w:szCs w:val="16"/>
                <w:lang w:val="es-MX" w:eastAsia="es-MX"/>
              </w:rPr>
              <w:t>Transferencias, asignaciones, subsidios y subvenciones, y pensiones y jubilaciones</w:t>
            </w:r>
          </w:p>
        </w:tc>
        <w:tc>
          <w:tcPr>
            <w:tcW w:w="1568" w:type="dxa"/>
            <w:tcBorders>
              <w:left w:val="nil"/>
              <w:right w:val="single" w:sz="8" w:space="0" w:color="auto"/>
            </w:tcBorders>
            <w:shd w:val="clear" w:color="000000" w:fill="BFBFBF"/>
            <w:noWrap/>
            <w:vAlign w:val="center"/>
            <w:hideMark/>
          </w:tcPr>
          <w:p w14:paraId="5259578A" w14:textId="5BD7A9BE" w:rsidR="002F131C" w:rsidRPr="00082C1F" w:rsidRDefault="002F131C" w:rsidP="002F131C">
            <w:pPr>
              <w:jc w:val="right"/>
              <w:rPr>
                <w:rFonts w:ascii="Montserrat Medium" w:eastAsia="Times New Roman" w:hAnsi="Montserrat Medium" w:cs="Calibri"/>
                <w:b/>
                <w:bCs/>
                <w:color w:val="000000"/>
                <w:sz w:val="16"/>
                <w:szCs w:val="16"/>
                <w:lang w:val="es-MX" w:eastAsia="es-MX"/>
              </w:rPr>
            </w:pPr>
            <w:r w:rsidRPr="00082C1F">
              <w:rPr>
                <w:rFonts w:ascii="Montserrat Medium" w:hAnsi="Montserrat Medium" w:cs="Calibri"/>
                <w:b/>
                <w:bCs/>
                <w:color w:val="000000"/>
                <w:sz w:val="16"/>
                <w:szCs w:val="16"/>
              </w:rPr>
              <w:t>0.00</w:t>
            </w:r>
          </w:p>
        </w:tc>
        <w:tc>
          <w:tcPr>
            <w:tcW w:w="1834" w:type="dxa"/>
            <w:tcBorders>
              <w:left w:val="nil"/>
              <w:right w:val="single" w:sz="8" w:space="0" w:color="auto"/>
            </w:tcBorders>
            <w:shd w:val="clear" w:color="000000" w:fill="BFBFBF"/>
            <w:noWrap/>
            <w:vAlign w:val="center"/>
            <w:hideMark/>
          </w:tcPr>
          <w:p w14:paraId="48803D7F" w14:textId="083B9687" w:rsidR="002F131C" w:rsidRPr="00082C1F" w:rsidRDefault="002F131C" w:rsidP="002F131C">
            <w:pPr>
              <w:jc w:val="right"/>
              <w:rPr>
                <w:rFonts w:ascii="Montserrat Medium" w:eastAsia="Times New Roman" w:hAnsi="Montserrat Medium" w:cs="Calibri"/>
                <w:b/>
                <w:bCs/>
                <w:color w:val="000000"/>
                <w:sz w:val="16"/>
                <w:szCs w:val="16"/>
                <w:lang w:val="es-MX" w:eastAsia="es-MX"/>
              </w:rPr>
            </w:pPr>
            <w:r w:rsidRPr="00082C1F">
              <w:rPr>
                <w:rFonts w:ascii="Montserrat Medium" w:hAnsi="Montserrat Medium" w:cs="Calibri"/>
                <w:b/>
                <w:bCs/>
                <w:color w:val="000000"/>
                <w:sz w:val="16"/>
                <w:szCs w:val="16"/>
              </w:rPr>
              <w:t>0.00</w:t>
            </w:r>
          </w:p>
        </w:tc>
        <w:tc>
          <w:tcPr>
            <w:tcW w:w="1701" w:type="dxa"/>
            <w:tcBorders>
              <w:left w:val="nil"/>
              <w:right w:val="single" w:sz="8" w:space="0" w:color="auto"/>
            </w:tcBorders>
            <w:shd w:val="clear" w:color="000000" w:fill="BFBFBF"/>
            <w:noWrap/>
            <w:vAlign w:val="center"/>
            <w:hideMark/>
          </w:tcPr>
          <w:p w14:paraId="7AC40E58" w14:textId="3808FAF4" w:rsidR="002F131C" w:rsidRPr="00082C1F" w:rsidRDefault="002F131C" w:rsidP="002F131C">
            <w:pPr>
              <w:jc w:val="right"/>
              <w:rPr>
                <w:rFonts w:ascii="Montserrat Medium" w:eastAsia="Times New Roman" w:hAnsi="Montserrat Medium" w:cs="Calibri"/>
                <w:b/>
                <w:bCs/>
                <w:color w:val="000000"/>
                <w:sz w:val="16"/>
                <w:szCs w:val="16"/>
                <w:lang w:val="es-MX" w:eastAsia="es-MX"/>
              </w:rPr>
            </w:pPr>
            <w:r w:rsidRPr="00082C1F">
              <w:rPr>
                <w:rFonts w:ascii="Montserrat Medium" w:hAnsi="Montserrat Medium" w:cs="Calibri"/>
                <w:b/>
                <w:bCs/>
                <w:color w:val="000000"/>
                <w:sz w:val="16"/>
                <w:szCs w:val="16"/>
              </w:rPr>
              <w:t>0.00</w:t>
            </w:r>
          </w:p>
        </w:tc>
      </w:tr>
      <w:tr w:rsidR="002F131C" w:rsidRPr="00082C1F" w14:paraId="070BD8FC" w14:textId="77777777" w:rsidTr="00050920">
        <w:trPr>
          <w:trHeight w:val="255"/>
        </w:trPr>
        <w:tc>
          <w:tcPr>
            <w:tcW w:w="4536" w:type="dxa"/>
            <w:tcBorders>
              <w:left w:val="single" w:sz="8" w:space="0" w:color="auto"/>
              <w:right w:val="single" w:sz="8" w:space="0" w:color="auto"/>
            </w:tcBorders>
            <w:shd w:val="clear" w:color="auto" w:fill="auto"/>
            <w:vAlign w:val="center"/>
            <w:hideMark/>
          </w:tcPr>
          <w:p w14:paraId="6AC25A51"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Transferencias y asignaciones</w:t>
            </w:r>
          </w:p>
        </w:tc>
        <w:tc>
          <w:tcPr>
            <w:tcW w:w="1568" w:type="dxa"/>
            <w:tcBorders>
              <w:left w:val="nil"/>
              <w:right w:val="single" w:sz="8" w:space="0" w:color="auto"/>
            </w:tcBorders>
            <w:shd w:val="clear" w:color="auto" w:fill="auto"/>
            <w:noWrap/>
            <w:vAlign w:val="center"/>
            <w:hideMark/>
          </w:tcPr>
          <w:p w14:paraId="3D0FBB7B" w14:textId="7830838F"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0.00</w:t>
            </w:r>
          </w:p>
        </w:tc>
        <w:tc>
          <w:tcPr>
            <w:tcW w:w="1834" w:type="dxa"/>
            <w:tcBorders>
              <w:left w:val="nil"/>
              <w:right w:val="single" w:sz="8" w:space="0" w:color="auto"/>
            </w:tcBorders>
            <w:shd w:val="clear" w:color="auto" w:fill="auto"/>
            <w:noWrap/>
            <w:vAlign w:val="center"/>
            <w:hideMark/>
          </w:tcPr>
          <w:p w14:paraId="1F98204C" w14:textId="7CE4CFDD"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0.00</w:t>
            </w:r>
          </w:p>
        </w:tc>
        <w:tc>
          <w:tcPr>
            <w:tcW w:w="1701" w:type="dxa"/>
            <w:tcBorders>
              <w:left w:val="nil"/>
              <w:right w:val="single" w:sz="8" w:space="0" w:color="auto"/>
            </w:tcBorders>
            <w:shd w:val="clear" w:color="auto" w:fill="auto"/>
            <w:noWrap/>
            <w:vAlign w:val="center"/>
            <w:hideMark/>
          </w:tcPr>
          <w:p w14:paraId="2A1BC972" w14:textId="3E5B565A"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0.00</w:t>
            </w:r>
          </w:p>
        </w:tc>
      </w:tr>
      <w:tr w:rsidR="002F131C" w:rsidRPr="00082C1F" w14:paraId="2CDA1921" w14:textId="77777777" w:rsidTr="00050920">
        <w:trPr>
          <w:trHeight w:val="255"/>
        </w:trPr>
        <w:tc>
          <w:tcPr>
            <w:tcW w:w="4536" w:type="dxa"/>
            <w:tcBorders>
              <w:left w:val="single" w:sz="8" w:space="0" w:color="auto"/>
              <w:bottom w:val="nil"/>
              <w:right w:val="single" w:sz="8" w:space="0" w:color="auto"/>
            </w:tcBorders>
            <w:shd w:val="clear" w:color="auto" w:fill="auto"/>
            <w:vAlign w:val="center"/>
            <w:hideMark/>
          </w:tcPr>
          <w:p w14:paraId="6C8FE25B"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Subsidios y subvenciones</w:t>
            </w:r>
          </w:p>
        </w:tc>
        <w:tc>
          <w:tcPr>
            <w:tcW w:w="1568" w:type="dxa"/>
            <w:tcBorders>
              <w:left w:val="nil"/>
              <w:bottom w:val="nil"/>
              <w:right w:val="single" w:sz="8" w:space="0" w:color="auto"/>
            </w:tcBorders>
            <w:shd w:val="clear" w:color="auto" w:fill="auto"/>
            <w:noWrap/>
            <w:vAlign w:val="center"/>
            <w:hideMark/>
          </w:tcPr>
          <w:p w14:paraId="66EBC0B5" w14:textId="684F7899"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0.00</w:t>
            </w:r>
          </w:p>
        </w:tc>
        <w:tc>
          <w:tcPr>
            <w:tcW w:w="1834" w:type="dxa"/>
            <w:tcBorders>
              <w:left w:val="nil"/>
              <w:bottom w:val="nil"/>
              <w:right w:val="single" w:sz="8" w:space="0" w:color="auto"/>
            </w:tcBorders>
            <w:shd w:val="clear" w:color="auto" w:fill="auto"/>
            <w:noWrap/>
            <w:vAlign w:val="center"/>
            <w:hideMark/>
          </w:tcPr>
          <w:p w14:paraId="7D4CBF22" w14:textId="63C85FB1"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0.00</w:t>
            </w:r>
          </w:p>
        </w:tc>
        <w:tc>
          <w:tcPr>
            <w:tcW w:w="1701" w:type="dxa"/>
            <w:tcBorders>
              <w:left w:val="nil"/>
              <w:bottom w:val="nil"/>
              <w:right w:val="single" w:sz="8" w:space="0" w:color="auto"/>
            </w:tcBorders>
            <w:shd w:val="clear" w:color="auto" w:fill="auto"/>
            <w:noWrap/>
            <w:vAlign w:val="center"/>
            <w:hideMark/>
          </w:tcPr>
          <w:p w14:paraId="044D8453" w14:textId="7D51317B"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0.00</w:t>
            </w:r>
          </w:p>
        </w:tc>
      </w:tr>
      <w:tr w:rsidR="002F131C" w:rsidRPr="00082C1F" w14:paraId="25094B30" w14:textId="77777777" w:rsidTr="00050920">
        <w:trPr>
          <w:trHeight w:val="255"/>
        </w:trPr>
        <w:tc>
          <w:tcPr>
            <w:tcW w:w="4536" w:type="dxa"/>
            <w:tcBorders>
              <w:top w:val="nil"/>
              <w:left w:val="single" w:sz="8" w:space="0" w:color="auto"/>
              <w:right w:val="single" w:sz="8" w:space="0" w:color="auto"/>
            </w:tcBorders>
            <w:shd w:val="clear" w:color="auto" w:fill="auto"/>
            <w:vAlign w:val="center"/>
            <w:hideMark/>
          </w:tcPr>
          <w:p w14:paraId="4602CA93"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Pensiones y jubilaciones</w:t>
            </w:r>
          </w:p>
        </w:tc>
        <w:tc>
          <w:tcPr>
            <w:tcW w:w="1568" w:type="dxa"/>
            <w:tcBorders>
              <w:top w:val="nil"/>
              <w:left w:val="nil"/>
              <w:right w:val="single" w:sz="8" w:space="0" w:color="auto"/>
            </w:tcBorders>
            <w:shd w:val="clear" w:color="auto" w:fill="auto"/>
            <w:noWrap/>
            <w:vAlign w:val="center"/>
            <w:hideMark/>
          </w:tcPr>
          <w:p w14:paraId="74223D18" w14:textId="0472C9DF"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0.00</w:t>
            </w:r>
          </w:p>
        </w:tc>
        <w:tc>
          <w:tcPr>
            <w:tcW w:w="1834" w:type="dxa"/>
            <w:tcBorders>
              <w:top w:val="nil"/>
              <w:left w:val="nil"/>
              <w:right w:val="single" w:sz="8" w:space="0" w:color="auto"/>
            </w:tcBorders>
            <w:shd w:val="clear" w:color="auto" w:fill="auto"/>
            <w:noWrap/>
            <w:vAlign w:val="center"/>
            <w:hideMark/>
          </w:tcPr>
          <w:p w14:paraId="608EBDCC" w14:textId="070FE1A1"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0.00</w:t>
            </w:r>
          </w:p>
        </w:tc>
        <w:tc>
          <w:tcPr>
            <w:tcW w:w="1701" w:type="dxa"/>
            <w:tcBorders>
              <w:top w:val="nil"/>
              <w:left w:val="nil"/>
              <w:right w:val="single" w:sz="8" w:space="0" w:color="auto"/>
            </w:tcBorders>
            <w:shd w:val="clear" w:color="auto" w:fill="auto"/>
            <w:noWrap/>
            <w:vAlign w:val="center"/>
            <w:hideMark/>
          </w:tcPr>
          <w:p w14:paraId="5F143384" w14:textId="122B88E6"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0.00</w:t>
            </w:r>
          </w:p>
        </w:tc>
      </w:tr>
      <w:tr w:rsidR="002F131C" w:rsidRPr="00082C1F" w14:paraId="751FC2FE" w14:textId="77777777" w:rsidTr="00050920">
        <w:trPr>
          <w:trHeight w:val="255"/>
        </w:trPr>
        <w:tc>
          <w:tcPr>
            <w:tcW w:w="4536" w:type="dxa"/>
            <w:tcBorders>
              <w:top w:val="nil"/>
              <w:left w:val="single" w:sz="8" w:space="0" w:color="auto"/>
              <w:right w:val="single" w:sz="8" w:space="0" w:color="auto"/>
            </w:tcBorders>
            <w:shd w:val="clear" w:color="auto" w:fill="auto"/>
            <w:vAlign w:val="center"/>
            <w:hideMark/>
          </w:tcPr>
          <w:p w14:paraId="70962A0E" w14:textId="77777777" w:rsidR="002F131C" w:rsidRPr="00082C1F" w:rsidRDefault="002F131C" w:rsidP="002F131C">
            <w:pPr>
              <w:rPr>
                <w:rFonts w:ascii="Montserrat Medium" w:eastAsia="Times New Roman" w:hAnsi="Montserrat Medium" w:cs="Calibri"/>
                <w:color w:val="000000"/>
                <w:sz w:val="16"/>
                <w:szCs w:val="16"/>
                <w:lang w:val="es-MX" w:eastAsia="es-MX"/>
              </w:rPr>
            </w:pPr>
            <w:r w:rsidRPr="00082C1F">
              <w:rPr>
                <w:rFonts w:ascii="Montserrat Medium" w:eastAsia="Times New Roman" w:hAnsi="Montserrat Medium" w:cs="Calibri"/>
                <w:color w:val="000000"/>
                <w:sz w:val="16"/>
                <w:szCs w:val="16"/>
                <w:lang w:val="es-MX" w:eastAsia="es-MX"/>
              </w:rPr>
              <w:t>Transferencias del Fondo Mexicano del Petróleo para la Estabilización y el Desarrollo</w:t>
            </w:r>
          </w:p>
        </w:tc>
        <w:tc>
          <w:tcPr>
            <w:tcW w:w="1568" w:type="dxa"/>
            <w:tcBorders>
              <w:top w:val="nil"/>
              <w:left w:val="nil"/>
              <w:right w:val="single" w:sz="8" w:space="0" w:color="auto"/>
            </w:tcBorders>
            <w:shd w:val="clear" w:color="auto" w:fill="auto"/>
            <w:noWrap/>
            <w:vAlign w:val="center"/>
            <w:hideMark/>
          </w:tcPr>
          <w:p w14:paraId="4BD84F13" w14:textId="5A8492F3"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0.00</w:t>
            </w:r>
          </w:p>
        </w:tc>
        <w:tc>
          <w:tcPr>
            <w:tcW w:w="1834" w:type="dxa"/>
            <w:tcBorders>
              <w:top w:val="nil"/>
              <w:left w:val="nil"/>
              <w:right w:val="single" w:sz="8" w:space="0" w:color="auto"/>
            </w:tcBorders>
            <w:shd w:val="clear" w:color="auto" w:fill="auto"/>
            <w:noWrap/>
            <w:vAlign w:val="center"/>
            <w:hideMark/>
          </w:tcPr>
          <w:p w14:paraId="445E6CA3" w14:textId="2C937F33"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0.00</w:t>
            </w:r>
          </w:p>
        </w:tc>
        <w:tc>
          <w:tcPr>
            <w:tcW w:w="1701" w:type="dxa"/>
            <w:tcBorders>
              <w:top w:val="nil"/>
              <w:left w:val="nil"/>
              <w:right w:val="single" w:sz="8" w:space="0" w:color="auto"/>
            </w:tcBorders>
            <w:shd w:val="clear" w:color="auto" w:fill="auto"/>
            <w:noWrap/>
            <w:vAlign w:val="center"/>
            <w:hideMark/>
          </w:tcPr>
          <w:p w14:paraId="757A6FCB" w14:textId="210C0DBF" w:rsidR="002F131C" w:rsidRPr="00082C1F" w:rsidRDefault="002F131C" w:rsidP="002F131C">
            <w:pPr>
              <w:jc w:val="right"/>
              <w:rPr>
                <w:rFonts w:ascii="Montserrat Medium" w:eastAsia="Times New Roman" w:hAnsi="Montserrat Medium" w:cs="Calibri"/>
                <w:color w:val="000000"/>
                <w:sz w:val="16"/>
                <w:szCs w:val="16"/>
                <w:lang w:val="es-MX" w:eastAsia="es-MX"/>
              </w:rPr>
            </w:pPr>
            <w:r w:rsidRPr="00082C1F">
              <w:rPr>
                <w:rFonts w:ascii="Montserrat Medium" w:hAnsi="Montserrat Medium" w:cs="Calibri"/>
                <w:color w:val="000000"/>
                <w:sz w:val="16"/>
                <w:szCs w:val="16"/>
              </w:rPr>
              <w:t>0.00</w:t>
            </w:r>
          </w:p>
        </w:tc>
      </w:tr>
      <w:tr w:rsidR="002F131C" w:rsidRPr="00082C1F" w14:paraId="67A3747D" w14:textId="77777777" w:rsidTr="00050920">
        <w:trPr>
          <w:trHeight w:val="255"/>
        </w:trPr>
        <w:tc>
          <w:tcPr>
            <w:tcW w:w="4536" w:type="dxa"/>
            <w:tcBorders>
              <w:left w:val="single" w:sz="8" w:space="0" w:color="auto"/>
              <w:bottom w:val="single" w:sz="8" w:space="0" w:color="auto"/>
              <w:right w:val="single" w:sz="8" w:space="0" w:color="auto"/>
            </w:tcBorders>
            <w:shd w:val="clear" w:color="auto" w:fill="auto"/>
            <w:vAlign w:val="center"/>
            <w:hideMark/>
          </w:tcPr>
          <w:p w14:paraId="5E887B0A" w14:textId="77777777" w:rsidR="002F131C" w:rsidRPr="00082C1F" w:rsidRDefault="002F131C" w:rsidP="002F131C">
            <w:pPr>
              <w:jc w:val="both"/>
              <w:rPr>
                <w:rFonts w:ascii="Montserrat Medium" w:eastAsia="Times New Roman" w:hAnsi="Montserrat Medium" w:cs="Calibri"/>
                <w:b/>
                <w:bCs/>
                <w:color w:val="000000"/>
                <w:sz w:val="16"/>
                <w:szCs w:val="16"/>
                <w:lang w:val="es-MX" w:eastAsia="es-MX"/>
              </w:rPr>
            </w:pPr>
            <w:r w:rsidRPr="00082C1F">
              <w:rPr>
                <w:rFonts w:ascii="Montserrat Medium" w:eastAsia="Times New Roman" w:hAnsi="Montserrat Medium" w:cs="Calibri"/>
                <w:b/>
                <w:bCs/>
                <w:color w:val="000000"/>
                <w:sz w:val="16"/>
                <w:szCs w:val="16"/>
                <w:lang w:val="es-MX" w:eastAsia="es-MX"/>
              </w:rPr>
              <w:t>Total de Participaciones, Aportaciones, Convenios, Incentivos Derivados de la Colaboración Fiscal, Fondos Distintos de Aportaciones, Transferencias, Asignaciones, Subsidios y Subvenciones, y Pensiones y Jubilaciones</w:t>
            </w:r>
          </w:p>
        </w:tc>
        <w:tc>
          <w:tcPr>
            <w:tcW w:w="1568" w:type="dxa"/>
            <w:tcBorders>
              <w:left w:val="nil"/>
              <w:bottom w:val="single" w:sz="8" w:space="0" w:color="auto"/>
              <w:right w:val="single" w:sz="8" w:space="0" w:color="auto"/>
            </w:tcBorders>
            <w:shd w:val="clear" w:color="auto" w:fill="auto"/>
            <w:noWrap/>
            <w:vAlign w:val="center"/>
            <w:hideMark/>
          </w:tcPr>
          <w:p w14:paraId="34E516B6" w14:textId="28B93472" w:rsidR="002F131C" w:rsidRPr="00082C1F" w:rsidRDefault="002F131C" w:rsidP="002F131C">
            <w:pPr>
              <w:jc w:val="right"/>
              <w:rPr>
                <w:rFonts w:ascii="Montserrat Medium" w:eastAsia="Times New Roman" w:hAnsi="Montserrat Medium" w:cs="Calibri"/>
                <w:b/>
                <w:bCs/>
                <w:color w:val="000000"/>
                <w:sz w:val="16"/>
                <w:szCs w:val="16"/>
                <w:lang w:val="es-MX" w:eastAsia="es-MX"/>
              </w:rPr>
            </w:pPr>
            <w:r w:rsidRPr="00082C1F">
              <w:rPr>
                <w:rFonts w:ascii="Montserrat Medium" w:hAnsi="Montserrat Medium" w:cs="Calibri"/>
                <w:b/>
                <w:bCs/>
                <w:color w:val="000000"/>
                <w:sz w:val="16"/>
                <w:szCs w:val="16"/>
              </w:rPr>
              <w:t>20,126,676,746.41</w:t>
            </w:r>
          </w:p>
        </w:tc>
        <w:tc>
          <w:tcPr>
            <w:tcW w:w="1834" w:type="dxa"/>
            <w:tcBorders>
              <w:left w:val="nil"/>
              <w:bottom w:val="single" w:sz="8" w:space="0" w:color="auto"/>
              <w:right w:val="single" w:sz="8" w:space="0" w:color="auto"/>
            </w:tcBorders>
            <w:shd w:val="clear" w:color="auto" w:fill="auto"/>
            <w:noWrap/>
            <w:vAlign w:val="center"/>
            <w:hideMark/>
          </w:tcPr>
          <w:p w14:paraId="53A5030E" w14:textId="670D587B" w:rsidR="002F131C" w:rsidRPr="00082C1F" w:rsidRDefault="002F131C" w:rsidP="002F131C">
            <w:pPr>
              <w:jc w:val="right"/>
              <w:rPr>
                <w:rFonts w:ascii="Montserrat Medium" w:eastAsia="Times New Roman" w:hAnsi="Montserrat Medium" w:cs="Calibri"/>
                <w:b/>
                <w:bCs/>
                <w:color w:val="000000"/>
                <w:sz w:val="16"/>
                <w:szCs w:val="16"/>
                <w:lang w:val="es-MX" w:eastAsia="es-MX"/>
              </w:rPr>
            </w:pPr>
            <w:r w:rsidRPr="00082C1F">
              <w:rPr>
                <w:rFonts w:ascii="Montserrat Medium" w:hAnsi="Montserrat Medium" w:cs="Calibri"/>
                <w:b/>
                <w:bCs/>
                <w:color w:val="000000"/>
                <w:sz w:val="16"/>
                <w:szCs w:val="16"/>
              </w:rPr>
              <w:t>35,291,769,611.83</w:t>
            </w:r>
          </w:p>
        </w:tc>
        <w:tc>
          <w:tcPr>
            <w:tcW w:w="1701" w:type="dxa"/>
            <w:tcBorders>
              <w:left w:val="nil"/>
              <w:bottom w:val="single" w:sz="8" w:space="0" w:color="auto"/>
              <w:right w:val="single" w:sz="8" w:space="0" w:color="auto"/>
            </w:tcBorders>
            <w:shd w:val="clear" w:color="auto" w:fill="auto"/>
            <w:noWrap/>
            <w:vAlign w:val="center"/>
            <w:hideMark/>
          </w:tcPr>
          <w:p w14:paraId="7C73201A" w14:textId="0A4ED06D" w:rsidR="002F131C" w:rsidRPr="00082C1F" w:rsidRDefault="002F131C" w:rsidP="002F131C">
            <w:pPr>
              <w:jc w:val="right"/>
              <w:rPr>
                <w:rFonts w:ascii="Montserrat Medium" w:eastAsia="Times New Roman" w:hAnsi="Montserrat Medium" w:cs="Calibri"/>
                <w:b/>
                <w:bCs/>
                <w:color w:val="000000"/>
                <w:sz w:val="16"/>
                <w:szCs w:val="16"/>
                <w:lang w:val="es-MX" w:eastAsia="es-MX"/>
              </w:rPr>
            </w:pPr>
            <w:r w:rsidRPr="00082C1F">
              <w:rPr>
                <w:rFonts w:ascii="Montserrat Medium" w:hAnsi="Montserrat Medium" w:cs="Calibri"/>
                <w:b/>
                <w:bCs/>
                <w:color w:val="000000"/>
                <w:sz w:val="16"/>
                <w:szCs w:val="16"/>
              </w:rPr>
              <w:t>-15,177,569,566.42</w:t>
            </w:r>
          </w:p>
        </w:tc>
      </w:tr>
    </w:tbl>
    <w:p w14:paraId="6D3E9689" w14:textId="265AEE6B" w:rsidR="007F5499" w:rsidRPr="009C26EF" w:rsidRDefault="007F5499" w:rsidP="002F131C">
      <w:pPr>
        <w:jc w:val="both"/>
        <w:rPr>
          <w:rFonts w:ascii="Montserrat Medium" w:hAnsi="Montserrat Medium"/>
          <w:sz w:val="22"/>
          <w:szCs w:val="22"/>
          <w:highlight w:val="yellow"/>
        </w:rPr>
      </w:pPr>
    </w:p>
    <w:p w14:paraId="1035EE0B" w14:textId="77777777" w:rsidR="002F131C" w:rsidRPr="002F131C" w:rsidRDefault="002F131C" w:rsidP="002F131C">
      <w:pPr>
        <w:jc w:val="both"/>
        <w:rPr>
          <w:rFonts w:ascii="Montserrat Medium" w:hAnsi="Montserrat Medium"/>
          <w:bCs/>
          <w:color w:val="595959"/>
          <w:sz w:val="22"/>
          <w:szCs w:val="22"/>
        </w:rPr>
      </w:pPr>
      <w:r w:rsidRPr="002F131C">
        <w:rPr>
          <w:rFonts w:ascii="Montserrat Medium" w:hAnsi="Montserrat Medium"/>
          <w:bCs/>
          <w:color w:val="595959"/>
          <w:sz w:val="22"/>
          <w:szCs w:val="22"/>
        </w:rPr>
        <w:t>Por otra parte, los Ingresos Federales integrados por los rubros de Participaciones, Aportaciones, Convenios, Incentivos Derivados de la Colaboración Fiscal y Fondos Distintos de Aportaciones al 30 de junio de 2025, ascienden a un total de $20</w:t>
      </w:r>
      <w:proofErr w:type="gramStart"/>
      <w:r w:rsidRPr="002F131C">
        <w:rPr>
          <w:rFonts w:ascii="Montserrat Medium" w:hAnsi="Montserrat Medium"/>
          <w:bCs/>
          <w:color w:val="595959"/>
          <w:sz w:val="22"/>
          <w:szCs w:val="22"/>
        </w:rPr>
        <w:t>,126,676,746.41</w:t>
      </w:r>
      <w:proofErr w:type="gramEnd"/>
      <w:r w:rsidRPr="002F131C">
        <w:rPr>
          <w:rFonts w:ascii="Montserrat Medium" w:hAnsi="Montserrat Medium"/>
          <w:bCs/>
          <w:color w:val="595959"/>
          <w:sz w:val="22"/>
          <w:szCs w:val="22"/>
        </w:rPr>
        <w:t xml:space="preserve"> pesos, dicha cifra se desglosa en las siguientes cuentas de rubros que </w:t>
      </w:r>
      <w:r w:rsidRPr="002F131C">
        <w:rPr>
          <w:rFonts w:ascii="Montserrat Medium" w:hAnsi="Montserrat Medium"/>
          <w:bCs/>
          <w:color w:val="595959"/>
          <w:sz w:val="22"/>
          <w:szCs w:val="22"/>
        </w:rPr>
        <w:lastRenderedPageBreak/>
        <w:t>integran cada grupo y se da una explicación a los que representan un 15% o más del total del rubro a que correspondan.</w:t>
      </w:r>
    </w:p>
    <w:p w14:paraId="3BB44CF8" w14:textId="77777777" w:rsidR="00B552D2" w:rsidRDefault="00B552D2" w:rsidP="002F131C">
      <w:pPr>
        <w:jc w:val="both"/>
        <w:rPr>
          <w:rFonts w:ascii="Montserrat Medium" w:hAnsi="Montserrat Medium"/>
          <w:b/>
          <w:bCs/>
          <w:color w:val="595959"/>
          <w:sz w:val="22"/>
          <w:szCs w:val="22"/>
        </w:rPr>
      </w:pPr>
    </w:p>
    <w:p w14:paraId="3FF5FD5C" w14:textId="77777777" w:rsidR="002F131C" w:rsidRPr="002F131C" w:rsidRDefault="002F131C" w:rsidP="002F131C">
      <w:pPr>
        <w:jc w:val="both"/>
        <w:rPr>
          <w:rFonts w:ascii="Montserrat Medium" w:hAnsi="Montserrat Medium"/>
          <w:bCs/>
          <w:color w:val="595959"/>
          <w:sz w:val="22"/>
          <w:szCs w:val="22"/>
        </w:rPr>
      </w:pPr>
      <w:r w:rsidRPr="002F131C">
        <w:rPr>
          <w:rFonts w:ascii="Montserrat Medium" w:hAnsi="Montserrat Medium"/>
          <w:b/>
          <w:bCs/>
          <w:color w:val="595959"/>
          <w:sz w:val="22"/>
          <w:szCs w:val="22"/>
        </w:rPr>
        <w:t>4.2.1.1 Participaciones. –</w:t>
      </w:r>
      <w:r w:rsidRPr="002F131C">
        <w:rPr>
          <w:rFonts w:ascii="Montserrat Medium" w:hAnsi="Montserrat Medium"/>
          <w:bCs/>
          <w:color w:val="595959"/>
          <w:sz w:val="22"/>
          <w:szCs w:val="22"/>
        </w:rPr>
        <w:t xml:space="preserve"> Este rubro representa el 56.13% ($11</w:t>
      </w:r>
      <w:proofErr w:type="gramStart"/>
      <w:r w:rsidRPr="002F131C">
        <w:rPr>
          <w:rFonts w:ascii="Montserrat Medium" w:hAnsi="Montserrat Medium"/>
          <w:bCs/>
          <w:color w:val="595959"/>
          <w:sz w:val="22"/>
          <w:szCs w:val="22"/>
        </w:rPr>
        <w:t>,297,723,397</w:t>
      </w:r>
      <w:proofErr w:type="gramEnd"/>
      <w:r w:rsidRPr="002F131C">
        <w:rPr>
          <w:rFonts w:ascii="Montserrat Medium" w:hAnsi="Montserrat Medium"/>
          <w:bCs/>
          <w:color w:val="595959"/>
          <w:sz w:val="22"/>
          <w:szCs w:val="22"/>
        </w:rPr>
        <w:t xml:space="preserve"> pesos), del total de los ingresos federales, está integrado por los siguientes conceptos: Fondo General de Participaciones, Fondo de Fomento Municipal, Fondo de Fiscalización y Recaudación, Impuesto Especial sobre Producción y Servicios, Participaciones de Gasolina y </w:t>
      </w:r>
      <w:proofErr w:type="spellStart"/>
      <w:r w:rsidRPr="002F131C">
        <w:rPr>
          <w:rFonts w:ascii="Montserrat Medium" w:hAnsi="Montserrat Medium"/>
          <w:bCs/>
          <w:color w:val="595959"/>
          <w:sz w:val="22"/>
          <w:szCs w:val="22"/>
        </w:rPr>
        <w:t>Diesel</w:t>
      </w:r>
      <w:proofErr w:type="spellEnd"/>
      <w:r w:rsidRPr="002F131C">
        <w:rPr>
          <w:rFonts w:ascii="Montserrat Medium" w:hAnsi="Montserrat Medium"/>
          <w:bCs/>
          <w:color w:val="595959"/>
          <w:sz w:val="22"/>
          <w:szCs w:val="22"/>
        </w:rPr>
        <w:t>, Fondo de Impuesto sobre la Renta y Fondo de Estabilización de los Ingresos de las Entidades Federativas. Destacando los ingresos recibidos por el Fondo General de Participaciones por $ 8</w:t>
      </w:r>
      <w:proofErr w:type="gramStart"/>
      <w:r w:rsidRPr="002F131C">
        <w:rPr>
          <w:rFonts w:ascii="Montserrat Medium" w:hAnsi="Montserrat Medium"/>
          <w:bCs/>
          <w:color w:val="595959"/>
          <w:sz w:val="22"/>
          <w:szCs w:val="22"/>
        </w:rPr>
        <w:t>,756,289,991</w:t>
      </w:r>
      <w:proofErr w:type="gramEnd"/>
      <w:r w:rsidRPr="002F131C">
        <w:rPr>
          <w:rFonts w:ascii="Montserrat Medium" w:hAnsi="Montserrat Medium"/>
          <w:bCs/>
          <w:color w:val="595959"/>
          <w:sz w:val="22"/>
          <w:szCs w:val="22"/>
        </w:rPr>
        <w:t xml:space="preserve"> pesos al 30 de junio del año 2025.</w:t>
      </w:r>
    </w:p>
    <w:p w14:paraId="5B05794D" w14:textId="77777777" w:rsidR="002F131C" w:rsidRDefault="002F131C" w:rsidP="002F131C">
      <w:pPr>
        <w:jc w:val="both"/>
        <w:rPr>
          <w:rFonts w:ascii="Montserrat Medium" w:hAnsi="Montserrat Medium"/>
          <w:bCs/>
        </w:rPr>
      </w:pPr>
    </w:p>
    <w:p w14:paraId="7C0B78BA" w14:textId="77777777" w:rsidR="002F131C" w:rsidRPr="002F131C" w:rsidRDefault="002F131C" w:rsidP="002F131C">
      <w:pPr>
        <w:jc w:val="both"/>
        <w:rPr>
          <w:rFonts w:ascii="Montserrat Medium" w:hAnsi="Montserrat Medium"/>
          <w:bCs/>
          <w:color w:val="595959"/>
          <w:sz w:val="22"/>
          <w:szCs w:val="22"/>
        </w:rPr>
      </w:pPr>
      <w:r w:rsidRPr="002F131C">
        <w:rPr>
          <w:rFonts w:ascii="Montserrat Medium" w:hAnsi="Montserrat Medium"/>
          <w:b/>
          <w:bCs/>
          <w:color w:val="595959"/>
          <w:sz w:val="22"/>
          <w:szCs w:val="22"/>
        </w:rPr>
        <w:t>4.2.1.2 Aportaciones. –</w:t>
      </w:r>
      <w:r w:rsidRPr="002F131C">
        <w:rPr>
          <w:rFonts w:ascii="Montserrat Medium" w:hAnsi="Montserrat Medium"/>
          <w:bCs/>
          <w:color w:val="595959"/>
          <w:sz w:val="22"/>
          <w:szCs w:val="22"/>
        </w:rPr>
        <w:t xml:space="preserve"> Este rubro representa el 33.04% ($6,650,182,498.77 pesos), del total de los ingresos federales, está integrado por los siguientes conceptos: Fondo de Aportaciones para la Nómina Educativa y Gasto Operativo, Fondo de Aportaciones para los Servicios de Salud, Fondo de Aportaciones para la Infraestructura Social, Fondo de Aportaciones para el Fortalecimiento de los Municipios, Fondo de Aportaciones Múltiples, Fondo de Aportaciones para la Educación Tecnológica y de Adultos, Fondo de Aportaciones para la Seguridad Pública, Fondo de Aportaciones para el Fortalecimiento de las Entidades Federativas. Destacando los ingresos recibidos por el Fondo de Aportaciones para la Nómina Educativa y Gasto Operativo con $ 3,065,449,628.77 pesos, el Fondo de Aportaciones para la Infraestructura Social con $ 971,110,297 pesos y el Fondo de Aportaciones para el Fortalecimiento de los Municipios con $909,274,752 pesos al 30 de junio del año 2025.</w:t>
      </w:r>
    </w:p>
    <w:p w14:paraId="5F237E24" w14:textId="77777777" w:rsidR="002F131C" w:rsidRPr="002F131C" w:rsidRDefault="002F131C" w:rsidP="002F131C">
      <w:pPr>
        <w:jc w:val="both"/>
        <w:rPr>
          <w:rFonts w:ascii="Montserrat Medium" w:hAnsi="Montserrat Medium"/>
          <w:bCs/>
          <w:color w:val="595959"/>
          <w:sz w:val="22"/>
          <w:szCs w:val="22"/>
        </w:rPr>
      </w:pPr>
    </w:p>
    <w:p w14:paraId="3601F441" w14:textId="684102AC" w:rsidR="00A1177D" w:rsidRPr="00082C1F" w:rsidRDefault="00A1177D" w:rsidP="002F131C">
      <w:pPr>
        <w:rPr>
          <w:rFonts w:ascii="Montserrat Medium" w:eastAsia="Times New Roman" w:hAnsi="Montserrat Medium" w:cs="Arial"/>
          <w:b/>
          <w:iCs/>
          <w:color w:val="595959"/>
          <w:sz w:val="22"/>
          <w:szCs w:val="22"/>
        </w:rPr>
      </w:pPr>
      <w:r w:rsidRPr="00082C1F">
        <w:rPr>
          <w:rFonts w:ascii="Montserrat Medium" w:eastAsia="Times New Roman" w:hAnsi="Montserrat Medium" w:cs="Arial"/>
          <w:b/>
          <w:iCs/>
          <w:color w:val="595959"/>
          <w:sz w:val="22"/>
          <w:szCs w:val="22"/>
        </w:rPr>
        <w:t>Otros Ingresos y Beneficios</w:t>
      </w:r>
    </w:p>
    <w:p w14:paraId="3FAE3A35" w14:textId="77777777" w:rsidR="005F6D8D" w:rsidRPr="00082C1F" w:rsidRDefault="005F6D8D" w:rsidP="002F131C">
      <w:pPr>
        <w:keepNext/>
        <w:keepLines/>
        <w:jc w:val="both"/>
        <w:outlineLvl w:val="6"/>
        <w:rPr>
          <w:rFonts w:ascii="Montserrat Medium" w:eastAsia="Times New Roman" w:hAnsi="Montserrat Medium" w:cs="Arial"/>
          <w:color w:val="595959"/>
          <w:sz w:val="22"/>
          <w:lang w:eastAsia="en-US"/>
        </w:rPr>
      </w:pPr>
    </w:p>
    <w:p w14:paraId="04042487" w14:textId="6369FBB9" w:rsidR="00A1177D" w:rsidRPr="00082C1F" w:rsidRDefault="00A1177D" w:rsidP="002F131C">
      <w:pPr>
        <w:keepNext/>
        <w:keepLines/>
        <w:jc w:val="both"/>
        <w:outlineLvl w:val="6"/>
        <w:rPr>
          <w:rFonts w:ascii="Montserrat Medium" w:eastAsia="Times New Roman" w:hAnsi="Montserrat Medium" w:cs="Arial"/>
          <w:color w:val="595959"/>
          <w:sz w:val="22"/>
          <w:lang w:eastAsia="en-US"/>
        </w:rPr>
      </w:pPr>
      <w:r w:rsidRPr="00082C1F">
        <w:rPr>
          <w:rFonts w:ascii="Montserrat Medium" w:eastAsia="Times New Roman" w:hAnsi="Montserrat Medium" w:cs="Arial"/>
          <w:color w:val="595959"/>
          <w:sz w:val="22"/>
          <w:lang w:eastAsia="en-US"/>
        </w:rPr>
        <w:t xml:space="preserve">Los Otros Ingresos y Beneficios, comprende el importe de los ingresos que se derivan de transacciones y eventos inusuales, que no son propios del objeto del ente público, </w:t>
      </w:r>
      <w:r w:rsidR="000901FA" w:rsidRPr="00082C1F">
        <w:rPr>
          <w:rFonts w:ascii="Montserrat Medium" w:eastAsia="Times New Roman" w:hAnsi="Montserrat Medium" w:cs="Arial"/>
          <w:color w:val="595959"/>
          <w:sz w:val="22"/>
          <w:lang w:eastAsia="en-US"/>
        </w:rPr>
        <w:t>a</w:t>
      </w:r>
      <w:r w:rsidR="00A4586C" w:rsidRPr="00082C1F">
        <w:rPr>
          <w:rFonts w:ascii="Montserrat Medium" w:eastAsia="Times New Roman" w:hAnsi="Montserrat Medium" w:cs="Arial"/>
          <w:color w:val="595959"/>
          <w:sz w:val="22"/>
          <w:lang w:eastAsia="en-US"/>
        </w:rPr>
        <w:t>l 3</w:t>
      </w:r>
      <w:r w:rsidR="00082C1F" w:rsidRPr="00082C1F">
        <w:rPr>
          <w:rFonts w:ascii="Montserrat Medium" w:eastAsia="Times New Roman" w:hAnsi="Montserrat Medium" w:cs="Arial"/>
          <w:color w:val="595959"/>
          <w:sz w:val="22"/>
          <w:lang w:eastAsia="en-US"/>
        </w:rPr>
        <w:t>0</w:t>
      </w:r>
      <w:r w:rsidR="00A4586C" w:rsidRPr="00082C1F">
        <w:rPr>
          <w:rFonts w:ascii="Montserrat Medium" w:eastAsia="Times New Roman" w:hAnsi="Montserrat Medium" w:cs="Arial"/>
          <w:color w:val="595959"/>
          <w:sz w:val="22"/>
          <w:lang w:eastAsia="en-US"/>
        </w:rPr>
        <w:t xml:space="preserve"> de </w:t>
      </w:r>
      <w:r w:rsidR="00082C1F" w:rsidRPr="00082C1F">
        <w:rPr>
          <w:rFonts w:ascii="Montserrat Medium" w:eastAsia="Times New Roman" w:hAnsi="Montserrat Medium" w:cs="Arial"/>
          <w:color w:val="595959"/>
          <w:sz w:val="22"/>
          <w:lang w:eastAsia="en-US"/>
        </w:rPr>
        <w:t>junio</w:t>
      </w:r>
      <w:r w:rsidR="00A4586C" w:rsidRPr="00082C1F">
        <w:rPr>
          <w:rFonts w:ascii="Montserrat Medium" w:eastAsia="Times New Roman" w:hAnsi="Montserrat Medium" w:cs="Arial"/>
          <w:color w:val="595959"/>
          <w:sz w:val="22"/>
          <w:lang w:eastAsia="en-US"/>
        </w:rPr>
        <w:t xml:space="preserve"> de 202</w:t>
      </w:r>
      <w:r w:rsidR="001C4B95" w:rsidRPr="00082C1F">
        <w:rPr>
          <w:rFonts w:ascii="Montserrat Medium" w:eastAsia="Times New Roman" w:hAnsi="Montserrat Medium" w:cs="Arial"/>
          <w:color w:val="595959"/>
          <w:sz w:val="22"/>
          <w:lang w:eastAsia="en-US"/>
        </w:rPr>
        <w:t>5</w:t>
      </w:r>
      <w:r w:rsidRPr="00082C1F">
        <w:rPr>
          <w:rFonts w:ascii="Montserrat Medium" w:eastAsia="Times New Roman" w:hAnsi="Montserrat Medium" w:cs="Arial"/>
          <w:color w:val="595959"/>
          <w:sz w:val="22"/>
          <w:lang w:eastAsia="en-US"/>
        </w:rPr>
        <w:t>, no existen registros por los siguientes conceptos:</w:t>
      </w:r>
    </w:p>
    <w:p w14:paraId="115796CD" w14:textId="77777777" w:rsidR="005F6D8D" w:rsidRPr="009C26EF" w:rsidRDefault="005F6D8D" w:rsidP="002F131C">
      <w:pPr>
        <w:keepNext/>
        <w:keepLines/>
        <w:jc w:val="both"/>
        <w:outlineLvl w:val="6"/>
        <w:rPr>
          <w:rFonts w:ascii="Montserrat Medium" w:eastAsia="Times New Roman" w:hAnsi="Montserrat Medium" w:cs="Arial"/>
          <w:color w:val="595959"/>
          <w:sz w:val="22"/>
          <w:highlight w:val="yellow"/>
          <w:lang w:eastAsia="en-US"/>
        </w:rPr>
      </w:pPr>
    </w:p>
    <w:tbl>
      <w:tblPr>
        <w:tblW w:w="2107" w:type="pct"/>
        <w:jc w:val="center"/>
        <w:tblCellMar>
          <w:left w:w="70" w:type="dxa"/>
          <w:right w:w="70" w:type="dxa"/>
        </w:tblCellMar>
        <w:tblLook w:val="04A0" w:firstRow="1" w:lastRow="0" w:firstColumn="1" w:lastColumn="0" w:noHBand="0" w:noVBand="1"/>
      </w:tblPr>
      <w:tblGrid>
        <w:gridCol w:w="4261"/>
      </w:tblGrid>
      <w:tr w:rsidR="00B71F3C" w:rsidRPr="00082C1F" w14:paraId="381926D2" w14:textId="77777777" w:rsidTr="00106D3B">
        <w:trPr>
          <w:trHeight w:val="255"/>
          <w:tblHeader/>
          <w:jc w:val="center"/>
        </w:trPr>
        <w:tc>
          <w:tcPr>
            <w:tcW w:w="5000"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C6D4C68" w14:textId="77777777" w:rsidR="00B71F3C" w:rsidRPr="00082C1F" w:rsidRDefault="00B71F3C" w:rsidP="002F131C">
            <w:pPr>
              <w:jc w:val="center"/>
              <w:rPr>
                <w:rFonts w:ascii="Montserrat Medium" w:eastAsia="Times New Roman" w:hAnsi="Montserrat Medium" w:cs="Arial"/>
                <w:b/>
                <w:bCs/>
                <w:color w:val="000000"/>
                <w:sz w:val="18"/>
                <w:szCs w:val="18"/>
                <w:lang w:val="es-MX" w:eastAsia="es-MX"/>
              </w:rPr>
            </w:pPr>
            <w:r w:rsidRPr="00082C1F">
              <w:rPr>
                <w:rFonts w:ascii="Montserrat Medium" w:eastAsia="Times New Roman" w:hAnsi="Montserrat Medium" w:cs="Arial"/>
                <w:b/>
                <w:bCs/>
                <w:color w:val="000000"/>
                <w:sz w:val="18"/>
                <w:szCs w:val="18"/>
                <w:lang w:val="es-MX" w:eastAsia="es-MX"/>
              </w:rPr>
              <w:t>Otros ingresos y beneficios</w:t>
            </w:r>
          </w:p>
        </w:tc>
      </w:tr>
      <w:tr w:rsidR="00B71F3C" w:rsidRPr="00082C1F" w14:paraId="0391F5C5" w14:textId="77777777" w:rsidTr="00106D3B">
        <w:trPr>
          <w:trHeight w:val="227"/>
          <w:jc w:val="center"/>
        </w:trPr>
        <w:tc>
          <w:tcPr>
            <w:tcW w:w="5000" w:type="pct"/>
            <w:tcBorders>
              <w:top w:val="nil"/>
              <w:left w:val="single" w:sz="4" w:space="0" w:color="auto"/>
              <w:bottom w:val="nil"/>
              <w:right w:val="single" w:sz="4" w:space="0" w:color="auto"/>
            </w:tcBorders>
            <w:shd w:val="clear" w:color="auto" w:fill="auto"/>
            <w:vAlign w:val="center"/>
            <w:hideMark/>
          </w:tcPr>
          <w:p w14:paraId="37F315A4" w14:textId="77777777" w:rsidR="00B71F3C" w:rsidRPr="00082C1F" w:rsidRDefault="00B71F3C" w:rsidP="002F131C">
            <w:pPr>
              <w:rPr>
                <w:rFonts w:ascii="Montserrat Medium" w:eastAsia="Times New Roman" w:hAnsi="Montserrat Medium" w:cs="Arial"/>
                <w:color w:val="000000"/>
                <w:sz w:val="18"/>
                <w:szCs w:val="18"/>
                <w:lang w:val="es-MX" w:eastAsia="es-MX"/>
              </w:rPr>
            </w:pPr>
            <w:r w:rsidRPr="00082C1F">
              <w:rPr>
                <w:rFonts w:ascii="Montserrat Medium" w:eastAsia="Times New Roman" w:hAnsi="Montserrat Medium" w:cs="Arial"/>
                <w:color w:val="000000"/>
                <w:sz w:val="18"/>
                <w:szCs w:val="18"/>
                <w:lang w:val="es-MX" w:eastAsia="es-MX"/>
              </w:rPr>
              <w:t>Ingresos financieros</w:t>
            </w:r>
          </w:p>
        </w:tc>
      </w:tr>
      <w:tr w:rsidR="00B71F3C" w:rsidRPr="00082C1F" w14:paraId="187DC7DC" w14:textId="77777777" w:rsidTr="00106D3B">
        <w:trPr>
          <w:trHeight w:val="227"/>
          <w:jc w:val="center"/>
        </w:trPr>
        <w:tc>
          <w:tcPr>
            <w:tcW w:w="5000" w:type="pct"/>
            <w:tcBorders>
              <w:top w:val="nil"/>
              <w:left w:val="single" w:sz="4" w:space="0" w:color="auto"/>
              <w:bottom w:val="nil"/>
              <w:right w:val="single" w:sz="4" w:space="0" w:color="auto"/>
            </w:tcBorders>
            <w:shd w:val="clear" w:color="auto" w:fill="auto"/>
            <w:vAlign w:val="center"/>
            <w:hideMark/>
          </w:tcPr>
          <w:p w14:paraId="118E3B18" w14:textId="77777777" w:rsidR="00B71F3C" w:rsidRPr="00082C1F" w:rsidRDefault="00B71F3C" w:rsidP="002F131C">
            <w:pPr>
              <w:rPr>
                <w:rFonts w:ascii="Montserrat Medium" w:eastAsia="Times New Roman" w:hAnsi="Montserrat Medium" w:cs="Arial"/>
                <w:color w:val="000000"/>
                <w:sz w:val="18"/>
                <w:szCs w:val="18"/>
                <w:lang w:val="es-MX" w:eastAsia="es-MX"/>
              </w:rPr>
            </w:pPr>
            <w:r w:rsidRPr="00082C1F">
              <w:rPr>
                <w:rFonts w:ascii="Montserrat Medium" w:eastAsia="Times New Roman" w:hAnsi="Montserrat Medium" w:cs="Arial"/>
                <w:color w:val="000000"/>
                <w:sz w:val="18"/>
                <w:szCs w:val="18"/>
                <w:lang w:val="es-MX" w:eastAsia="es-MX"/>
              </w:rPr>
              <w:t>Incremento por variación de inventarios</w:t>
            </w:r>
          </w:p>
        </w:tc>
      </w:tr>
      <w:tr w:rsidR="00B71F3C" w:rsidRPr="00082C1F" w14:paraId="548A58A7" w14:textId="77777777" w:rsidTr="00106D3B">
        <w:trPr>
          <w:trHeight w:val="227"/>
          <w:jc w:val="center"/>
        </w:trPr>
        <w:tc>
          <w:tcPr>
            <w:tcW w:w="5000" w:type="pct"/>
            <w:tcBorders>
              <w:top w:val="nil"/>
              <w:left w:val="single" w:sz="4" w:space="0" w:color="auto"/>
              <w:bottom w:val="nil"/>
              <w:right w:val="single" w:sz="4" w:space="0" w:color="auto"/>
            </w:tcBorders>
            <w:shd w:val="clear" w:color="auto" w:fill="auto"/>
            <w:vAlign w:val="center"/>
            <w:hideMark/>
          </w:tcPr>
          <w:p w14:paraId="2C6908FB" w14:textId="77777777" w:rsidR="00B71F3C" w:rsidRPr="00082C1F" w:rsidRDefault="00B71F3C" w:rsidP="002F131C">
            <w:pPr>
              <w:rPr>
                <w:rFonts w:ascii="Montserrat Medium" w:eastAsia="Times New Roman" w:hAnsi="Montserrat Medium" w:cs="Arial"/>
                <w:color w:val="000000"/>
                <w:sz w:val="18"/>
                <w:szCs w:val="18"/>
                <w:lang w:val="es-MX" w:eastAsia="es-MX"/>
              </w:rPr>
            </w:pPr>
            <w:r w:rsidRPr="00082C1F">
              <w:rPr>
                <w:rFonts w:ascii="Montserrat Medium" w:eastAsia="Times New Roman" w:hAnsi="Montserrat Medium" w:cs="Arial"/>
                <w:color w:val="000000"/>
                <w:sz w:val="18"/>
                <w:szCs w:val="18"/>
                <w:lang w:val="es-MX" w:eastAsia="es-MX"/>
              </w:rPr>
              <w:t>Disminución del exceso de estimaciones por pérdida o deterioro u obsolescencia</w:t>
            </w:r>
          </w:p>
        </w:tc>
      </w:tr>
      <w:tr w:rsidR="00B71F3C" w:rsidRPr="00082C1F" w14:paraId="44B96DE1" w14:textId="77777777" w:rsidTr="00106D3B">
        <w:trPr>
          <w:trHeight w:val="227"/>
          <w:jc w:val="center"/>
        </w:trPr>
        <w:tc>
          <w:tcPr>
            <w:tcW w:w="5000" w:type="pct"/>
            <w:tcBorders>
              <w:top w:val="nil"/>
              <w:left w:val="single" w:sz="4" w:space="0" w:color="auto"/>
              <w:right w:val="single" w:sz="4" w:space="0" w:color="auto"/>
            </w:tcBorders>
            <w:shd w:val="clear" w:color="auto" w:fill="auto"/>
            <w:vAlign w:val="center"/>
            <w:hideMark/>
          </w:tcPr>
          <w:p w14:paraId="5A77E5D8" w14:textId="77777777" w:rsidR="00B71F3C" w:rsidRPr="00082C1F" w:rsidRDefault="00B71F3C" w:rsidP="002F131C">
            <w:pPr>
              <w:rPr>
                <w:rFonts w:ascii="Montserrat Medium" w:eastAsia="Times New Roman" w:hAnsi="Montserrat Medium" w:cs="Arial"/>
                <w:color w:val="000000"/>
                <w:sz w:val="18"/>
                <w:szCs w:val="18"/>
                <w:lang w:val="es-MX" w:eastAsia="es-MX"/>
              </w:rPr>
            </w:pPr>
            <w:r w:rsidRPr="00082C1F">
              <w:rPr>
                <w:rFonts w:ascii="Montserrat Medium" w:eastAsia="Times New Roman" w:hAnsi="Montserrat Medium" w:cs="Arial"/>
                <w:color w:val="000000"/>
                <w:sz w:val="18"/>
                <w:szCs w:val="18"/>
                <w:lang w:val="es-MX" w:eastAsia="es-MX"/>
              </w:rPr>
              <w:t>Disminución del exceso de provisiones</w:t>
            </w:r>
          </w:p>
        </w:tc>
      </w:tr>
      <w:tr w:rsidR="00B71F3C" w:rsidRPr="00D56579" w14:paraId="11DFCA3C" w14:textId="77777777" w:rsidTr="00106D3B">
        <w:trPr>
          <w:trHeight w:val="227"/>
          <w:jc w:val="center"/>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18B9257C" w14:textId="77777777" w:rsidR="00B71F3C" w:rsidRPr="00D56579" w:rsidRDefault="00B71F3C" w:rsidP="002F131C">
            <w:pPr>
              <w:rPr>
                <w:rFonts w:ascii="Montserrat Medium" w:eastAsia="Times New Roman" w:hAnsi="Montserrat Medium" w:cs="Arial"/>
                <w:color w:val="000000"/>
                <w:sz w:val="18"/>
                <w:szCs w:val="18"/>
                <w:lang w:val="es-MX" w:eastAsia="es-MX"/>
              </w:rPr>
            </w:pPr>
            <w:r w:rsidRPr="00082C1F">
              <w:rPr>
                <w:rFonts w:ascii="Montserrat Medium" w:eastAsia="Times New Roman" w:hAnsi="Montserrat Medium" w:cs="Arial"/>
                <w:color w:val="000000"/>
                <w:sz w:val="18"/>
                <w:szCs w:val="18"/>
                <w:lang w:val="es-MX" w:eastAsia="es-MX"/>
              </w:rPr>
              <w:t>Otros ingresos y beneficios varios</w:t>
            </w:r>
          </w:p>
        </w:tc>
      </w:tr>
    </w:tbl>
    <w:p w14:paraId="6278FEA3" w14:textId="77777777" w:rsidR="00636952" w:rsidRDefault="00636952" w:rsidP="00636952">
      <w:pPr>
        <w:pStyle w:val="Prrafodelista"/>
        <w:keepNext/>
        <w:keepLines/>
        <w:jc w:val="both"/>
        <w:outlineLvl w:val="6"/>
        <w:rPr>
          <w:rFonts w:ascii="Montserrat Medium" w:eastAsia="Times New Roman" w:hAnsi="Montserrat Medium" w:cs="Arial"/>
          <w:b/>
          <w:iCs/>
          <w:color w:val="595959"/>
          <w:sz w:val="22"/>
        </w:rPr>
      </w:pPr>
    </w:p>
    <w:p w14:paraId="09686870" w14:textId="019EFBC7" w:rsidR="00A1177D" w:rsidRPr="00D56579" w:rsidRDefault="00A1177D" w:rsidP="002F131C">
      <w:pPr>
        <w:pStyle w:val="Prrafodelista"/>
        <w:keepNext/>
        <w:keepLines/>
        <w:numPr>
          <w:ilvl w:val="0"/>
          <w:numId w:val="32"/>
        </w:numPr>
        <w:jc w:val="both"/>
        <w:outlineLvl w:val="6"/>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Gastos y Otras Pérdidas</w:t>
      </w:r>
    </w:p>
    <w:p w14:paraId="1C392B3E" w14:textId="77777777" w:rsidR="003879A9" w:rsidRDefault="003879A9" w:rsidP="002F131C">
      <w:pPr>
        <w:keepNext/>
        <w:keepLines/>
        <w:jc w:val="both"/>
        <w:outlineLvl w:val="6"/>
        <w:rPr>
          <w:rFonts w:ascii="Montserrat Medium" w:eastAsia="Times New Roman" w:hAnsi="Montserrat Medium" w:cs="Arial"/>
          <w:color w:val="595959"/>
          <w:sz w:val="22"/>
          <w:lang w:eastAsia="en-US"/>
        </w:rPr>
      </w:pPr>
    </w:p>
    <w:p w14:paraId="302E5C40" w14:textId="176512A0" w:rsidR="003879A9" w:rsidRPr="00D56579" w:rsidRDefault="003879A9" w:rsidP="002F131C">
      <w:pPr>
        <w:keepNext/>
        <w:keepLines/>
        <w:jc w:val="both"/>
        <w:outlineLvl w:val="6"/>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En e</w:t>
      </w:r>
      <w:r w:rsidR="003B641A" w:rsidRPr="00D56579">
        <w:rPr>
          <w:rFonts w:ascii="Montserrat Medium" w:eastAsia="Times New Roman" w:hAnsi="Montserrat Medium" w:cs="Arial"/>
          <w:color w:val="595959"/>
          <w:sz w:val="22"/>
          <w:lang w:eastAsia="en-US"/>
        </w:rPr>
        <w:t>ste</w:t>
      </w:r>
      <w:r w:rsidRPr="00D56579">
        <w:rPr>
          <w:rFonts w:ascii="Montserrat Medium" w:eastAsia="Times New Roman" w:hAnsi="Montserrat Medium" w:cs="Arial"/>
          <w:color w:val="595959"/>
          <w:sz w:val="22"/>
          <w:lang w:eastAsia="en-US"/>
        </w:rPr>
        <w:t xml:space="preserve"> apartado se informan los grupos de Gastos de </w:t>
      </w:r>
      <w:r w:rsidR="003B641A" w:rsidRPr="00D56579">
        <w:rPr>
          <w:rFonts w:ascii="Montserrat Medium" w:eastAsia="Times New Roman" w:hAnsi="Montserrat Medium" w:cs="Arial"/>
          <w:color w:val="595959"/>
          <w:sz w:val="22"/>
          <w:lang w:eastAsia="en-US"/>
        </w:rPr>
        <w:t>Funcionamiento; Transferencias,</w:t>
      </w:r>
      <w:r w:rsidRPr="00D56579">
        <w:rPr>
          <w:rFonts w:ascii="Montserrat Medium" w:eastAsia="Times New Roman" w:hAnsi="Montserrat Medium" w:cs="Arial"/>
          <w:color w:val="595959"/>
          <w:sz w:val="22"/>
          <w:lang w:eastAsia="en-US"/>
        </w:rPr>
        <w:t xml:space="preserve"> Subsidios y Otras Ayudas; Participaciones y</w:t>
      </w:r>
      <w:r w:rsidR="003B641A"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 xml:space="preserve">Aportaciones; Intereses, Comisiones y Otros Gastos de la Deuda Pública; Otros Gastos y Pérdidas Extraordinarias; e Inversión Pública. </w:t>
      </w:r>
    </w:p>
    <w:p w14:paraId="45FA6147" w14:textId="0F962397" w:rsidR="00106D3B" w:rsidRDefault="00106D3B" w:rsidP="002F131C">
      <w:pPr>
        <w:rPr>
          <w:rFonts w:ascii="Montserrat Medium" w:eastAsia="Times New Roman" w:hAnsi="Montserrat Medium" w:cs="Arial"/>
          <w:color w:val="595959"/>
          <w:sz w:val="22"/>
          <w:lang w:eastAsia="en-US"/>
        </w:rPr>
      </w:pPr>
    </w:p>
    <w:p w14:paraId="56CDAB8C" w14:textId="77777777" w:rsidR="00636952" w:rsidRPr="00D56579" w:rsidRDefault="00636952" w:rsidP="002F131C">
      <w:pPr>
        <w:rPr>
          <w:rFonts w:ascii="Montserrat Medium" w:eastAsia="Times New Roman" w:hAnsi="Montserrat Medium" w:cs="Arial"/>
          <w:color w:val="595959"/>
          <w:sz w:val="22"/>
          <w:lang w:eastAsia="en-US"/>
        </w:rPr>
      </w:pPr>
    </w:p>
    <w:tbl>
      <w:tblPr>
        <w:tblW w:w="8617" w:type="dxa"/>
        <w:jc w:val="center"/>
        <w:shd w:val="clear" w:color="auto" w:fill="BFBFBF" w:themeFill="background1" w:themeFillShade="BF"/>
        <w:tblCellMar>
          <w:left w:w="70" w:type="dxa"/>
          <w:right w:w="70" w:type="dxa"/>
        </w:tblCellMar>
        <w:tblLook w:val="04A0" w:firstRow="1" w:lastRow="0" w:firstColumn="1" w:lastColumn="0" w:noHBand="0" w:noVBand="1"/>
      </w:tblPr>
      <w:tblGrid>
        <w:gridCol w:w="5139"/>
        <w:gridCol w:w="1733"/>
        <w:gridCol w:w="1745"/>
      </w:tblGrid>
      <w:tr w:rsidR="005D3199" w:rsidRPr="00D56579" w14:paraId="669242A7" w14:textId="458E16F7" w:rsidTr="00636952">
        <w:trPr>
          <w:trHeight w:val="461"/>
          <w:tblHeader/>
          <w:jc w:val="center"/>
        </w:trPr>
        <w:tc>
          <w:tcPr>
            <w:tcW w:w="5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AC453FC" w14:textId="77777777" w:rsidR="005D3199" w:rsidRPr="00D56579" w:rsidRDefault="005D3199" w:rsidP="002F131C">
            <w:pPr>
              <w:jc w:val="center"/>
              <w:rPr>
                <w:rFonts w:ascii="Montserrat Medium" w:eastAsia="Times New Roman" w:hAnsi="Montserrat Medium" w:cs="Calibri"/>
                <w:b/>
                <w:bCs/>
                <w:color w:val="000000"/>
                <w:sz w:val="18"/>
                <w:szCs w:val="18"/>
                <w:lang w:eastAsia="es-MX"/>
              </w:rPr>
            </w:pPr>
            <w:r w:rsidRPr="00D56579">
              <w:rPr>
                <w:rFonts w:ascii="Montserrat Medium" w:eastAsia="Times New Roman" w:hAnsi="Montserrat Medium" w:cs="Calibri"/>
                <w:b/>
                <w:bCs/>
                <w:color w:val="000000"/>
                <w:sz w:val="18"/>
                <w:szCs w:val="18"/>
                <w:lang w:eastAsia="es-MX"/>
              </w:rPr>
              <w:lastRenderedPageBreak/>
              <w:t>Concepto</w:t>
            </w:r>
          </w:p>
        </w:tc>
        <w:tc>
          <w:tcPr>
            <w:tcW w:w="173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8D6DACA" w14:textId="3A92D95C" w:rsidR="005D3199" w:rsidRPr="00D56579" w:rsidRDefault="005D3199" w:rsidP="002F131C">
            <w:pPr>
              <w:jc w:val="center"/>
              <w:rPr>
                <w:rFonts w:ascii="Montserrat Medium" w:eastAsia="Times New Roman" w:hAnsi="Montserrat Medium" w:cs="Calibri"/>
                <w:b/>
                <w:bCs/>
                <w:color w:val="000000"/>
                <w:sz w:val="18"/>
                <w:szCs w:val="18"/>
                <w:lang w:eastAsia="es-MX"/>
              </w:rPr>
            </w:pPr>
            <w:r>
              <w:rPr>
                <w:rFonts w:ascii="Montserrat Medium" w:hAnsi="Montserrat Medium" w:cs="Calibri"/>
                <w:b/>
                <w:bCs/>
                <w:color w:val="000000"/>
                <w:sz w:val="18"/>
                <w:szCs w:val="18"/>
              </w:rPr>
              <w:t>Al 3</w:t>
            </w:r>
            <w:r w:rsidR="009C26EF">
              <w:rPr>
                <w:rFonts w:ascii="Montserrat Medium" w:hAnsi="Montserrat Medium" w:cs="Calibri"/>
                <w:b/>
                <w:bCs/>
                <w:color w:val="000000"/>
                <w:sz w:val="18"/>
                <w:szCs w:val="18"/>
              </w:rPr>
              <w:t>0</w:t>
            </w:r>
            <w:r>
              <w:rPr>
                <w:rFonts w:ascii="Montserrat Medium" w:hAnsi="Montserrat Medium" w:cs="Calibri"/>
                <w:b/>
                <w:bCs/>
                <w:color w:val="000000"/>
                <w:sz w:val="18"/>
                <w:szCs w:val="18"/>
              </w:rPr>
              <w:t xml:space="preserve"> de </w:t>
            </w:r>
            <w:r w:rsidR="009C26EF">
              <w:rPr>
                <w:rFonts w:ascii="Montserrat Medium" w:hAnsi="Montserrat Medium" w:cs="Calibri"/>
                <w:b/>
                <w:bCs/>
                <w:color w:val="000000"/>
                <w:sz w:val="18"/>
                <w:szCs w:val="18"/>
              </w:rPr>
              <w:t>Junio</w:t>
            </w:r>
            <w:r>
              <w:rPr>
                <w:rFonts w:ascii="Montserrat Medium" w:hAnsi="Montserrat Medium" w:cs="Calibri"/>
                <w:b/>
                <w:bCs/>
                <w:color w:val="000000"/>
                <w:sz w:val="18"/>
                <w:szCs w:val="18"/>
              </w:rPr>
              <w:t xml:space="preserve"> de 2025</w:t>
            </w:r>
          </w:p>
        </w:tc>
        <w:tc>
          <w:tcPr>
            <w:tcW w:w="174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713D87F" w14:textId="097FE3BE" w:rsidR="005D3199" w:rsidRPr="00D56579" w:rsidRDefault="0003514D" w:rsidP="002F131C">
            <w:pPr>
              <w:jc w:val="center"/>
              <w:rPr>
                <w:rFonts w:ascii="Montserrat Medium" w:eastAsia="Times New Roman" w:hAnsi="Montserrat Medium" w:cs="Calibri"/>
                <w:b/>
                <w:bCs/>
                <w:color w:val="000000"/>
                <w:sz w:val="18"/>
                <w:szCs w:val="18"/>
                <w:lang w:eastAsia="es-MX"/>
              </w:rPr>
            </w:pPr>
            <w:r>
              <w:rPr>
                <w:rFonts w:ascii="Montserrat Medium" w:hAnsi="Montserrat Medium" w:cs="Calibri"/>
                <w:b/>
                <w:bCs/>
                <w:color w:val="000000"/>
                <w:sz w:val="18"/>
                <w:szCs w:val="18"/>
              </w:rPr>
              <w:t>2024</w:t>
            </w:r>
          </w:p>
        </w:tc>
      </w:tr>
      <w:tr w:rsidR="009C26EF" w:rsidRPr="00D56579" w14:paraId="15D499E9" w14:textId="4F656703" w:rsidTr="00636952">
        <w:trPr>
          <w:trHeight w:hRule="exact" w:val="227"/>
          <w:tblHeader/>
          <w:jc w:val="center"/>
        </w:trPr>
        <w:tc>
          <w:tcPr>
            <w:tcW w:w="5139" w:type="dxa"/>
            <w:tcBorders>
              <w:top w:val="single" w:sz="4" w:space="0" w:color="auto"/>
              <w:left w:val="single" w:sz="4" w:space="0" w:color="auto"/>
              <w:right w:val="single" w:sz="4" w:space="0" w:color="auto"/>
            </w:tcBorders>
            <w:shd w:val="clear" w:color="auto" w:fill="auto"/>
            <w:vAlign w:val="bottom"/>
            <w:hideMark/>
          </w:tcPr>
          <w:p w14:paraId="1413E9F2" w14:textId="77777777" w:rsidR="009C26EF" w:rsidRPr="00D56579" w:rsidRDefault="009C26EF" w:rsidP="002F131C">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Gastos de funcionamiento</w:t>
            </w:r>
          </w:p>
        </w:tc>
        <w:tc>
          <w:tcPr>
            <w:tcW w:w="1733" w:type="dxa"/>
            <w:tcBorders>
              <w:top w:val="single" w:sz="4" w:space="0" w:color="auto"/>
              <w:left w:val="single" w:sz="4" w:space="0" w:color="auto"/>
              <w:right w:val="single" w:sz="4" w:space="0" w:color="auto"/>
            </w:tcBorders>
            <w:shd w:val="clear" w:color="auto" w:fill="auto"/>
            <w:noWrap/>
            <w:vAlign w:val="center"/>
            <w:hideMark/>
          </w:tcPr>
          <w:p w14:paraId="5B02A442" w14:textId="6AEA9FFF" w:rsidR="009C26EF" w:rsidRPr="00D56579" w:rsidRDefault="009C26EF" w:rsidP="002F131C">
            <w:pPr>
              <w:jc w:val="right"/>
              <w:rPr>
                <w:rFonts w:ascii="Montserrat Medium" w:hAnsi="Montserrat Medium" w:cs="Calibri"/>
                <w:color w:val="000000"/>
                <w:sz w:val="18"/>
                <w:szCs w:val="18"/>
              </w:rPr>
            </w:pPr>
            <w:r>
              <w:rPr>
                <w:rFonts w:ascii="Montserrat Medium" w:hAnsi="Montserrat Medium" w:cs="Calibri"/>
                <w:color w:val="000000"/>
                <w:sz w:val="18"/>
                <w:szCs w:val="18"/>
              </w:rPr>
              <w:t>4,616,543,210.14</w:t>
            </w:r>
          </w:p>
        </w:tc>
        <w:tc>
          <w:tcPr>
            <w:tcW w:w="1745" w:type="dxa"/>
            <w:tcBorders>
              <w:top w:val="single" w:sz="4" w:space="0" w:color="auto"/>
              <w:left w:val="single" w:sz="4" w:space="0" w:color="auto"/>
              <w:right w:val="single" w:sz="4" w:space="0" w:color="auto"/>
            </w:tcBorders>
            <w:shd w:val="clear" w:color="auto" w:fill="auto"/>
            <w:vAlign w:val="center"/>
          </w:tcPr>
          <w:p w14:paraId="002DC712" w14:textId="1CB8E147" w:rsidR="009C26EF" w:rsidRPr="00D56579" w:rsidRDefault="009C26EF" w:rsidP="002F131C">
            <w:pPr>
              <w:jc w:val="right"/>
              <w:rPr>
                <w:rFonts w:ascii="Montserrat Medium" w:hAnsi="Montserrat Medium" w:cs="Calibri"/>
                <w:sz w:val="18"/>
                <w:szCs w:val="18"/>
              </w:rPr>
            </w:pPr>
            <w:r>
              <w:rPr>
                <w:rFonts w:ascii="Montserrat Medium" w:hAnsi="Montserrat Medium" w:cs="Calibri"/>
                <w:color w:val="000000"/>
                <w:sz w:val="18"/>
                <w:szCs w:val="18"/>
              </w:rPr>
              <w:t>10,787,360,374.90</w:t>
            </w:r>
          </w:p>
        </w:tc>
      </w:tr>
      <w:tr w:rsidR="009C26EF" w:rsidRPr="00D56579" w14:paraId="199C5E3B" w14:textId="773A9D02" w:rsidTr="00636952">
        <w:trPr>
          <w:trHeight w:hRule="exact" w:val="227"/>
          <w:tblHeader/>
          <w:jc w:val="center"/>
        </w:trPr>
        <w:tc>
          <w:tcPr>
            <w:tcW w:w="5139" w:type="dxa"/>
            <w:tcBorders>
              <w:top w:val="nil"/>
              <w:left w:val="single" w:sz="4" w:space="0" w:color="auto"/>
              <w:right w:val="single" w:sz="4" w:space="0" w:color="auto"/>
            </w:tcBorders>
            <w:shd w:val="clear" w:color="auto" w:fill="auto"/>
            <w:vAlign w:val="bottom"/>
            <w:hideMark/>
          </w:tcPr>
          <w:p w14:paraId="18214ED9" w14:textId="39BAB7ED" w:rsidR="009C26EF" w:rsidRPr="00D56579" w:rsidRDefault="009C26EF" w:rsidP="002F131C">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Transferencias, asignaciones, subsidios y otras ayudas</w:t>
            </w:r>
          </w:p>
        </w:tc>
        <w:tc>
          <w:tcPr>
            <w:tcW w:w="1733" w:type="dxa"/>
            <w:tcBorders>
              <w:top w:val="nil"/>
              <w:left w:val="single" w:sz="4" w:space="0" w:color="auto"/>
              <w:right w:val="single" w:sz="4" w:space="0" w:color="auto"/>
            </w:tcBorders>
            <w:shd w:val="clear" w:color="auto" w:fill="auto"/>
            <w:noWrap/>
            <w:vAlign w:val="center"/>
            <w:hideMark/>
          </w:tcPr>
          <w:p w14:paraId="50DA8E15" w14:textId="5CF05245" w:rsidR="009C26EF" w:rsidRPr="00D56579" w:rsidRDefault="009C26EF" w:rsidP="002F131C">
            <w:pPr>
              <w:jc w:val="right"/>
              <w:rPr>
                <w:rFonts w:ascii="Montserrat Medium" w:hAnsi="Montserrat Medium" w:cs="Calibri"/>
                <w:color w:val="000000"/>
                <w:sz w:val="18"/>
                <w:szCs w:val="18"/>
              </w:rPr>
            </w:pPr>
            <w:r>
              <w:rPr>
                <w:rFonts w:ascii="Montserrat Medium" w:hAnsi="Montserrat Medium" w:cs="Calibri"/>
                <w:color w:val="000000"/>
                <w:sz w:val="18"/>
                <w:szCs w:val="18"/>
              </w:rPr>
              <w:t>11,997,021,291.90</w:t>
            </w:r>
          </w:p>
        </w:tc>
        <w:tc>
          <w:tcPr>
            <w:tcW w:w="1745" w:type="dxa"/>
            <w:tcBorders>
              <w:top w:val="nil"/>
              <w:left w:val="single" w:sz="4" w:space="0" w:color="auto"/>
              <w:right w:val="single" w:sz="4" w:space="0" w:color="auto"/>
            </w:tcBorders>
            <w:shd w:val="clear" w:color="auto" w:fill="auto"/>
            <w:vAlign w:val="center"/>
          </w:tcPr>
          <w:p w14:paraId="1EA63AA9" w14:textId="536134E7" w:rsidR="009C26EF" w:rsidRPr="00D56579" w:rsidRDefault="009C26EF" w:rsidP="002F131C">
            <w:pPr>
              <w:jc w:val="right"/>
              <w:rPr>
                <w:rFonts w:ascii="Montserrat Medium" w:hAnsi="Montserrat Medium" w:cs="Calibri"/>
                <w:sz w:val="18"/>
                <w:szCs w:val="18"/>
              </w:rPr>
            </w:pPr>
            <w:r>
              <w:rPr>
                <w:rFonts w:ascii="Montserrat Medium" w:hAnsi="Montserrat Medium" w:cs="Calibri"/>
                <w:color w:val="000000"/>
                <w:sz w:val="18"/>
                <w:szCs w:val="18"/>
              </w:rPr>
              <w:t>26,168,324,042.53</w:t>
            </w:r>
          </w:p>
        </w:tc>
      </w:tr>
      <w:tr w:rsidR="009C26EF" w:rsidRPr="00D56579" w14:paraId="1D307DE8" w14:textId="6A251AAB" w:rsidTr="00636952">
        <w:trPr>
          <w:trHeight w:hRule="exact" w:val="227"/>
          <w:tblHeader/>
          <w:jc w:val="center"/>
        </w:trPr>
        <w:tc>
          <w:tcPr>
            <w:tcW w:w="5139" w:type="dxa"/>
            <w:tcBorders>
              <w:top w:val="nil"/>
              <w:left w:val="single" w:sz="4" w:space="0" w:color="auto"/>
              <w:right w:val="single" w:sz="4" w:space="0" w:color="auto"/>
            </w:tcBorders>
            <w:shd w:val="clear" w:color="auto" w:fill="auto"/>
            <w:noWrap/>
            <w:vAlign w:val="bottom"/>
            <w:hideMark/>
          </w:tcPr>
          <w:p w14:paraId="1ED7CAB0" w14:textId="77777777" w:rsidR="009C26EF" w:rsidRPr="00D56579" w:rsidRDefault="009C26EF" w:rsidP="002F131C">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Participaciones y aportaciones</w:t>
            </w:r>
          </w:p>
        </w:tc>
        <w:tc>
          <w:tcPr>
            <w:tcW w:w="1733" w:type="dxa"/>
            <w:tcBorders>
              <w:top w:val="nil"/>
              <w:left w:val="single" w:sz="4" w:space="0" w:color="auto"/>
              <w:right w:val="single" w:sz="4" w:space="0" w:color="auto"/>
            </w:tcBorders>
            <w:shd w:val="clear" w:color="auto" w:fill="auto"/>
            <w:noWrap/>
            <w:vAlign w:val="center"/>
            <w:hideMark/>
          </w:tcPr>
          <w:p w14:paraId="57877FD4" w14:textId="76F38814" w:rsidR="009C26EF" w:rsidRPr="00D56579" w:rsidRDefault="009C26EF" w:rsidP="002F131C">
            <w:pPr>
              <w:jc w:val="right"/>
              <w:rPr>
                <w:rFonts w:ascii="Montserrat Medium" w:hAnsi="Montserrat Medium" w:cs="Calibri"/>
                <w:color w:val="000000"/>
                <w:sz w:val="18"/>
                <w:szCs w:val="18"/>
              </w:rPr>
            </w:pPr>
            <w:r>
              <w:rPr>
                <w:rFonts w:ascii="Montserrat Medium" w:hAnsi="Montserrat Medium" w:cs="Calibri"/>
                <w:color w:val="000000"/>
                <w:sz w:val="18"/>
                <w:szCs w:val="18"/>
              </w:rPr>
              <w:t>4,633,379,749.50</w:t>
            </w:r>
          </w:p>
        </w:tc>
        <w:tc>
          <w:tcPr>
            <w:tcW w:w="1745" w:type="dxa"/>
            <w:tcBorders>
              <w:top w:val="nil"/>
              <w:left w:val="single" w:sz="4" w:space="0" w:color="auto"/>
              <w:right w:val="single" w:sz="4" w:space="0" w:color="auto"/>
            </w:tcBorders>
            <w:shd w:val="clear" w:color="auto" w:fill="auto"/>
            <w:vAlign w:val="center"/>
          </w:tcPr>
          <w:p w14:paraId="2C7CF195" w14:textId="5A9A843D" w:rsidR="009C26EF" w:rsidRPr="00D56579" w:rsidRDefault="009C26EF" w:rsidP="002F131C">
            <w:pPr>
              <w:jc w:val="right"/>
              <w:rPr>
                <w:rFonts w:ascii="Montserrat Medium" w:hAnsi="Montserrat Medium" w:cs="Calibri"/>
                <w:sz w:val="18"/>
                <w:szCs w:val="18"/>
              </w:rPr>
            </w:pPr>
            <w:r>
              <w:rPr>
                <w:rFonts w:ascii="Montserrat Medium" w:hAnsi="Montserrat Medium" w:cs="Calibri"/>
                <w:color w:val="000000"/>
                <w:sz w:val="18"/>
                <w:szCs w:val="18"/>
              </w:rPr>
              <w:t>7,716,038,443.30</w:t>
            </w:r>
          </w:p>
        </w:tc>
      </w:tr>
      <w:tr w:rsidR="009C26EF" w:rsidRPr="00D56579" w14:paraId="13C9F512" w14:textId="504CA457" w:rsidTr="00636952">
        <w:trPr>
          <w:trHeight w:hRule="exact" w:val="227"/>
          <w:tblHeader/>
          <w:jc w:val="center"/>
        </w:trPr>
        <w:tc>
          <w:tcPr>
            <w:tcW w:w="5139" w:type="dxa"/>
            <w:tcBorders>
              <w:top w:val="nil"/>
              <w:left w:val="single" w:sz="4" w:space="0" w:color="auto"/>
              <w:right w:val="single" w:sz="4" w:space="0" w:color="auto"/>
            </w:tcBorders>
            <w:shd w:val="clear" w:color="auto" w:fill="auto"/>
            <w:noWrap/>
            <w:vAlign w:val="bottom"/>
            <w:hideMark/>
          </w:tcPr>
          <w:p w14:paraId="685AE2DA" w14:textId="77777777" w:rsidR="009C26EF" w:rsidRPr="00D56579" w:rsidRDefault="009C26EF" w:rsidP="002F131C">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Intereses, comisiones y otros gastos de la deuda pública</w:t>
            </w:r>
          </w:p>
        </w:tc>
        <w:tc>
          <w:tcPr>
            <w:tcW w:w="1733" w:type="dxa"/>
            <w:tcBorders>
              <w:top w:val="nil"/>
              <w:left w:val="single" w:sz="4" w:space="0" w:color="auto"/>
              <w:right w:val="single" w:sz="4" w:space="0" w:color="auto"/>
            </w:tcBorders>
            <w:shd w:val="clear" w:color="auto" w:fill="auto"/>
            <w:noWrap/>
            <w:vAlign w:val="center"/>
            <w:hideMark/>
          </w:tcPr>
          <w:p w14:paraId="01BDC088" w14:textId="78F311ED" w:rsidR="009C26EF" w:rsidRPr="00D56579" w:rsidRDefault="009C26EF" w:rsidP="002F131C">
            <w:pPr>
              <w:jc w:val="right"/>
              <w:rPr>
                <w:rFonts w:ascii="Montserrat Medium" w:hAnsi="Montserrat Medium" w:cs="Calibri"/>
                <w:color w:val="000000"/>
                <w:sz w:val="18"/>
                <w:szCs w:val="18"/>
              </w:rPr>
            </w:pPr>
            <w:r>
              <w:rPr>
                <w:rFonts w:ascii="Montserrat Medium" w:hAnsi="Montserrat Medium" w:cs="Calibri"/>
                <w:color w:val="000000"/>
                <w:sz w:val="18"/>
                <w:szCs w:val="18"/>
              </w:rPr>
              <w:t>1,000,961,100.50</w:t>
            </w:r>
          </w:p>
        </w:tc>
        <w:tc>
          <w:tcPr>
            <w:tcW w:w="1745" w:type="dxa"/>
            <w:tcBorders>
              <w:top w:val="nil"/>
              <w:left w:val="single" w:sz="4" w:space="0" w:color="auto"/>
              <w:right w:val="single" w:sz="4" w:space="0" w:color="auto"/>
            </w:tcBorders>
            <w:shd w:val="clear" w:color="auto" w:fill="auto"/>
            <w:vAlign w:val="center"/>
          </w:tcPr>
          <w:p w14:paraId="274974D3" w14:textId="40989838" w:rsidR="009C26EF" w:rsidRPr="00D56579" w:rsidRDefault="009C26EF" w:rsidP="002F131C">
            <w:pPr>
              <w:jc w:val="right"/>
              <w:rPr>
                <w:rFonts w:ascii="Montserrat Medium" w:hAnsi="Montserrat Medium" w:cs="Calibri"/>
                <w:sz w:val="18"/>
                <w:szCs w:val="18"/>
              </w:rPr>
            </w:pPr>
            <w:r>
              <w:rPr>
                <w:rFonts w:ascii="Montserrat Medium" w:hAnsi="Montserrat Medium" w:cs="Calibri"/>
                <w:color w:val="000000"/>
                <w:sz w:val="18"/>
                <w:szCs w:val="18"/>
              </w:rPr>
              <w:t>2,337,299,352.29</w:t>
            </w:r>
          </w:p>
        </w:tc>
      </w:tr>
      <w:tr w:rsidR="009C26EF" w:rsidRPr="00D56579" w14:paraId="11FB936B" w14:textId="4813869D" w:rsidTr="00636952">
        <w:trPr>
          <w:trHeight w:hRule="exact" w:val="227"/>
          <w:tblHeader/>
          <w:jc w:val="center"/>
        </w:trPr>
        <w:tc>
          <w:tcPr>
            <w:tcW w:w="5139" w:type="dxa"/>
            <w:tcBorders>
              <w:top w:val="nil"/>
              <w:left w:val="single" w:sz="4" w:space="0" w:color="auto"/>
              <w:right w:val="single" w:sz="4" w:space="0" w:color="auto"/>
            </w:tcBorders>
            <w:shd w:val="clear" w:color="auto" w:fill="auto"/>
            <w:noWrap/>
            <w:vAlign w:val="bottom"/>
            <w:hideMark/>
          </w:tcPr>
          <w:p w14:paraId="45CB806A" w14:textId="77777777" w:rsidR="009C26EF" w:rsidRPr="00D56579" w:rsidRDefault="009C26EF" w:rsidP="002F131C">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Otros gastos y pérdidas extraordinarias</w:t>
            </w:r>
          </w:p>
        </w:tc>
        <w:tc>
          <w:tcPr>
            <w:tcW w:w="1733" w:type="dxa"/>
            <w:tcBorders>
              <w:top w:val="nil"/>
              <w:left w:val="single" w:sz="4" w:space="0" w:color="auto"/>
              <w:right w:val="single" w:sz="4" w:space="0" w:color="auto"/>
            </w:tcBorders>
            <w:shd w:val="clear" w:color="auto" w:fill="auto"/>
            <w:noWrap/>
            <w:vAlign w:val="center"/>
            <w:hideMark/>
          </w:tcPr>
          <w:p w14:paraId="2B0A4A49" w14:textId="47233AD3" w:rsidR="009C26EF" w:rsidRPr="00D56579" w:rsidRDefault="009C26EF" w:rsidP="002F131C">
            <w:pPr>
              <w:jc w:val="right"/>
              <w:rPr>
                <w:rFonts w:ascii="Montserrat Medium" w:hAnsi="Montserrat Medium" w:cs="Calibri"/>
                <w:color w:val="000000"/>
                <w:sz w:val="18"/>
                <w:szCs w:val="18"/>
              </w:rPr>
            </w:pPr>
            <w:r>
              <w:rPr>
                <w:rFonts w:ascii="Montserrat Medium" w:hAnsi="Montserrat Medium" w:cs="Calibri"/>
                <w:color w:val="000000"/>
                <w:sz w:val="18"/>
                <w:szCs w:val="18"/>
              </w:rPr>
              <w:t>23,944,966.69</w:t>
            </w:r>
          </w:p>
        </w:tc>
        <w:tc>
          <w:tcPr>
            <w:tcW w:w="1745" w:type="dxa"/>
            <w:tcBorders>
              <w:top w:val="nil"/>
              <w:left w:val="single" w:sz="4" w:space="0" w:color="auto"/>
              <w:right w:val="single" w:sz="4" w:space="0" w:color="auto"/>
            </w:tcBorders>
            <w:shd w:val="clear" w:color="auto" w:fill="auto"/>
            <w:vAlign w:val="center"/>
          </w:tcPr>
          <w:p w14:paraId="30200536" w14:textId="1A01BBFF" w:rsidR="009C26EF" w:rsidRPr="00D56579" w:rsidRDefault="009C26EF" w:rsidP="002F131C">
            <w:pPr>
              <w:jc w:val="right"/>
              <w:rPr>
                <w:rFonts w:ascii="Montserrat Medium" w:hAnsi="Montserrat Medium" w:cs="Calibri"/>
                <w:sz w:val="18"/>
                <w:szCs w:val="18"/>
              </w:rPr>
            </w:pPr>
            <w:r>
              <w:rPr>
                <w:rFonts w:ascii="Montserrat Medium" w:hAnsi="Montserrat Medium" w:cs="Calibri"/>
                <w:color w:val="000000"/>
                <w:sz w:val="18"/>
                <w:szCs w:val="18"/>
              </w:rPr>
              <w:t>10,384,510.68</w:t>
            </w:r>
          </w:p>
        </w:tc>
      </w:tr>
      <w:tr w:rsidR="009C26EF" w:rsidRPr="00D56579" w14:paraId="642EB989" w14:textId="5774A9BB" w:rsidTr="00636952">
        <w:trPr>
          <w:trHeight w:hRule="exact" w:val="227"/>
          <w:tblHeader/>
          <w:jc w:val="center"/>
        </w:trPr>
        <w:tc>
          <w:tcPr>
            <w:tcW w:w="5139" w:type="dxa"/>
            <w:tcBorders>
              <w:left w:val="single" w:sz="4" w:space="0" w:color="auto"/>
              <w:bottom w:val="single" w:sz="4" w:space="0" w:color="auto"/>
              <w:right w:val="single" w:sz="4" w:space="0" w:color="auto"/>
            </w:tcBorders>
            <w:shd w:val="clear" w:color="auto" w:fill="auto"/>
            <w:noWrap/>
            <w:vAlign w:val="bottom"/>
            <w:hideMark/>
          </w:tcPr>
          <w:p w14:paraId="7B53370D" w14:textId="77777777" w:rsidR="009C26EF" w:rsidRPr="00D56579" w:rsidRDefault="009C26EF" w:rsidP="002F131C">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Inversión pública</w:t>
            </w:r>
          </w:p>
        </w:tc>
        <w:tc>
          <w:tcPr>
            <w:tcW w:w="1733" w:type="dxa"/>
            <w:tcBorders>
              <w:left w:val="nil"/>
              <w:bottom w:val="single" w:sz="4" w:space="0" w:color="auto"/>
              <w:right w:val="single" w:sz="4" w:space="0" w:color="auto"/>
            </w:tcBorders>
            <w:shd w:val="clear" w:color="auto" w:fill="auto"/>
            <w:noWrap/>
            <w:vAlign w:val="center"/>
            <w:hideMark/>
          </w:tcPr>
          <w:p w14:paraId="4273DCFE" w14:textId="37C5679C" w:rsidR="009C26EF" w:rsidRPr="00D56579" w:rsidRDefault="009C26EF" w:rsidP="002F131C">
            <w:pPr>
              <w:jc w:val="right"/>
              <w:rPr>
                <w:rFonts w:ascii="Montserrat Medium" w:hAnsi="Montserrat Medium" w:cs="Calibri"/>
                <w:color w:val="000000"/>
                <w:sz w:val="18"/>
                <w:szCs w:val="18"/>
              </w:rPr>
            </w:pPr>
            <w:r>
              <w:rPr>
                <w:rFonts w:ascii="Montserrat Medium" w:hAnsi="Montserrat Medium" w:cs="Calibri"/>
                <w:color w:val="000000"/>
                <w:sz w:val="18"/>
                <w:szCs w:val="18"/>
              </w:rPr>
              <w:t>0.00</w:t>
            </w:r>
          </w:p>
        </w:tc>
        <w:tc>
          <w:tcPr>
            <w:tcW w:w="1745" w:type="dxa"/>
            <w:tcBorders>
              <w:left w:val="nil"/>
              <w:bottom w:val="single" w:sz="4" w:space="0" w:color="auto"/>
              <w:right w:val="single" w:sz="4" w:space="0" w:color="auto"/>
            </w:tcBorders>
            <w:shd w:val="clear" w:color="auto" w:fill="auto"/>
            <w:vAlign w:val="center"/>
          </w:tcPr>
          <w:p w14:paraId="31A03EDB" w14:textId="0065054F" w:rsidR="009C26EF" w:rsidRPr="00D56579" w:rsidRDefault="009C26EF" w:rsidP="002F131C">
            <w:pPr>
              <w:jc w:val="right"/>
              <w:rPr>
                <w:rFonts w:ascii="Montserrat Medium" w:hAnsi="Montserrat Medium" w:cs="Calibri"/>
                <w:sz w:val="18"/>
                <w:szCs w:val="18"/>
              </w:rPr>
            </w:pPr>
            <w:r>
              <w:rPr>
                <w:rFonts w:ascii="Montserrat Medium" w:hAnsi="Montserrat Medium" w:cs="Calibri"/>
                <w:color w:val="000000"/>
                <w:sz w:val="18"/>
                <w:szCs w:val="18"/>
              </w:rPr>
              <w:t>1,476,649.65</w:t>
            </w:r>
          </w:p>
        </w:tc>
      </w:tr>
      <w:tr w:rsidR="009C26EF" w:rsidRPr="00D56579" w14:paraId="72B13421" w14:textId="6B981BD1" w:rsidTr="00636952">
        <w:trPr>
          <w:trHeight w:hRule="exact" w:val="227"/>
          <w:tblHeader/>
          <w:jc w:val="center"/>
        </w:trPr>
        <w:tc>
          <w:tcPr>
            <w:tcW w:w="5139" w:type="dxa"/>
            <w:tcBorders>
              <w:top w:val="nil"/>
              <w:left w:val="single" w:sz="4" w:space="0" w:color="auto"/>
              <w:bottom w:val="single" w:sz="4" w:space="0" w:color="auto"/>
              <w:right w:val="single" w:sz="4" w:space="0" w:color="auto"/>
            </w:tcBorders>
            <w:shd w:val="clear" w:color="auto" w:fill="auto"/>
            <w:noWrap/>
            <w:vAlign w:val="bottom"/>
            <w:hideMark/>
          </w:tcPr>
          <w:p w14:paraId="6F90A54B" w14:textId="6CC2FF7E" w:rsidR="009C26EF" w:rsidRPr="00D56579" w:rsidRDefault="009C26EF" w:rsidP="002F131C">
            <w:pPr>
              <w:rPr>
                <w:rFonts w:ascii="Montserrat Medium" w:eastAsia="Times New Roman" w:hAnsi="Montserrat Medium" w:cs="Calibri"/>
                <w:b/>
                <w:color w:val="000000"/>
                <w:sz w:val="18"/>
                <w:szCs w:val="18"/>
                <w:lang w:eastAsia="es-MX"/>
              </w:rPr>
            </w:pPr>
            <w:r w:rsidRPr="00D56579">
              <w:rPr>
                <w:rFonts w:ascii="Montserrat Medium" w:eastAsia="Times New Roman" w:hAnsi="Montserrat Medium" w:cs="Calibri"/>
                <w:b/>
                <w:color w:val="000000"/>
                <w:sz w:val="18"/>
                <w:szCs w:val="18"/>
                <w:lang w:eastAsia="es-MX"/>
              </w:rPr>
              <w:t xml:space="preserve">Total </w:t>
            </w:r>
          </w:p>
        </w:tc>
        <w:tc>
          <w:tcPr>
            <w:tcW w:w="1733" w:type="dxa"/>
            <w:tcBorders>
              <w:top w:val="nil"/>
              <w:left w:val="nil"/>
              <w:bottom w:val="single" w:sz="4" w:space="0" w:color="auto"/>
              <w:right w:val="single" w:sz="4" w:space="0" w:color="auto"/>
            </w:tcBorders>
            <w:shd w:val="clear" w:color="auto" w:fill="auto"/>
            <w:noWrap/>
            <w:vAlign w:val="center"/>
            <w:hideMark/>
          </w:tcPr>
          <w:p w14:paraId="1B221700" w14:textId="3505E5C2" w:rsidR="009C26EF" w:rsidRPr="00D56579" w:rsidRDefault="009C26EF" w:rsidP="002F131C">
            <w:pPr>
              <w:jc w:val="right"/>
              <w:rPr>
                <w:rFonts w:ascii="Montserrat Medium" w:hAnsi="Montserrat Medium" w:cs="Calibri"/>
                <w:b/>
                <w:color w:val="000000"/>
                <w:sz w:val="18"/>
                <w:szCs w:val="18"/>
              </w:rPr>
            </w:pPr>
            <w:r>
              <w:rPr>
                <w:rFonts w:ascii="Montserrat Medium" w:hAnsi="Montserrat Medium" w:cs="Calibri"/>
                <w:b/>
                <w:bCs/>
                <w:color w:val="000000"/>
                <w:sz w:val="18"/>
                <w:szCs w:val="18"/>
              </w:rPr>
              <w:t>22,271,850,318.73</w:t>
            </w:r>
          </w:p>
        </w:tc>
        <w:tc>
          <w:tcPr>
            <w:tcW w:w="1745" w:type="dxa"/>
            <w:tcBorders>
              <w:top w:val="nil"/>
              <w:left w:val="nil"/>
              <w:bottom w:val="single" w:sz="4" w:space="0" w:color="auto"/>
              <w:right w:val="single" w:sz="4" w:space="0" w:color="auto"/>
            </w:tcBorders>
            <w:shd w:val="clear" w:color="auto" w:fill="auto"/>
            <w:vAlign w:val="center"/>
          </w:tcPr>
          <w:p w14:paraId="45700CF9" w14:textId="1318F174" w:rsidR="009C26EF" w:rsidRPr="00D56579" w:rsidRDefault="009C26EF" w:rsidP="002F131C">
            <w:pPr>
              <w:jc w:val="right"/>
              <w:rPr>
                <w:rFonts w:ascii="Montserrat Medium" w:hAnsi="Montserrat Medium" w:cs="Calibri"/>
                <w:b/>
                <w:sz w:val="18"/>
                <w:szCs w:val="18"/>
              </w:rPr>
            </w:pPr>
            <w:r>
              <w:rPr>
                <w:rFonts w:ascii="Montserrat Medium" w:hAnsi="Montserrat Medium" w:cs="Calibri"/>
                <w:b/>
                <w:bCs/>
                <w:color w:val="000000"/>
                <w:sz w:val="18"/>
                <w:szCs w:val="18"/>
              </w:rPr>
              <w:t>47,020,883,373.35</w:t>
            </w:r>
          </w:p>
        </w:tc>
      </w:tr>
    </w:tbl>
    <w:p w14:paraId="0A50A1C8" w14:textId="77777777" w:rsidR="0003514D" w:rsidRDefault="0003514D" w:rsidP="002F131C">
      <w:pPr>
        <w:rPr>
          <w:rFonts w:ascii="Montserrat Medium" w:eastAsia="Times New Roman" w:hAnsi="Montserrat Medium" w:cs="Arial"/>
          <w:b/>
          <w:iCs/>
          <w:color w:val="595959"/>
          <w:sz w:val="22"/>
        </w:rPr>
      </w:pPr>
    </w:p>
    <w:p w14:paraId="7732613F" w14:textId="1A17DB35" w:rsidR="0021334C" w:rsidRPr="00D56579" w:rsidRDefault="0021334C" w:rsidP="002F131C">
      <w:pPr>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Gastos de Funcionamiento</w:t>
      </w:r>
    </w:p>
    <w:p w14:paraId="13BFFC5E" w14:textId="77777777" w:rsidR="00636952" w:rsidRDefault="00636952" w:rsidP="002F131C">
      <w:pPr>
        <w:keepNext/>
        <w:keepLines/>
        <w:jc w:val="both"/>
        <w:outlineLvl w:val="6"/>
        <w:rPr>
          <w:rFonts w:ascii="Montserrat Medium" w:eastAsia="Times New Roman" w:hAnsi="Montserrat Medium" w:cs="Arial"/>
          <w:color w:val="595959"/>
          <w:sz w:val="22"/>
          <w:lang w:eastAsia="en-US"/>
        </w:rPr>
      </w:pPr>
    </w:p>
    <w:p w14:paraId="6E3C9945" w14:textId="77777777" w:rsidR="0021334C" w:rsidRPr="00D56579" w:rsidRDefault="0021334C" w:rsidP="002F131C">
      <w:pPr>
        <w:keepNext/>
        <w:keepLines/>
        <w:jc w:val="both"/>
        <w:outlineLvl w:val="6"/>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Son los gastos necesarios para el normal ejercicio de las funciones de la entidad y son los que a continuación se enlistan:</w:t>
      </w:r>
    </w:p>
    <w:tbl>
      <w:tblPr>
        <w:tblW w:w="6012" w:type="dxa"/>
        <w:jc w:val="center"/>
        <w:tblCellMar>
          <w:left w:w="70" w:type="dxa"/>
          <w:right w:w="70" w:type="dxa"/>
        </w:tblCellMar>
        <w:tblLook w:val="04A0" w:firstRow="1" w:lastRow="0" w:firstColumn="1" w:lastColumn="0" w:noHBand="0" w:noVBand="1"/>
      </w:tblPr>
      <w:tblGrid>
        <w:gridCol w:w="2657"/>
        <w:gridCol w:w="1634"/>
        <w:gridCol w:w="1721"/>
      </w:tblGrid>
      <w:tr w:rsidR="0003514D" w:rsidRPr="00D56579" w14:paraId="69E11FCA" w14:textId="440ACE21" w:rsidTr="009C26EF">
        <w:trPr>
          <w:trHeight w:val="267"/>
          <w:jc w:val="center"/>
        </w:trPr>
        <w:tc>
          <w:tcPr>
            <w:tcW w:w="2657"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58B79F66" w14:textId="77777777" w:rsidR="0003514D" w:rsidRPr="00D56579" w:rsidRDefault="0003514D" w:rsidP="002F131C">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Concepto</w:t>
            </w:r>
          </w:p>
        </w:tc>
        <w:tc>
          <w:tcPr>
            <w:tcW w:w="1634"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176AF435" w14:textId="4B066547" w:rsidR="0003514D" w:rsidRPr="00D56579" w:rsidRDefault="0003514D" w:rsidP="002F131C">
            <w:pPr>
              <w:jc w:val="center"/>
              <w:rPr>
                <w:rFonts w:ascii="Montserrat Medium" w:eastAsia="Times New Roman" w:hAnsi="Montserrat Medium" w:cs="Calibri"/>
                <w:b/>
                <w:bCs/>
                <w:color w:val="000000"/>
                <w:sz w:val="18"/>
                <w:szCs w:val="18"/>
                <w:lang w:val="es-MX" w:eastAsia="es-MX"/>
              </w:rPr>
            </w:pPr>
            <w:r>
              <w:rPr>
                <w:rFonts w:ascii="Montserrat Medium" w:hAnsi="Montserrat Medium" w:cs="Calibri"/>
                <w:b/>
                <w:bCs/>
                <w:color w:val="000000"/>
                <w:sz w:val="18"/>
                <w:szCs w:val="18"/>
              </w:rPr>
              <w:t>Al 3</w:t>
            </w:r>
            <w:r w:rsidR="009C26EF">
              <w:rPr>
                <w:rFonts w:ascii="Montserrat Medium" w:hAnsi="Montserrat Medium" w:cs="Calibri"/>
                <w:b/>
                <w:bCs/>
                <w:color w:val="000000"/>
                <w:sz w:val="18"/>
                <w:szCs w:val="18"/>
              </w:rPr>
              <w:t>0</w:t>
            </w:r>
            <w:r>
              <w:rPr>
                <w:rFonts w:ascii="Montserrat Medium" w:hAnsi="Montserrat Medium" w:cs="Calibri"/>
                <w:b/>
                <w:bCs/>
                <w:color w:val="000000"/>
                <w:sz w:val="18"/>
                <w:szCs w:val="18"/>
              </w:rPr>
              <w:t xml:space="preserve"> de </w:t>
            </w:r>
            <w:r w:rsidR="009C26EF">
              <w:rPr>
                <w:rFonts w:ascii="Montserrat Medium" w:hAnsi="Montserrat Medium" w:cs="Calibri"/>
                <w:b/>
                <w:bCs/>
                <w:color w:val="000000"/>
                <w:sz w:val="18"/>
                <w:szCs w:val="18"/>
              </w:rPr>
              <w:t>Junio</w:t>
            </w:r>
            <w:r>
              <w:rPr>
                <w:rFonts w:ascii="Montserrat Medium" w:hAnsi="Montserrat Medium" w:cs="Calibri"/>
                <w:b/>
                <w:bCs/>
                <w:color w:val="000000"/>
                <w:sz w:val="18"/>
                <w:szCs w:val="18"/>
              </w:rPr>
              <w:t xml:space="preserve"> de 2025</w:t>
            </w:r>
          </w:p>
        </w:tc>
        <w:tc>
          <w:tcPr>
            <w:tcW w:w="1721" w:type="dxa"/>
            <w:tcBorders>
              <w:top w:val="single" w:sz="8" w:space="0" w:color="auto"/>
              <w:left w:val="nil"/>
              <w:bottom w:val="single" w:sz="8" w:space="0" w:color="auto"/>
              <w:right w:val="single" w:sz="8" w:space="0" w:color="auto"/>
            </w:tcBorders>
            <w:shd w:val="clear" w:color="auto" w:fill="BFBFBF" w:themeFill="background1" w:themeFillShade="BF"/>
            <w:vAlign w:val="center"/>
          </w:tcPr>
          <w:p w14:paraId="6D92A3FF" w14:textId="0F0D2EC9" w:rsidR="0003514D" w:rsidRPr="00D56579" w:rsidRDefault="0003514D" w:rsidP="002F131C">
            <w:pPr>
              <w:jc w:val="center"/>
              <w:rPr>
                <w:rFonts w:ascii="Montserrat Medium" w:eastAsia="Times New Roman" w:hAnsi="Montserrat Medium" w:cs="Calibri"/>
                <w:b/>
                <w:bCs/>
                <w:color w:val="000000"/>
                <w:sz w:val="18"/>
                <w:szCs w:val="18"/>
                <w:lang w:eastAsia="es-MX"/>
              </w:rPr>
            </w:pPr>
            <w:r>
              <w:rPr>
                <w:rFonts w:ascii="Montserrat Medium" w:hAnsi="Montserrat Medium" w:cs="Calibri"/>
                <w:b/>
                <w:bCs/>
                <w:color w:val="000000"/>
                <w:sz w:val="18"/>
                <w:szCs w:val="18"/>
              </w:rPr>
              <w:t>2024</w:t>
            </w:r>
          </w:p>
        </w:tc>
      </w:tr>
      <w:tr w:rsidR="009C26EF" w:rsidRPr="00D56579" w14:paraId="1087A8DB" w14:textId="2DAA6FF0" w:rsidTr="009C26EF">
        <w:trPr>
          <w:trHeight w:val="290"/>
          <w:jc w:val="center"/>
        </w:trPr>
        <w:tc>
          <w:tcPr>
            <w:tcW w:w="2657" w:type="dxa"/>
            <w:tcBorders>
              <w:top w:val="nil"/>
              <w:left w:val="single" w:sz="8" w:space="0" w:color="auto"/>
              <w:bottom w:val="nil"/>
              <w:right w:val="single" w:sz="8" w:space="0" w:color="auto"/>
            </w:tcBorders>
            <w:shd w:val="clear" w:color="auto" w:fill="auto"/>
            <w:vAlign w:val="bottom"/>
            <w:hideMark/>
          </w:tcPr>
          <w:p w14:paraId="7C8D77CC" w14:textId="77777777" w:rsidR="009C26EF" w:rsidRPr="00D56579" w:rsidRDefault="009C26EF" w:rsidP="002F131C">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Servicios personales</w:t>
            </w:r>
          </w:p>
        </w:tc>
        <w:tc>
          <w:tcPr>
            <w:tcW w:w="1634" w:type="dxa"/>
            <w:tcBorders>
              <w:top w:val="nil"/>
              <w:left w:val="nil"/>
              <w:bottom w:val="nil"/>
              <w:right w:val="single" w:sz="8" w:space="0" w:color="auto"/>
            </w:tcBorders>
            <w:shd w:val="clear" w:color="auto" w:fill="auto"/>
            <w:vAlign w:val="center"/>
          </w:tcPr>
          <w:p w14:paraId="5A39D122" w14:textId="43A190D3" w:rsidR="009C26EF" w:rsidRPr="00D56579" w:rsidRDefault="009C26EF" w:rsidP="002F131C">
            <w:pPr>
              <w:jc w:val="right"/>
              <w:rPr>
                <w:rFonts w:ascii="Montserrat Medium" w:hAnsi="Montserrat Medium" w:cs="Calibri"/>
                <w:color w:val="000000"/>
                <w:sz w:val="18"/>
                <w:szCs w:val="18"/>
              </w:rPr>
            </w:pPr>
            <w:r>
              <w:rPr>
                <w:rFonts w:ascii="Montserrat Medium" w:hAnsi="Montserrat Medium" w:cs="Calibri"/>
                <w:color w:val="000000"/>
                <w:sz w:val="18"/>
                <w:szCs w:val="18"/>
              </w:rPr>
              <w:t>1,425,993,101.88</w:t>
            </w:r>
          </w:p>
        </w:tc>
        <w:tc>
          <w:tcPr>
            <w:tcW w:w="1721" w:type="dxa"/>
            <w:tcBorders>
              <w:top w:val="nil"/>
              <w:left w:val="nil"/>
              <w:bottom w:val="nil"/>
              <w:right w:val="single" w:sz="8" w:space="0" w:color="auto"/>
            </w:tcBorders>
            <w:shd w:val="clear" w:color="auto" w:fill="auto"/>
            <w:vAlign w:val="center"/>
          </w:tcPr>
          <w:p w14:paraId="7E951F3A" w14:textId="36335E50" w:rsidR="009C26EF" w:rsidRPr="00D56579" w:rsidRDefault="009C26EF" w:rsidP="002F131C">
            <w:pPr>
              <w:jc w:val="right"/>
              <w:rPr>
                <w:rFonts w:ascii="Montserrat Medium" w:hAnsi="Montserrat Medium" w:cs="Calibri"/>
                <w:sz w:val="18"/>
                <w:szCs w:val="18"/>
              </w:rPr>
            </w:pPr>
            <w:r>
              <w:rPr>
                <w:rFonts w:ascii="Montserrat Medium" w:hAnsi="Montserrat Medium" w:cs="Calibri"/>
                <w:color w:val="000000"/>
                <w:sz w:val="18"/>
                <w:szCs w:val="18"/>
              </w:rPr>
              <w:t>2,821,621,726.14</w:t>
            </w:r>
          </w:p>
        </w:tc>
      </w:tr>
      <w:tr w:rsidR="009C26EF" w:rsidRPr="00D56579" w14:paraId="79608327" w14:textId="39DBFA7E" w:rsidTr="009C26EF">
        <w:trPr>
          <w:trHeight w:val="255"/>
          <w:jc w:val="center"/>
        </w:trPr>
        <w:tc>
          <w:tcPr>
            <w:tcW w:w="2657" w:type="dxa"/>
            <w:tcBorders>
              <w:top w:val="nil"/>
              <w:left w:val="single" w:sz="8" w:space="0" w:color="auto"/>
              <w:bottom w:val="nil"/>
              <w:right w:val="single" w:sz="8" w:space="0" w:color="auto"/>
            </w:tcBorders>
            <w:shd w:val="clear" w:color="auto" w:fill="auto"/>
            <w:vAlign w:val="bottom"/>
            <w:hideMark/>
          </w:tcPr>
          <w:p w14:paraId="3F658C6F" w14:textId="77777777" w:rsidR="009C26EF" w:rsidRPr="00D56579" w:rsidRDefault="009C26EF" w:rsidP="002F131C">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Materiales y suministros</w:t>
            </w:r>
          </w:p>
        </w:tc>
        <w:tc>
          <w:tcPr>
            <w:tcW w:w="1634" w:type="dxa"/>
            <w:tcBorders>
              <w:top w:val="nil"/>
              <w:left w:val="nil"/>
              <w:bottom w:val="nil"/>
              <w:right w:val="single" w:sz="8" w:space="0" w:color="auto"/>
            </w:tcBorders>
            <w:shd w:val="clear" w:color="auto" w:fill="auto"/>
            <w:vAlign w:val="center"/>
          </w:tcPr>
          <w:p w14:paraId="35C964FA" w14:textId="63757023" w:rsidR="009C26EF" w:rsidRPr="00D56579" w:rsidRDefault="009C26EF" w:rsidP="002F131C">
            <w:pPr>
              <w:jc w:val="right"/>
              <w:rPr>
                <w:rFonts w:ascii="Montserrat Medium" w:hAnsi="Montserrat Medium" w:cs="Calibri"/>
                <w:color w:val="000000"/>
                <w:sz w:val="18"/>
                <w:szCs w:val="18"/>
              </w:rPr>
            </w:pPr>
            <w:r>
              <w:rPr>
                <w:rFonts w:ascii="Montserrat Medium" w:hAnsi="Montserrat Medium" w:cs="Calibri"/>
                <w:color w:val="000000"/>
                <w:sz w:val="18"/>
                <w:szCs w:val="18"/>
              </w:rPr>
              <w:t>386,183,114.50</w:t>
            </w:r>
          </w:p>
        </w:tc>
        <w:tc>
          <w:tcPr>
            <w:tcW w:w="1721" w:type="dxa"/>
            <w:tcBorders>
              <w:top w:val="nil"/>
              <w:left w:val="nil"/>
              <w:bottom w:val="nil"/>
              <w:right w:val="single" w:sz="8" w:space="0" w:color="auto"/>
            </w:tcBorders>
            <w:shd w:val="clear" w:color="auto" w:fill="auto"/>
            <w:vAlign w:val="center"/>
          </w:tcPr>
          <w:p w14:paraId="47258884" w14:textId="28E4E117" w:rsidR="009C26EF" w:rsidRPr="00D56579" w:rsidRDefault="009C26EF" w:rsidP="002F131C">
            <w:pPr>
              <w:jc w:val="right"/>
              <w:rPr>
                <w:rFonts w:ascii="Montserrat Medium" w:hAnsi="Montserrat Medium" w:cs="Calibri"/>
                <w:sz w:val="18"/>
                <w:szCs w:val="18"/>
              </w:rPr>
            </w:pPr>
            <w:r>
              <w:rPr>
                <w:rFonts w:ascii="Montserrat Medium" w:hAnsi="Montserrat Medium" w:cs="Calibri"/>
                <w:color w:val="000000"/>
                <w:sz w:val="18"/>
                <w:szCs w:val="18"/>
              </w:rPr>
              <w:t>751,886,798.36</w:t>
            </w:r>
          </w:p>
        </w:tc>
      </w:tr>
      <w:tr w:rsidR="009C26EF" w:rsidRPr="00D56579" w14:paraId="6F1388A6" w14:textId="05F31A81" w:rsidTr="009C26EF">
        <w:trPr>
          <w:trHeight w:val="255"/>
          <w:jc w:val="center"/>
        </w:trPr>
        <w:tc>
          <w:tcPr>
            <w:tcW w:w="2657" w:type="dxa"/>
            <w:tcBorders>
              <w:top w:val="nil"/>
              <w:left w:val="single" w:sz="8" w:space="0" w:color="auto"/>
              <w:bottom w:val="nil"/>
              <w:right w:val="single" w:sz="8" w:space="0" w:color="auto"/>
            </w:tcBorders>
            <w:shd w:val="clear" w:color="auto" w:fill="auto"/>
            <w:vAlign w:val="bottom"/>
            <w:hideMark/>
          </w:tcPr>
          <w:p w14:paraId="06945719" w14:textId="77777777" w:rsidR="009C26EF" w:rsidRPr="00D56579" w:rsidRDefault="009C26EF" w:rsidP="002F131C">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Servicios generales</w:t>
            </w:r>
          </w:p>
        </w:tc>
        <w:tc>
          <w:tcPr>
            <w:tcW w:w="1634" w:type="dxa"/>
            <w:tcBorders>
              <w:top w:val="nil"/>
              <w:left w:val="nil"/>
              <w:bottom w:val="nil"/>
              <w:right w:val="single" w:sz="8" w:space="0" w:color="auto"/>
            </w:tcBorders>
            <w:shd w:val="clear" w:color="auto" w:fill="auto"/>
            <w:vAlign w:val="center"/>
          </w:tcPr>
          <w:p w14:paraId="03DE0B2A" w14:textId="7C2C759D" w:rsidR="009C26EF" w:rsidRPr="00D56579" w:rsidRDefault="009C26EF" w:rsidP="002F131C">
            <w:pPr>
              <w:jc w:val="right"/>
              <w:rPr>
                <w:rFonts w:ascii="Montserrat Medium" w:hAnsi="Montserrat Medium" w:cs="Calibri"/>
                <w:color w:val="000000"/>
                <w:sz w:val="18"/>
                <w:szCs w:val="18"/>
              </w:rPr>
            </w:pPr>
            <w:r>
              <w:rPr>
                <w:rFonts w:ascii="Montserrat Medium" w:hAnsi="Montserrat Medium" w:cs="Calibri"/>
                <w:color w:val="000000"/>
                <w:sz w:val="18"/>
                <w:szCs w:val="18"/>
              </w:rPr>
              <w:t>2,804,366,993.76</w:t>
            </w:r>
          </w:p>
        </w:tc>
        <w:tc>
          <w:tcPr>
            <w:tcW w:w="1721" w:type="dxa"/>
            <w:tcBorders>
              <w:top w:val="nil"/>
              <w:left w:val="nil"/>
              <w:bottom w:val="nil"/>
              <w:right w:val="single" w:sz="8" w:space="0" w:color="auto"/>
            </w:tcBorders>
            <w:shd w:val="clear" w:color="auto" w:fill="auto"/>
            <w:vAlign w:val="center"/>
          </w:tcPr>
          <w:p w14:paraId="5A4C8594" w14:textId="7B70EC8F" w:rsidR="009C26EF" w:rsidRPr="00D56579" w:rsidRDefault="009C26EF" w:rsidP="002F131C">
            <w:pPr>
              <w:jc w:val="right"/>
              <w:rPr>
                <w:rFonts w:ascii="Montserrat Medium" w:hAnsi="Montserrat Medium" w:cs="Calibri"/>
                <w:sz w:val="18"/>
                <w:szCs w:val="18"/>
              </w:rPr>
            </w:pPr>
            <w:r>
              <w:rPr>
                <w:rFonts w:ascii="Montserrat Medium" w:hAnsi="Montserrat Medium" w:cs="Calibri"/>
                <w:color w:val="000000"/>
                <w:sz w:val="18"/>
                <w:szCs w:val="18"/>
              </w:rPr>
              <w:t>7,213,851,850.40</w:t>
            </w:r>
          </w:p>
        </w:tc>
      </w:tr>
      <w:tr w:rsidR="009C26EF" w:rsidRPr="00D56579" w14:paraId="05CC405D" w14:textId="44AD59E1" w:rsidTr="009C26EF">
        <w:trPr>
          <w:trHeight w:val="160"/>
          <w:jc w:val="center"/>
        </w:trPr>
        <w:tc>
          <w:tcPr>
            <w:tcW w:w="2657" w:type="dxa"/>
            <w:tcBorders>
              <w:top w:val="single" w:sz="8" w:space="0" w:color="auto"/>
              <w:left w:val="single" w:sz="8" w:space="0" w:color="auto"/>
              <w:bottom w:val="single" w:sz="8" w:space="0" w:color="auto"/>
              <w:right w:val="nil"/>
            </w:tcBorders>
            <w:shd w:val="clear" w:color="auto" w:fill="auto"/>
            <w:noWrap/>
            <w:vAlign w:val="center"/>
            <w:hideMark/>
          </w:tcPr>
          <w:p w14:paraId="5B6E30FA" w14:textId="77777777" w:rsidR="009C26EF" w:rsidRPr="00D56579" w:rsidRDefault="009C26EF" w:rsidP="002F131C">
            <w:pPr>
              <w:jc w:val="both"/>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Total</w:t>
            </w:r>
          </w:p>
        </w:tc>
        <w:tc>
          <w:tcPr>
            <w:tcW w:w="1634" w:type="dxa"/>
            <w:tcBorders>
              <w:top w:val="single" w:sz="8" w:space="0" w:color="auto"/>
              <w:left w:val="single" w:sz="8" w:space="0" w:color="auto"/>
              <w:bottom w:val="single" w:sz="8" w:space="0" w:color="auto"/>
              <w:right w:val="single" w:sz="8" w:space="0" w:color="auto"/>
            </w:tcBorders>
            <w:shd w:val="clear" w:color="auto" w:fill="auto"/>
            <w:vAlign w:val="center"/>
          </w:tcPr>
          <w:p w14:paraId="2D59DD95" w14:textId="018548B4" w:rsidR="009C26EF" w:rsidRPr="00D56579" w:rsidRDefault="009C26EF" w:rsidP="002F131C">
            <w:pPr>
              <w:jc w:val="right"/>
              <w:rPr>
                <w:rFonts w:ascii="Montserrat Medium" w:hAnsi="Montserrat Medium" w:cs="Calibri"/>
                <w:color w:val="000000"/>
                <w:sz w:val="18"/>
                <w:szCs w:val="18"/>
              </w:rPr>
            </w:pPr>
            <w:r>
              <w:rPr>
                <w:rFonts w:ascii="Montserrat Medium" w:hAnsi="Montserrat Medium" w:cs="Calibri"/>
                <w:b/>
                <w:bCs/>
                <w:color w:val="000000"/>
                <w:sz w:val="18"/>
                <w:szCs w:val="18"/>
              </w:rPr>
              <w:t>4,616,543,210.14</w:t>
            </w:r>
          </w:p>
        </w:tc>
        <w:tc>
          <w:tcPr>
            <w:tcW w:w="1721" w:type="dxa"/>
            <w:tcBorders>
              <w:top w:val="single" w:sz="8" w:space="0" w:color="auto"/>
              <w:left w:val="single" w:sz="8" w:space="0" w:color="auto"/>
              <w:bottom w:val="single" w:sz="8" w:space="0" w:color="auto"/>
              <w:right w:val="single" w:sz="8" w:space="0" w:color="auto"/>
            </w:tcBorders>
            <w:shd w:val="clear" w:color="auto" w:fill="auto"/>
            <w:vAlign w:val="center"/>
          </w:tcPr>
          <w:p w14:paraId="495DE1C8" w14:textId="1A41D179" w:rsidR="009C26EF" w:rsidRPr="00D56579" w:rsidRDefault="009C26EF" w:rsidP="002F131C">
            <w:pPr>
              <w:jc w:val="right"/>
              <w:rPr>
                <w:rFonts w:ascii="Montserrat Medium" w:hAnsi="Montserrat Medium" w:cs="Calibri"/>
                <w:b/>
                <w:sz w:val="18"/>
                <w:szCs w:val="18"/>
              </w:rPr>
            </w:pPr>
            <w:r>
              <w:rPr>
                <w:rFonts w:ascii="Montserrat Medium" w:hAnsi="Montserrat Medium" w:cs="Calibri"/>
                <w:b/>
                <w:bCs/>
                <w:color w:val="000000"/>
                <w:sz w:val="18"/>
                <w:szCs w:val="18"/>
              </w:rPr>
              <w:t>10,787,360,374.90</w:t>
            </w:r>
          </w:p>
        </w:tc>
      </w:tr>
    </w:tbl>
    <w:p w14:paraId="034633FA" w14:textId="176EAE4C" w:rsidR="005F6D8D" w:rsidRPr="00D56579" w:rsidRDefault="005F6D8D" w:rsidP="002F131C">
      <w:pPr>
        <w:rPr>
          <w:rFonts w:ascii="Montserrat Medium" w:eastAsia="Times New Roman" w:hAnsi="Montserrat Medium" w:cs="Arial"/>
          <w:b/>
          <w:iCs/>
          <w:color w:val="595959"/>
          <w:sz w:val="20"/>
          <w:szCs w:val="20"/>
        </w:rPr>
      </w:pPr>
    </w:p>
    <w:p w14:paraId="3744B93D" w14:textId="1BC84566" w:rsidR="00A1177D" w:rsidRPr="00D56579" w:rsidRDefault="00422E4B" w:rsidP="002F131C">
      <w:pPr>
        <w:keepNext/>
        <w:keepLines/>
        <w:jc w:val="both"/>
        <w:outlineLvl w:val="6"/>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T</w:t>
      </w:r>
      <w:r w:rsidR="0021334C" w:rsidRPr="00D56579">
        <w:rPr>
          <w:rFonts w:ascii="Montserrat Medium" w:eastAsia="Times New Roman" w:hAnsi="Montserrat Medium" w:cs="Arial"/>
          <w:b/>
          <w:iCs/>
          <w:color w:val="595959"/>
          <w:sz w:val="22"/>
        </w:rPr>
        <w:t>ransferencias, Subsidios y Otras Ayudas</w:t>
      </w:r>
    </w:p>
    <w:p w14:paraId="62833493" w14:textId="77777777" w:rsidR="00A1177D" w:rsidRPr="00D56579" w:rsidRDefault="00A1177D" w:rsidP="002F131C">
      <w:pPr>
        <w:ind w:firstLine="567"/>
        <w:jc w:val="both"/>
        <w:rPr>
          <w:rFonts w:ascii="Montserrat Medium" w:eastAsia="Times New Roman" w:hAnsi="Montserrat Medium" w:cs="Arial"/>
          <w:color w:val="595959"/>
          <w:sz w:val="22"/>
          <w:lang w:eastAsia="en-US"/>
        </w:rPr>
      </w:pPr>
    </w:p>
    <w:p w14:paraId="5E84CCF5" w14:textId="236F5209" w:rsidR="004D717E" w:rsidRPr="00D56579" w:rsidRDefault="00A1177D" w:rsidP="002F131C">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Comprende el importe del gasto por transferencias internas y asignaciones a los entes públicos contenidos en el Presupuesto de Egresos, con el objeto de sufragar gastos inherentes a sus atribuciones; su integración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w:t>
      </w:r>
      <w:r w:rsidR="00682F34">
        <w:rPr>
          <w:rFonts w:ascii="Montserrat Medium" w:eastAsia="Times New Roman" w:hAnsi="Montserrat Medium" w:cs="Arial"/>
          <w:color w:val="595959"/>
          <w:sz w:val="22"/>
          <w:lang w:eastAsia="en-US"/>
        </w:rPr>
        <w:t>0</w:t>
      </w:r>
      <w:r w:rsidR="00A4586C" w:rsidRPr="00D56579">
        <w:rPr>
          <w:rFonts w:ascii="Montserrat Medium" w:eastAsia="Times New Roman" w:hAnsi="Montserrat Medium" w:cs="Arial"/>
          <w:color w:val="595959"/>
          <w:sz w:val="22"/>
          <w:lang w:eastAsia="en-US"/>
        </w:rPr>
        <w:t xml:space="preserve"> de </w:t>
      </w:r>
      <w:r w:rsidR="00682F34">
        <w:rPr>
          <w:rFonts w:ascii="Montserrat Medium" w:eastAsia="Times New Roman" w:hAnsi="Montserrat Medium" w:cs="Arial"/>
          <w:color w:val="595959"/>
          <w:sz w:val="22"/>
          <w:lang w:eastAsia="en-US"/>
        </w:rPr>
        <w:t>junio</w:t>
      </w:r>
      <w:r w:rsidR="00A4586C" w:rsidRPr="00D56579">
        <w:rPr>
          <w:rFonts w:ascii="Montserrat Medium" w:eastAsia="Times New Roman" w:hAnsi="Montserrat Medium" w:cs="Arial"/>
          <w:color w:val="595959"/>
          <w:sz w:val="22"/>
          <w:lang w:eastAsia="en-US"/>
        </w:rPr>
        <w:t xml:space="preserve"> de 202</w:t>
      </w:r>
      <w:r w:rsidR="0003514D">
        <w:rPr>
          <w:rFonts w:ascii="Montserrat Medium" w:eastAsia="Times New Roman" w:hAnsi="Montserrat Medium" w:cs="Arial"/>
          <w:color w:val="595959"/>
          <w:sz w:val="22"/>
          <w:lang w:eastAsia="en-US"/>
        </w:rPr>
        <w:t>5</w:t>
      </w:r>
      <w:r w:rsidRPr="00D56579">
        <w:rPr>
          <w:rFonts w:ascii="Montserrat Medium" w:eastAsia="Times New Roman" w:hAnsi="Montserrat Medium" w:cs="Arial"/>
          <w:color w:val="595959"/>
          <w:sz w:val="22"/>
          <w:lang w:eastAsia="en-US"/>
        </w:rPr>
        <w:t>, es la siguiente:</w:t>
      </w:r>
    </w:p>
    <w:tbl>
      <w:tblPr>
        <w:tblW w:w="9191" w:type="dxa"/>
        <w:jc w:val="center"/>
        <w:shd w:val="clear" w:color="auto" w:fill="BFBFBF" w:themeFill="background1" w:themeFillShade="BF"/>
        <w:tblCellMar>
          <w:left w:w="70" w:type="dxa"/>
          <w:right w:w="70" w:type="dxa"/>
        </w:tblCellMar>
        <w:tblLook w:val="04A0" w:firstRow="1" w:lastRow="0" w:firstColumn="1" w:lastColumn="0" w:noHBand="0" w:noVBand="1"/>
      </w:tblPr>
      <w:tblGrid>
        <w:gridCol w:w="5725"/>
        <w:gridCol w:w="1733"/>
        <w:gridCol w:w="1733"/>
      </w:tblGrid>
      <w:tr w:rsidR="0003514D" w:rsidRPr="00D56579" w14:paraId="4E6902C4" w14:textId="61DED22C" w:rsidTr="00D56579">
        <w:trPr>
          <w:trHeight w:val="267"/>
          <w:tblHeader/>
          <w:jc w:val="center"/>
        </w:trPr>
        <w:tc>
          <w:tcPr>
            <w:tcW w:w="572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4F48CB4B" w14:textId="77777777" w:rsidR="0003514D" w:rsidRPr="00D56579" w:rsidRDefault="0003514D" w:rsidP="002F131C">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Concepto</w:t>
            </w:r>
          </w:p>
        </w:tc>
        <w:tc>
          <w:tcPr>
            <w:tcW w:w="1733"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36ABCAB2" w14:textId="394FE33C" w:rsidR="0003514D" w:rsidRPr="00D56579" w:rsidRDefault="009C26EF" w:rsidP="002F131C">
            <w:pPr>
              <w:jc w:val="center"/>
              <w:rPr>
                <w:rFonts w:ascii="Montserrat Medium" w:eastAsia="Times New Roman" w:hAnsi="Montserrat Medium" w:cs="Calibri"/>
                <w:b/>
                <w:bCs/>
                <w:color w:val="000000"/>
                <w:sz w:val="18"/>
                <w:szCs w:val="18"/>
                <w:lang w:val="es-MX" w:eastAsia="es-MX"/>
              </w:rPr>
            </w:pPr>
            <w:r>
              <w:rPr>
                <w:rFonts w:ascii="Montserrat Medium" w:hAnsi="Montserrat Medium" w:cs="Calibri"/>
                <w:b/>
                <w:bCs/>
                <w:color w:val="000000"/>
                <w:sz w:val="18"/>
                <w:szCs w:val="18"/>
              </w:rPr>
              <w:t>Al 30 de Junio de 2025</w:t>
            </w:r>
          </w:p>
        </w:tc>
        <w:tc>
          <w:tcPr>
            <w:tcW w:w="1733" w:type="dxa"/>
            <w:tcBorders>
              <w:top w:val="single" w:sz="8" w:space="0" w:color="auto"/>
              <w:left w:val="nil"/>
              <w:bottom w:val="single" w:sz="8" w:space="0" w:color="auto"/>
              <w:right w:val="single" w:sz="8" w:space="0" w:color="auto"/>
            </w:tcBorders>
            <w:shd w:val="clear" w:color="auto" w:fill="BFBFBF" w:themeFill="background1" w:themeFillShade="BF"/>
            <w:vAlign w:val="center"/>
          </w:tcPr>
          <w:p w14:paraId="3C31D17A" w14:textId="1F3F37C4" w:rsidR="0003514D" w:rsidRPr="00D56579" w:rsidRDefault="0003514D" w:rsidP="002F131C">
            <w:pPr>
              <w:jc w:val="center"/>
              <w:rPr>
                <w:rFonts w:ascii="Montserrat Medium" w:eastAsia="Times New Roman" w:hAnsi="Montserrat Medium" w:cs="Calibri"/>
                <w:b/>
                <w:bCs/>
                <w:color w:val="000000"/>
                <w:sz w:val="18"/>
                <w:szCs w:val="18"/>
                <w:lang w:eastAsia="es-MX"/>
              </w:rPr>
            </w:pPr>
            <w:r>
              <w:rPr>
                <w:rFonts w:ascii="Montserrat Medium" w:hAnsi="Montserrat Medium" w:cs="Calibri"/>
                <w:b/>
                <w:bCs/>
                <w:color w:val="000000"/>
                <w:sz w:val="18"/>
                <w:szCs w:val="18"/>
              </w:rPr>
              <w:t>2024</w:t>
            </w:r>
          </w:p>
        </w:tc>
      </w:tr>
      <w:tr w:rsidR="009C26EF" w:rsidRPr="00D56579" w14:paraId="50F5091E" w14:textId="5E3E19F3" w:rsidTr="0003514D">
        <w:trPr>
          <w:trHeight w:hRule="exact" w:val="227"/>
          <w:jc w:val="center"/>
        </w:trPr>
        <w:tc>
          <w:tcPr>
            <w:tcW w:w="5725" w:type="dxa"/>
            <w:tcBorders>
              <w:top w:val="nil"/>
              <w:left w:val="single" w:sz="8" w:space="0" w:color="auto"/>
              <w:bottom w:val="nil"/>
              <w:right w:val="single" w:sz="8" w:space="0" w:color="auto"/>
            </w:tcBorders>
            <w:shd w:val="clear" w:color="auto" w:fill="auto"/>
            <w:vAlign w:val="bottom"/>
            <w:hideMark/>
          </w:tcPr>
          <w:p w14:paraId="2D9BFB49" w14:textId="77777777" w:rsidR="009C26EF" w:rsidRPr="00D56579" w:rsidRDefault="009C26EF" w:rsidP="002F131C">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Transferencias internas y asignaciones al sector público</w:t>
            </w:r>
          </w:p>
        </w:tc>
        <w:tc>
          <w:tcPr>
            <w:tcW w:w="1733" w:type="dxa"/>
            <w:tcBorders>
              <w:top w:val="nil"/>
              <w:left w:val="nil"/>
              <w:bottom w:val="nil"/>
              <w:right w:val="single" w:sz="8" w:space="0" w:color="auto"/>
            </w:tcBorders>
            <w:shd w:val="clear" w:color="auto" w:fill="auto"/>
            <w:vAlign w:val="center"/>
          </w:tcPr>
          <w:p w14:paraId="5403F071" w14:textId="09D3C50A" w:rsidR="009C26EF" w:rsidRPr="00D56579" w:rsidRDefault="009C26EF" w:rsidP="002F131C">
            <w:pPr>
              <w:ind w:left="351" w:hanging="351"/>
              <w:jc w:val="right"/>
              <w:rPr>
                <w:rFonts w:ascii="Montserrat Medium" w:hAnsi="Montserrat Medium" w:cs="Calibri"/>
                <w:color w:val="000000"/>
                <w:sz w:val="18"/>
                <w:szCs w:val="18"/>
              </w:rPr>
            </w:pPr>
            <w:r>
              <w:rPr>
                <w:rFonts w:ascii="Montserrat Medium" w:hAnsi="Montserrat Medium" w:cs="Calibri"/>
                <w:color w:val="000000"/>
                <w:sz w:val="18"/>
                <w:szCs w:val="18"/>
              </w:rPr>
              <w:t>10,781,237,522.16</w:t>
            </w:r>
          </w:p>
        </w:tc>
        <w:tc>
          <w:tcPr>
            <w:tcW w:w="1733" w:type="dxa"/>
            <w:tcBorders>
              <w:top w:val="nil"/>
              <w:left w:val="nil"/>
              <w:bottom w:val="nil"/>
              <w:right w:val="single" w:sz="8" w:space="0" w:color="auto"/>
            </w:tcBorders>
            <w:shd w:val="clear" w:color="auto" w:fill="auto"/>
            <w:vAlign w:val="center"/>
          </w:tcPr>
          <w:p w14:paraId="0F7656F2" w14:textId="7654B07F" w:rsidR="009C26EF" w:rsidRPr="00D56579" w:rsidRDefault="009C26EF" w:rsidP="002F131C">
            <w:pPr>
              <w:ind w:left="351" w:hanging="351"/>
              <w:jc w:val="right"/>
              <w:rPr>
                <w:rFonts w:ascii="Montserrat Medium" w:hAnsi="Montserrat Medium" w:cs="Calibri"/>
                <w:sz w:val="18"/>
                <w:szCs w:val="18"/>
              </w:rPr>
            </w:pPr>
            <w:r>
              <w:rPr>
                <w:rFonts w:ascii="Montserrat Medium" w:hAnsi="Montserrat Medium" w:cs="Calibri"/>
                <w:color w:val="000000"/>
                <w:sz w:val="18"/>
                <w:szCs w:val="18"/>
              </w:rPr>
              <w:t>23,330,356,556.15</w:t>
            </w:r>
          </w:p>
        </w:tc>
      </w:tr>
      <w:tr w:rsidR="009C26EF" w:rsidRPr="00D56579" w14:paraId="40F7CFDA" w14:textId="49F24952" w:rsidTr="0003514D">
        <w:trPr>
          <w:trHeight w:hRule="exact" w:val="227"/>
          <w:jc w:val="center"/>
        </w:trPr>
        <w:tc>
          <w:tcPr>
            <w:tcW w:w="5725" w:type="dxa"/>
            <w:tcBorders>
              <w:top w:val="nil"/>
              <w:left w:val="single" w:sz="8" w:space="0" w:color="auto"/>
              <w:bottom w:val="nil"/>
              <w:right w:val="single" w:sz="8" w:space="0" w:color="auto"/>
            </w:tcBorders>
            <w:shd w:val="clear" w:color="auto" w:fill="auto"/>
            <w:vAlign w:val="bottom"/>
            <w:hideMark/>
          </w:tcPr>
          <w:p w14:paraId="636BB244" w14:textId="77777777" w:rsidR="009C26EF" w:rsidRPr="00D56579" w:rsidRDefault="009C26EF" w:rsidP="002F131C">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Transferencias al resto del sector público</w:t>
            </w:r>
          </w:p>
        </w:tc>
        <w:tc>
          <w:tcPr>
            <w:tcW w:w="1733" w:type="dxa"/>
            <w:tcBorders>
              <w:top w:val="nil"/>
              <w:left w:val="nil"/>
              <w:bottom w:val="nil"/>
              <w:right w:val="single" w:sz="8" w:space="0" w:color="auto"/>
            </w:tcBorders>
            <w:shd w:val="clear" w:color="auto" w:fill="auto"/>
            <w:vAlign w:val="center"/>
          </w:tcPr>
          <w:p w14:paraId="35A2C9E6" w14:textId="170EE600" w:rsidR="009C26EF" w:rsidRPr="00D56579" w:rsidRDefault="009C26EF" w:rsidP="002F131C">
            <w:pPr>
              <w:ind w:left="351" w:hanging="351"/>
              <w:jc w:val="right"/>
              <w:rPr>
                <w:rFonts w:ascii="Montserrat Medium" w:hAnsi="Montserrat Medium" w:cs="Calibri"/>
                <w:color w:val="000000"/>
                <w:sz w:val="18"/>
                <w:szCs w:val="18"/>
              </w:rPr>
            </w:pPr>
            <w:r>
              <w:rPr>
                <w:rFonts w:ascii="Montserrat Medium" w:hAnsi="Montserrat Medium" w:cs="Calibri"/>
                <w:color w:val="000000"/>
                <w:sz w:val="18"/>
                <w:szCs w:val="18"/>
              </w:rPr>
              <w:t>115,180,272.48</w:t>
            </w:r>
          </w:p>
        </w:tc>
        <w:tc>
          <w:tcPr>
            <w:tcW w:w="1733" w:type="dxa"/>
            <w:tcBorders>
              <w:top w:val="nil"/>
              <w:left w:val="nil"/>
              <w:bottom w:val="nil"/>
              <w:right w:val="single" w:sz="8" w:space="0" w:color="auto"/>
            </w:tcBorders>
            <w:shd w:val="clear" w:color="auto" w:fill="auto"/>
            <w:vAlign w:val="center"/>
          </w:tcPr>
          <w:p w14:paraId="6EF3AC99" w14:textId="2799D21B" w:rsidR="009C26EF" w:rsidRPr="00D56579" w:rsidRDefault="009C26EF" w:rsidP="002F131C">
            <w:pPr>
              <w:ind w:left="351" w:hanging="351"/>
              <w:jc w:val="right"/>
              <w:rPr>
                <w:rFonts w:ascii="Montserrat Medium" w:hAnsi="Montserrat Medium" w:cs="Calibri"/>
                <w:sz w:val="18"/>
                <w:szCs w:val="18"/>
              </w:rPr>
            </w:pPr>
            <w:r>
              <w:rPr>
                <w:rFonts w:ascii="Montserrat Medium" w:hAnsi="Montserrat Medium" w:cs="Calibri"/>
                <w:color w:val="000000"/>
                <w:sz w:val="18"/>
                <w:szCs w:val="18"/>
              </w:rPr>
              <w:t>507,857,547.13</w:t>
            </w:r>
          </w:p>
        </w:tc>
      </w:tr>
      <w:tr w:rsidR="009C26EF" w:rsidRPr="00D56579" w14:paraId="31B885D7" w14:textId="1531534F" w:rsidTr="0003514D">
        <w:trPr>
          <w:trHeight w:hRule="exact" w:val="227"/>
          <w:jc w:val="center"/>
        </w:trPr>
        <w:tc>
          <w:tcPr>
            <w:tcW w:w="5725" w:type="dxa"/>
            <w:tcBorders>
              <w:top w:val="nil"/>
              <w:left w:val="single" w:sz="8" w:space="0" w:color="auto"/>
              <w:right w:val="single" w:sz="8" w:space="0" w:color="auto"/>
            </w:tcBorders>
            <w:shd w:val="clear" w:color="auto" w:fill="auto"/>
            <w:vAlign w:val="bottom"/>
          </w:tcPr>
          <w:p w14:paraId="7DEDA41A" w14:textId="77777777" w:rsidR="009C26EF" w:rsidRPr="00D56579" w:rsidRDefault="009C26EF" w:rsidP="002F131C">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Subsidios y subvenciones</w:t>
            </w:r>
          </w:p>
        </w:tc>
        <w:tc>
          <w:tcPr>
            <w:tcW w:w="1733" w:type="dxa"/>
            <w:tcBorders>
              <w:top w:val="nil"/>
              <w:left w:val="nil"/>
              <w:right w:val="single" w:sz="8" w:space="0" w:color="auto"/>
            </w:tcBorders>
            <w:shd w:val="clear" w:color="auto" w:fill="auto"/>
            <w:vAlign w:val="center"/>
          </w:tcPr>
          <w:p w14:paraId="20BD6558" w14:textId="06C02C22" w:rsidR="009C26EF" w:rsidRPr="00D56579" w:rsidRDefault="009C26EF" w:rsidP="002F131C">
            <w:pPr>
              <w:ind w:left="351" w:hanging="351"/>
              <w:jc w:val="right"/>
              <w:rPr>
                <w:rFonts w:ascii="Montserrat Medium" w:hAnsi="Montserrat Medium" w:cs="Calibri"/>
                <w:color w:val="000000"/>
                <w:sz w:val="18"/>
                <w:szCs w:val="18"/>
              </w:rPr>
            </w:pPr>
            <w:r>
              <w:rPr>
                <w:rFonts w:ascii="Montserrat Medium" w:hAnsi="Montserrat Medium" w:cs="Calibri"/>
                <w:color w:val="000000"/>
                <w:sz w:val="18"/>
                <w:szCs w:val="18"/>
              </w:rPr>
              <w:t>61,517,541.54</w:t>
            </w:r>
          </w:p>
        </w:tc>
        <w:tc>
          <w:tcPr>
            <w:tcW w:w="1733" w:type="dxa"/>
            <w:tcBorders>
              <w:top w:val="nil"/>
              <w:left w:val="nil"/>
              <w:right w:val="single" w:sz="8" w:space="0" w:color="auto"/>
            </w:tcBorders>
            <w:shd w:val="clear" w:color="auto" w:fill="auto"/>
            <w:vAlign w:val="center"/>
          </w:tcPr>
          <w:p w14:paraId="2055BC91" w14:textId="5CD1FE49" w:rsidR="009C26EF" w:rsidRPr="00D56579" w:rsidRDefault="009C26EF" w:rsidP="002F131C">
            <w:pPr>
              <w:ind w:left="351" w:hanging="351"/>
              <w:jc w:val="right"/>
              <w:rPr>
                <w:rFonts w:ascii="Montserrat Medium" w:hAnsi="Montserrat Medium" w:cs="Calibri"/>
                <w:sz w:val="18"/>
                <w:szCs w:val="18"/>
              </w:rPr>
            </w:pPr>
            <w:r>
              <w:rPr>
                <w:rFonts w:ascii="Montserrat Medium" w:hAnsi="Montserrat Medium" w:cs="Calibri"/>
                <w:color w:val="000000"/>
                <w:sz w:val="18"/>
                <w:szCs w:val="18"/>
              </w:rPr>
              <w:t>79,074,343.35</w:t>
            </w:r>
          </w:p>
        </w:tc>
      </w:tr>
      <w:tr w:rsidR="009C26EF" w:rsidRPr="00D56579" w14:paraId="01715F9A" w14:textId="142FC95D" w:rsidTr="0003514D">
        <w:trPr>
          <w:trHeight w:hRule="exact" w:val="227"/>
          <w:jc w:val="center"/>
        </w:trPr>
        <w:tc>
          <w:tcPr>
            <w:tcW w:w="5725" w:type="dxa"/>
            <w:tcBorders>
              <w:top w:val="nil"/>
              <w:left w:val="single" w:sz="8" w:space="0" w:color="auto"/>
              <w:right w:val="single" w:sz="8" w:space="0" w:color="auto"/>
            </w:tcBorders>
            <w:shd w:val="clear" w:color="auto" w:fill="auto"/>
            <w:vAlign w:val="bottom"/>
            <w:hideMark/>
          </w:tcPr>
          <w:p w14:paraId="0EF364E5" w14:textId="77777777" w:rsidR="009C26EF" w:rsidRPr="00D56579" w:rsidRDefault="009C26EF" w:rsidP="002F131C">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Ayudas sociales</w:t>
            </w:r>
          </w:p>
        </w:tc>
        <w:tc>
          <w:tcPr>
            <w:tcW w:w="1733" w:type="dxa"/>
            <w:tcBorders>
              <w:top w:val="nil"/>
              <w:left w:val="nil"/>
              <w:right w:val="single" w:sz="8" w:space="0" w:color="auto"/>
            </w:tcBorders>
            <w:shd w:val="clear" w:color="auto" w:fill="auto"/>
            <w:vAlign w:val="center"/>
          </w:tcPr>
          <w:p w14:paraId="2A726C3A" w14:textId="15F02405" w:rsidR="009C26EF" w:rsidRPr="00D56579" w:rsidRDefault="009C26EF" w:rsidP="002F131C">
            <w:pPr>
              <w:ind w:left="351" w:hanging="351"/>
              <w:jc w:val="right"/>
              <w:rPr>
                <w:rFonts w:ascii="Montserrat Medium" w:hAnsi="Montserrat Medium" w:cs="Calibri"/>
                <w:color w:val="000000"/>
                <w:sz w:val="18"/>
                <w:szCs w:val="18"/>
              </w:rPr>
            </w:pPr>
            <w:r>
              <w:rPr>
                <w:rFonts w:ascii="Montserrat Medium" w:hAnsi="Montserrat Medium" w:cs="Calibri"/>
                <w:color w:val="000000"/>
                <w:sz w:val="18"/>
                <w:szCs w:val="18"/>
              </w:rPr>
              <w:t>572,914,276.72</w:t>
            </w:r>
          </w:p>
        </w:tc>
        <w:tc>
          <w:tcPr>
            <w:tcW w:w="1733" w:type="dxa"/>
            <w:tcBorders>
              <w:top w:val="nil"/>
              <w:left w:val="nil"/>
              <w:right w:val="single" w:sz="8" w:space="0" w:color="auto"/>
            </w:tcBorders>
            <w:shd w:val="clear" w:color="auto" w:fill="auto"/>
            <w:vAlign w:val="center"/>
          </w:tcPr>
          <w:p w14:paraId="084CC197" w14:textId="2EA3AF47" w:rsidR="009C26EF" w:rsidRPr="00D56579" w:rsidRDefault="009C26EF" w:rsidP="002F131C">
            <w:pPr>
              <w:ind w:left="351" w:hanging="351"/>
              <w:jc w:val="right"/>
              <w:rPr>
                <w:rFonts w:ascii="Montserrat Medium" w:hAnsi="Montserrat Medium" w:cs="Calibri"/>
                <w:sz w:val="18"/>
                <w:szCs w:val="18"/>
              </w:rPr>
            </w:pPr>
            <w:r>
              <w:rPr>
                <w:rFonts w:ascii="Montserrat Medium" w:hAnsi="Montserrat Medium" w:cs="Calibri"/>
                <w:color w:val="000000"/>
                <w:sz w:val="18"/>
                <w:szCs w:val="18"/>
              </w:rPr>
              <w:t>1,451,864,400.90</w:t>
            </w:r>
          </w:p>
        </w:tc>
      </w:tr>
      <w:tr w:rsidR="009C26EF" w:rsidRPr="00D56579" w14:paraId="3FDBC8F6" w14:textId="03AB784E" w:rsidTr="0003514D">
        <w:trPr>
          <w:trHeight w:hRule="exact" w:val="227"/>
          <w:jc w:val="center"/>
        </w:trPr>
        <w:tc>
          <w:tcPr>
            <w:tcW w:w="5725" w:type="dxa"/>
            <w:tcBorders>
              <w:left w:val="single" w:sz="8" w:space="0" w:color="auto"/>
              <w:right w:val="single" w:sz="8" w:space="0" w:color="auto"/>
            </w:tcBorders>
            <w:shd w:val="clear" w:color="auto" w:fill="auto"/>
            <w:vAlign w:val="bottom"/>
          </w:tcPr>
          <w:p w14:paraId="756D53DD" w14:textId="77777777" w:rsidR="009C26EF" w:rsidRPr="00D56579" w:rsidRDefault="009C26EF" w:rsidP="002F131C">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Transferencias a fideicomisos, mandatos y contratos análogos</w:t>
            </w:r>
          </w:p>
        </w:tc>
        <w:tc>
          <w:tcPr>
            <w:tcW w:w="1733" w:type="dxa"/>
            <w:tcBorders>
              <w:left w:val="nil"/>
              <w:right w:val="single" w:sz="8" w:space="0" w:color="auto"/>
            </w:tcBorders>
            <w:shd w:val="clear" w:color="auto" w:fill="auto"/>
            <w:vAlign w:val="center"/>
          </w:tcPr>
          <w:p w14:paraId="7E37299B" w14:textId="4DBA1F17" w:rsidR="009C26EF" w:rsidRPr="00D56579" w:rsidRDefault="009C26EF" w:rsidP="002F131C">
            <w:pPr>
              <w:ind w:left="351" w:hanging="351"/>
              <w:jc w:val="right"/>
              <w:rPr>
                <w:rFonts w:ascii="Montserrat Medium" w:hAnsi="Montserrat Medium" w:cs="Calibri"/>
                <w:color w:val="000000"/>
                <w:sz w:val="18"/>
                <w:szCs w:val="18"/>
              </w:rPr>
            </w:pPr>
            <w:r>
              <w:rPr>
                <w:rFonts w:ascii="Montserrat Medium" w:hAnsi="Montserrat Medium" w:cs="Calibri"/>
                <w:color w:val="000000"/>
                <w:sz w:val="18"/>
                <w:szCs w:val="18"/>
              </w:rPr>
              <w:t>442,471,679.00</w:t>
            </w:r>
          </w:p>
        </w:tc>
        <w:tc>
          <w:tcPr>
            <w:tcW w:w="1733" w:type="dxa"/>
            <w:tcBorders>
              <w:left w:val="nil"/>
              <w:right w:val="single" w:sz="8" w:space="0" w:color="auto"/>
            </w:tcBorders>
            <w:shd w:val="clear" w:color="auto" w:fill="auto"/>
            <w:vAlign w:val="center"/>
          </w:tcPr>
          <w:p w14:paraId="6432EF86" w14:textId="3DE3903E" w:rsidR="009C26EF" w:rsidRPr="00D56579" w:rsidRDefault="009C26EF" w:rsidP="002F131C">
            <w:pPr>
              <w:ind w:left="351" w:hanging="351"/>
              <w:jc w:val="right"/>
              <w:rPr>
                <w:rFonts w:ascii="Montserrat Medium" w:hAnsi="Montserrat Medium" w:cs="Calibri"/>
                <w:sz w:val="18"/>
                <w:szCs w:val="18"/>
              </w:rPr>
            </w:pPr>
            <w:r>
              <w:rPr>
                <w:rFonts w:ascii="Montserrat Medium" w:hAnsi="Montserrat Medium" w:cs="Calibri"/>
                <w:color w:val="000000"/>
                <w:sz w:val="18"/>
                <w:szCs w:val="18"/>
              </w:rPr>
              <w:t>746,499,450.00</w:t>
            </w:r>
          </w:p>
        </w:tc>
      </w:tr>
      <w:tr w:rsidR="009C26EF" w:rsidRPr="00D56579" w14:paraId="5FB96A11" w14:textId="111BC172" w:rsidTr="0003514D">
        <w:trPr>
          <w:trHeight w:hRule="exact" w:val="227"/>
          <w:jc w:val="center"/>
        </w:trPr>
        <w:tc>
          <w:tcPr>
            <w:tcW w:w="5725" w:type="dxa"/>
            <w:tcBorders>
              <w:left w:val="single" w:sz="8" w:space="0" w:color="auto"/>
              <w:bottom w:val="single" w:sz="8" w:space="0" w:color="auto"/>
              <w:right w:val="single" w:sz="8" w:space="0" w:color="auto"/>
            </w:tcBorders>
            <w:shd w:val="clear" w:color="auto" w:fill="auto"/>
            <w:vAlign w:val="bottom"/>
          </w:tcPr>
          <w:p w14:paraId="6DB95158" w14:textId="77777777" w:rsidR="009C26EF" w:rsidRPr="00D56579" w:rsidRDefault="009C26EF" w:rsidP="002F131C">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Donativos</w:t>
            </w:r>
          </w:p>
        </w:tc>
        <w:tc>
          <w:tcPr>
            <w:tcW w:w="1733" w:type="dxa"/>
            <w:tcBorders>
              <w:left w:val="nil"/>
              <w:bottom w:val="single" w:sz="8" w:space="0" w:color="auto"/>
              <w:right w:val="single" w:sz="8" w:space="0" w:color="auto"/>
            </w:tcBorders>
            <w:shd w:val="clear" w:color="auto" w:fill="auto"/>
            <w:vAlign w:val="center"/>
          </w:tcPr>
          <w:p w14:paraId="79727DD9" w14:textId="6DF0EFF4" w:rsidR="009C26EF" w:rsidRPr="00D56579" w:rsidRDefault="009C26EF" w:rsidP="002F131C">
            <w:pPr>
              <w:ind w:left="351" w:hanging="351"/>
              <w:jc w:val="right"/>
              <w:rPr>
                <w:rFonts w:ascii="Montserrat Medium" w:hAnsi="Montserrat Medium" w:cs="Calibri"/>
                <w:color w:val="000000"/>
                <w:sz w:val="18"/>
                <w:szCs w:val="18"/>
              </w:rPr>
            </w:pPr>
            <w:r>
              <w:rPr>
                <w:rFonts w:ascii="Montserrat Medium" w:hAnsi="Montserrat Medium" w:cs="Calibri"/>
                <w:color w:val="000000"/>
                <w:sz w:val="18"/>
                <w:szCs w:val="18"/>
              </w:rPr>
              <w:t>23,700,000.00</w:t>
            </w:r>
          </w:p>
        </w:tc>
        <w:tc>
          <w:tcPr>
            <w:tcW w:w="1733" w:type="dxa"/>
            <w:tcBorders>
              <w:left w:val="nil"/>
              <w:bottom w:val="single" w:sz="8" w:space="0" w:color="auto"/>
              <w:right w:val="single" w:sz="8" w:space="0" w:color="auto"/>
            </w:tcBorders>
            <w:shd w:val="clear" w:color="auto" w:fill="auto"/>
            <w:vAlign w:val="center"/>
          </w:tcPr>
          <w:p w14:paraId="70D8FD1D" w14:textId="4773BD9A" w:rsidR="009C26EF" w:rsidRPr="00D56579" w:rsidRDefault="009C26EF" w:rsidP="002F131C">
            <w:pPr>
              <w:ind w:left="351" w:hanging="351"/>
              <w:jc w:val="right"/>
              <w:rPr>
                <w:rFonts w:ascii="Montserrat Medium" w:hAnsi="Montserrat Medium" w:cs="Calibri"/>
                <w:sz w:val="18"/>
                <w:szCs w:val="18"/>
              </w:rPr>
            </w:pPr>
            <w:r>
              <w:rPr>
                <w:rFonts w:ascii="Montserrat Medium" w:hAnsi="Montserrat Medium" w:cs="Calibri"/>
                <w:color w:val="000000"/>
                <w:sz w:val="18"/>
                <w:szCs w:val="18"/>
              </w:rPr>
              <w:t>52,671,745.00</w:t>
            </w:r>
          </w:p>
        </w:tc>
      </w:tr>
      <w:tr w:rsidR="009C26EF" w:rsidRPr="00D56579" w14:paraId="36B97B41" w14:textId="4F734569" w:rsidTr="0003514D">
        <w:trPr>
          <w:trHeight w:val="160"/>
          <w:jc w:val="center"/>
        </w:trPr>
        <w:tc>
          <w:tcPr>
            <w:tcW w:w="5725" w:type="dxa"/>
            <w:tcBorders>
              <w:top w:val="single" w:sz="8" w:space="0" w:color="auto"/>
              <w:left w:val="single" w:sz="8" w:space="0" w:color="auto"/>
              <w:bottom w:val="single" w:sz="8" w:space="0" w:color="auto"/>
              <w:right w:val="nil"/>
            </w:tcBorders>
            <w:shd w:val="clear" w:color="auto" w:fill="auto"/>
            <w:noWrap/>
            <w:vAlign w:val="center"/>
            <w:hideMark/>
          </w:tcPr>
          <w:p w14:paraId="67270276" w14:textId="77777777" w:rsidR="009C26EF" w:rsidRPr="00D56579" w:rsidRDefault="009C26EF" w:rsidP="002F131C">
            <w:pPr>
              <w:jc w:val="both"/>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Total</w:t>
            </w:r>
          </w:p>
        </w:tc>
        <w:tc>
          <w:tcPr>
            <w:tcW w:w="1733" w:type="dxa"/>
            <w:tcBorders>
              <w:top w:val="single" w:sz="8" w:space="0" w:color="auto"/>
              <w:left w:val="single" w:sz="8" w:space="0" w:color="auto"/>
              <w:bottom w:val="single" w:sz="8" w:space="0" w:color="auto"/>
              <w:right w:val="single" w:sz="8" w:space="0" w:color="auto"/>
            </w:tcBorders>
            <w:shd w:val="clear" w:color="auto" w:fill="auto"/>
            <w:vAlign w:val="center"/>
          </w:tcPr>
          <w:p w14:paraId="5E966579" w14:textId="572DD541" w:rsidR="009C26EF" w:rsidRPr="00D56579" w:rsidRDefault="009C26EF" w:rsidP="002F131C">
            <w:pPr>
              <w:ind w:left="351" w:hanging="351"/>
              <w:jc w:val="right"/>
              <w:rPr>
                <w:rFonts w:ascii="Montserrat Medium" w:hAnsi="Montserrat Medium" w:cs="Calibri"/>
                <w:b/>
                <w:color w:val="000000"/>
                <w:sz w:val="18"/>
                <w:szCs w:val="18"/>
              </w:rPr>
            </w:pPr>
            <w:r>
              <w:rPr>
                <w:rFonts w:ascii="Montserrat Medium" w:hAnsi="Montserrat Medium" w:cs="Calibri"/>
                <w:b/>
                <w:bCs/>
                <w:color w:val="000000"/>
                <w:sz w:val="18"/>
                <w:szCs w:val="18"/>
              </w:rPr>
              <w:t>11,997,021,291.90</w:t>
            </w:r>
          </w:p>
        </w:tc>
        <w:tc>
          <w:tcPr>
            <w:tcW w:w="1733" w:type="dxa"/>
            <w:tcBorders>
              <w:top w:val="single" w:sz="8" w:space="0" w:color="auto"/>
              <w:left w:val="single" w:sz="8" w:space="0" w:color="auto"/>
              <w:bottom w:val="single" w:sz="8" w:space="0" w:color="auto"/>
              <w:right w:val="single" w:sz="8" w:space="0" w:color="auto"/>
            </w:tcBorders>
            <w:shd w:val="clear" w:color="auto" w:fill="auto"/>
            <w:vAlign w:val="center"/>
          </w:tcPr>
          <w:p w14:paraId="143A9AFF" w14:textId="2ED692BA" w:rsidR="009C26EF" w:rsidRPr="00D56579" w:rsidRDefault="009C26EF" w:rsidP="002F131C">
            <w:pPr>
              <w:ind w:left="351" w:hanging="351"/>
              <w:jc w:val="right"/>
              <w:rPr>
                <w:rFonts w:ascii="Montserrat Medium" w:hAnsi="Montserrat Medium" w:cs="Calibri"/>
                <w:b/>
                <w:sz w:val="18"/>
                <w:szCs w:val="18"/>
              </w:rPr>
            </w:pPr>
            <w:r>
              <w:rPr>
                <w:rFonts w:ascii="Montserrat Medium" w:hAnsi="Montserrat Medium" w:cs="Calibri"/>
                <w:b/>
                <w:bCs/>
                <w:color w:val="000000"/>
                <w:sz w:val="18"/>
                <w:szCs w:val="18"/>
              </w:rPr>
              <w:t>26,168,324,042.53</w:t>
            </w:r>
          </w:p>
        </w:tc>
      </w:tr>
    </w:tbl>
    <w:p w14:paraId="0FBD9ED3" w14:textId="77777777" w:rsidR="00E3471B" w:rsidRPr="00D56579" w:rsidRDefault="00E3471B" w:rsidP="002F131C">
      <w:pPr>
        <w:keepNext/>
        <w:keepLines/>
        <w:jc w:val="both"/>
        <w:outlineLvl w:val="6"/>
        <w:rPr>
          <w:rFonts w:ascii="Montserrat Medium" w:eastAsia="Times New Roman" w:hAnsi="Montserrat Medium" w:cs="Arial"/>
          <w:b/>
          <w:iCs/>
          <w:color w:val="595959"/>
          <w:sz w:val="22"/>
        </w:rPr>
      </w:pPr>
    </w:p>
    <w:p w14:paraId="04BA4F39" w14:textId="77777777" w:rsidR="00A1177D" w:rsidRPr="00D56579" w:rsidRDefault="0021334C" w:rsidP="002F131C">
      <w:pPr>
        <w:keepNext/>
        <w:keepLines/>
        <w:jc w:val="both"/>
        <w:outlineLvl w:val="6"/>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 xml:space="preserve">Participaciones y </w:t>
      </w:r>
      <w:r w:rsidR="00A1177D" w:rsidRPr="00D56579">
        <w:rPr>
          <w:rFonts w:ascii="Montserrat Medium" w:eastAsia="Times New Roman" w:hAnsi="Montserrat Medium" w:cs="Arial"/>
          <w:b/>
          <w:iCs/>
          <w:color w:val="595959"/>
          <w:sz w:val="22"/>
        </w:rPr>
        <w:t xml:space="preserve">Aportaciones </w:t>
      </w:r>
    </w:p>
    <w:p w14:paraId="7A7DF2AE" w14:textId="77777777" w:rsidR="00A1177D" w:rsidRPr="00D56579" w:rsidRDefault="00A1177D" w:rsidP="002F131C">
      <w:pPr>
        <w:jc w:val="both"/>
        <w:rPr>
          <w:rFonts w:ascii="Montserrat Medium" w:eastAsia="Times New Roman" w:hAnsi="Montserrat Medium" w:cs="Arial"/>
          <w:color w:val="595959"/>
          <w:sz w:val="22"/>
          <w:lang w:eastAsia="en-US"/>
        </w:rPr>
      </w:pPr>
    </w:p>
    <w:p w14:paraId="4CD3E729" w14:textId="2B95DA4E" w:rsidR="00A1177D" w:rsidRDefault="00A1177D" w:rsidP="002F131C">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Las Participaciones, Aportaciones y Convenios comprenden el importe devengado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w:t>
      </w:r>
      <w:r w:rsidR="00682F34">
        <w:rPr>
          <w:rFonts w:ascii="Montserrat Medium" w:eastAsia="Times New Roman" w:hAnsi="Montserrat Medium" w:cs="Arial"/>
          <w:color w:val="595959"/>
          <w:sz w:val="22"/>
          <w:lang w:eastAsia="en-US"/>
        </w:rPr>
        <w:t>0</w:t>
      </w:r>
      <w:r w:rsidR="00A4586C" w:rsidRPr="00D56579">
        <w:rPr>
          <w:rFonts w:ascii="Montserrat Medium" w:eastAsia="Times New Roman" w:hAnsi="Montserrat Medium" w:cs="Arial"/>
          <w:color w:val="595959"/>
          <w:sz w:val="22"/>
          <w:lang w:eastAsia="en-US"/>
        </w:rPr>
        <w:t xml:space="preserve"> de </w:t>
      </w:r>
      <w:r w:rsidR="00682F34">
        <w:rPr>
          <w:rFonts w:ascii="Montserrat Medium" w:eastAsia="Times New Roman" w:hAnsi="Montserrat Medium" w:cs="Arial"/>
          <w:color w:val="595959"/>
          <w:sz w:val="22"/>
          <w:lang w:eastAsia="en-US"/>
        </w:rPr>
        <w:t>junio</w:t>
      </w:r>
      <w:r w:rsidR="00A4586C" w:rsidRPr="00D56579">
        <w:rPr>
          <w:rFonts w:ascii="Montserrat Medium" w:eastAsia="Times New Roman" w:hAnsi="Montserrat Medium" w:cs="Arial"/>
          <w:color w:val="595959"/>
          <w:sz w:val="22"/>
          <w:lang w:eastAsia="en-US"/>
        </w:rPr>
        <w:t xml:space="preserve"> de 202</w:t>
      </w:r>
      <w:r w:rsidR="0003514D">
        <w:rPr>
          <w:rFonts w:ascii="Montserrat Medium" w:eastAsia="Times New Roman" w:hAnsi="Montserrat Medium" w:cs="Arial"/>
          <w:color w:val="595959"/>
          <w:sz w:val="22"/>
          <w:lang w:eastAsia="en-US"/>
        </w:rPr>
        <w:t>5</w:t>
      </w:r>
      <w:r w:rsidRPr="00D56579">
        <w:rPr>
          <w:rFonts w:ascii="Montserrat Medium" w:eastAsia="Times New Roman" w:hAnsi="Montserrat Medium" w:cs="Arial"/>
          <w:color w:val="595959"/>
          <w:sz w:val="22"/>
          <w:lang w:eastAsia="en-US"/>
        </w:rPr>
        <w:t>, de las asignaciones destinadas por el Gobierno del Estado a los Municipios, incluye las destinadas a la ejecución de programas federales, mediante la reasignación de responsabilidades y recursos, en los términos de convenios celebrados. Se detalla su integración a continuación:</w:t>
      </w:r>
    </w:p>
    <w:tbl>
      <w:tblPr>
        <w:tblW w:w="5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6"/>
        <w:gridCol w:w="1671"/>
        <w:gridCol w:w="1667"/>
      </w:tblGrid>
      <w:tr w:rsidR="0003514D" w:rsidRPr="00D56579" w14:paraId="56D11FF1" w14:textId="1090B2F2" w:rsidTr="0003514D">
        <w:trPr>
          <w:trHeight w:hRule="exact" w:val="526"/>
          <w:jc w:val="center"/>
        </w:trPr>
        <w:tc>
          <w:tcPr>
            <w:tcW w:w="16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3ADC661" w14:textId="77777777" w:rsidR="0003514D" w:rsidRPr="00D56579" w:rsidRDefault="0003514D" w:rsidP="002F131C">
            <w:pPr>
              <w:jc w:val="center"/>
              <w:rPr>
                <w:rFonts w:ascii="Montserrat Medium" w:eastAsia="Times New Roman" w:hAnsi="Montserrat Medium" w:cs="Arial"/>
                <w:b/>
                <w:sz w:val="18"/>
                <w:szCs w:val="18"/>
              </w:rPr>
            </w:pPr>
            <w:r w:rsidRPr="00D56579">
              <w:rPr>
                <w:rFonts w:ascii="Montserrat Medium" w:eastAsia="Times New Roman" w:hAnsi="Montserrat Medium" w:cs="Arial"/>
                <w:color w:val="595959"/>
                <w:sz w:val="18"/>
                <w:szCs w:val="18"/>
                <w:lang w:eastAsia="en-US"/>
              </w:rPr>
              <w:br w:type="page"/>
            </w:r>
            <w:r w:rsidRPr="00D56579">
              <w:rPr>
                <w:rFonts w:ascii="Montserrat Medium" w:eastAsia="Times New Roman" w:hAnsi="Montserrat Medium" w:cs="Arial"/>
                <w:b/>
                <w:sz w:val="18"/>
                <w:szCs w:val="18"/>
              </w:rPr>
              <w:t>Concepto</w:t>
            </w:r>
          </w:p>
        </w:tc>
        <w:tc>
          <w:tcPr>
            <w:tcW w:w="16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A05BCB" w14:textId="4450C106" w:rsidR="0003514D" w:rsidRPr="00D56579" w:rsidRDefault="00682F34" w:rsidP="002F131C">
            <w:pPr>
              <w:jc w:val="center"/>
              <w:rPr>
                <w:rFonts w:ascii="Montserrat Medium" w:eastAsia="Times New Roman" w:hAnsi="Montserrat Medium" w:cs="Arial"/>
                <w:b/>
                <w:sz w:val="18"/>
                <w:szCs w:val="18"/>
              </w:rPr>
            </w:pPr>
            <w:r>
              <w:rPr>
                <w:rFonts w:ascii="Montserrat Medium" w:hAnsi="Montserrat Medium" w:cs="Calibri"/>
                <w:b/>
                <w:bCs/>
                <w:color w:val="000000"/>
                <w:sz w:val="18"/>
                <w:szCs w:val="18"/>
              </w:rPr>
              <w:t>Al 30</w:t>
            </w:r>
            <w:r w:rsidR="0003514D">
              <w:rPr>
                <w:rFonts w:ascii="Montserrat Medium" w:hAnsi="Montserrat Medium" w:cs="Calibri"/>
                <w:b/>
                <w:bCs/>
                <w:color w:val="000000"/>
                <w:sz w:val="18"/>
                <w:szCs w:val="18"/>
              </w:rPr>
              <w:t xml:space="preserve"> de </w:t>
            </w:r>
            <w:r>
              <w:rPr>
                <w:rFonts w:ascii="Montserrat Medium" w:hAnsi="Montserrat Medium" w:cs="Calibri"/>
                <w:b/>
                <w:bCs/>
                <w:color w:val="000000"/>
                <w:sz w:val="18"/>
                <w:szCs w:val="18"/>
              </w:rPr>
              <w:t>Junio</w:t>
            </w:r>
            <w:r w:rsidR="0003514D">
              <w:rPr>
                <w:rFonts w:ascii="Montserrat Medium" w:hAnsi="Montserrat Medium" w:cs="Calibri"/>
                <w:b/>
                <w:bCs/>
                <w:color w:val="000000"/>
                <w:sz w:val="18"/>
                <w:szCs w:val="18"/>
              </w:rPr>
              <w:t xml:space="preserve"> de 2025</w:t>
            </w:r>
          </w:p>
        </w:tc>
        <w:tc>
          <w:tcPr>
            <w:tcW w:w="16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2DA870" w14:textId="6D051758" w:rsidR="0003514D" w:rsidRPr="00D56579" w:rsidRDefault="0003514D" w:rsidP="002F131C">
            <w:pPr>
              <w:jc w:val="center"/>
              <w:rPr>
                <w:rFonts w:ascii="Montserrat Medium" w:eastAsia="Times New Roman" w:hAnsi="Montserrat Medium" w:cs="Calibri"/>
                <w:b/>
                <w:bCs/>
                <w:color w:val="000000"/>
                <w:sz w:val="18"/>
                <w:szCs w:val="18"/>
                <w:lang w:eastAsia="es-MX"/>
              </w:rPr>
            </w:pPr>
            <w:r>
              <w:rPr>
                <w:rFonts w:ascii="Montserrat Medium" w:hAnsi="Montserrat Medium" w:cs="Calibri"/>
                <w:b/>
                <w:bCs/>
                <w:color w:val="000000"/>
                <w:sz w:val="18"/>
                <w:szCs w:val="18"/>
              </w:rPr>
              <w:t>2024</w:t>
            </w:r>
          </w:p>
        </w:tc>
      </w:tr>
      <w:tr w:rsidR="00682F34" w:rsidRPr="00D56579" w14:paraId="3956895D" w14:textId="64A37ED7" w:rsidTr="0003514D">
        <w:trPr>
          <w:trHeight w:hRule="exact" w:val="227"/>
          <w:jc w:val="center"/>
        </w:trPr>
        <w:tc>
          <w:tcPr>
            <w:tcW w:w="1676" w:type="dxa"/>
            <w:tcBorders>
              <w:top w:val="single" w:sz="4" w:space="0" w:color="auto"/>
              <w:left w:val="single" w:sz="4" w:space="0" w:color="auto"/>
              <w:bottom w:val="nil"/>
              <w:right w:val="single" w:sz="4" w:space="0" w:color="auto"/>
            </w:tcBorders>
            <w:shd w:val="clear" w:color="auto" w:fill="auto"/>
            <w:noWrap/>
            <w:vAlign w:val="bottom"/>
          </w:tcPr>
          <w:p w14:paraId="2FC33DFD" w14:textId="77777777" w:rsidR="00682F34" w:rsidRPr="00D56579" w:rsidRDefault="00682F34" w:rsidP="002F131C">
            <w:pPr>
              <w:jc w:val="both"/>
              <w:rPr>
                <w:rFonts w:ascii="Montserrat Medium" w:eastAsia="Times New Roman" w:hAnsi="Montserrat Medium" w:cs="Arial"/>
                <w:sz w:val="18"/>
                <w:szCs w:val="18"/>
              </w:rPr>
            </w:pPr>
            <w:r w:rsidRPr="00D56579">
              <w:rPr>
                <w:rFonts w:ascii="Montserrat Medium" w:eastAsia="Times New Roman" w:hAnsi="Montserrat Medium" w:cs="Arial"/>
                <w:sz w:val="18"/>
                <w:szCs w:val="18"/>
              </w:rPr>
              <w:t>Participaciones</w:t>
            </w:r>
          </w:p>
        </w:tc>
        <w:tc>
          <w:tcPr>
            <w:tcW w:w="1671" w:type="dxa"/>
            <w:tcBorders>
              <w:top w:val="single" w:sz="4" w:space="0" w:color="auto"/>
              <w:left w:val="single" w:sz="4" w:space="0" w:color="auto"/>
              <w:bottom w:val="nil"/>
              <w:right w:val="single" w:sz="4" w:space="0" w:color="auto"/>
            </w:tcBorders>
            <w:shd w:val="clear" w:color="auto" w:fill="auto"/>
            <w:vAlign w:val="center"/>
          </w:tcPr>
          <w:p w14:paraId="702DD9CA" w14:textId="42A0EAE3" w:rsidR="00682F34" w:rsidRPr="00D56579" w:rsidRDefault="00682F34" w:rsidP="002F131C">
            <w:pPr>
              <w:ind w:left="351" w:hanging="351"/>
              <w:jc w:val="right"/>
              <w:rPr>
                <w:rFonts w:ascii="Montserrat Medium" w:hAnsi="Montserrat Medium" w:cs="Calibri"/>
                <w:color w:val="000000"/>
                <w:sz w:val="18"/>
                <w:szCs w:val="18"/>
              </w:rPr>
            </w:pPr>
            <w:r>
              <w:rPr>
                <w:rFonts w:ascii="Montserrat Medium" w:hAnsi="Montserrat Medium" w:cs="Calibri"/>
                <w:color w:val="000000"/>
                <w:sz w:val="18"/>
                <w:szCs w:val="18"/>
              </w:rPr>
              <w:t>2,868,189,920.00</w:t>
            </w:r>
          </w:p>
        </w:tc>
        <w:tc>
          <w:tcPr>
            <w:tcW w:w="1667" w:type="dxa"/>
            <w:tcBorders>
              <w:top w:val="single" w:sz="4" w:space="0" w:color="auto"/>
              <w:left w:val="single" w:sz="4" w:space="0" w:color="auto"/>
              <w:bottom w:val="nil"/>
              <w:right w:val="single" w:sz="4" w:space="0" w:color="auto"/>
            </w:tcBorders>
            <w:shd w:val="clear" w:color="auto" w:fill="auto"/>
            <w:vAlign w:val="center"/>
          </w:tcPr>
          <w:p w14:paraId="6F45FA1C" w14:textId="64A74935" w:rsidR="00682F34" w:rsidRPr="00D56579" w:rsidRDefault="00682F34" w:rsidP="002F131C">
            <w:pPr>
              <w:ind w:left="351" w:hanging="351"/>
              <w:jc w:val="right"/>
              <w:rPr>
                <w:rFonts w:ascii="Montserrat Medium" w:hAnsi="Montserrat Medium" w:cs="Calibri"/>
                <w:sz w:val="18"/>
                <w:szCs w:val="18"/>
              </w:rPr>
            </w:pPr>
            <w:r>
              <w:rPr>
                <w:rFonts w:ascii="Montserrat Medium" w:hAnsi="Montserrat Medium" w:cs="Calibri"/>
                <w:color w:val="000000"/>
                <w:sz w:val="18"/>
                <w:szCs w:val="18"/>
              </w:rPr>
              <w:t>4,565,067,497.00</w:t>
            </w:r>
          </w:p>
        </w:tc>
      </w:tr>
      <w:tr w:rsidR="00682F34" w:rsidRPr="00D56579" w14:paraId="538A1749" w14:textId="6A98F59C" w:rsidTr="0003514D">
        <w:trPr>
          <w:trHeight w:hRule="exact" w:val="227"/>
          <w:jc w:val="center"/>
        </w:trPr>
        <w:tc>
          <w:tcPr>
            <w:tcW w:w="1676" w:type="dxa"/>
            <w:tcBorders>
              <w:top w:val="nil"/>
              <w:left w:val="single" w:sz="4" w:space="0" w:color="auto"/>
              <w:bottom w:val="nil"/>
              <w:right w:val="single" w:sz="4" w:space="0" w:color="auto"/>
            </w:tcBorders>
            <w:shd w:val="clear" w:color="auto" w:fill="auto"/>
            <w:noWrap/>
            <w:vAlign w:val="bottom"/>
          </w:tcPr>
          <w:p w14:paraId="47E077EC" w14:textId="77777777" w:rsidR="00682F34" w:rsidRPr="00D56579" w:rsidRDefault="00682F34" w:rsidP="002F131C">
            <w:pPr>
              <w:jc w:val="both"/>
              <w:rPr>
                <w:rFonts w:ascii="Montserrat Medium" w:eastAsia="Times New Roman" w:hAnsi="Montserrat Medium" w:cs="Arial"/>
                <w:sz w:val="18"/>
                <w:szCs w:val="18"/>
              </w:rPr>
            </w:pPr>
            <w:r w:rsidRPr="00D56579">
              <w:rPr>
                <w:rFonts w:ascii="Montserrat Medium" w:eastAsia="Times New Roman" w:hAnsi="Montserrat Medium" w:cs="Arial"/>
                <w:sz w:val="18"/>
                <w:szCs w:val="18"/>
              </w:rPr>
              <w:t>Aportaciones</w:t>
            </w:r>
          </w:p>
        </w:tc>
        <w:tc>
          <w:tcPr>
            <w:tcW w:w="1671" w:type="dxa"/>
            <w:tcBorders>
              <w:top w:val="nil"/>
              <w:left w:val="single" w:sz="4" w:space="0" w:color="auto"/>
              <w:bottom w:val="nil"/>
              <w:right w:val="single" w:sz="4" w:space="0" w:color="auto"/>
            </w:tcBorders>
            <w:shd w:val="clear" w:color="auto" w:fill="auto"/>
            <w:vAlign w:val="center"/>
          </w:tcPr>
          <w:p w14:paraId="096568FC" w14:textId="2443B577" w:rsidR="00682F34" w:rsidRPr="00D56579" w:rsidRDefault="00682F34" w:rsidP="002F131C">
            <w:pPr>
              <w:ind w:left="351" w:hanging="351"/>
              <w:jc w:val="right"/>
              <w:rPr>
                <w:rFonts w:ascii="Montserrat Medium" w:hAnsi="Montserrat Medium" w:cs="Calibri"/>
                <w:color w:val="000000"/>
                <w:sz w:val="18"/>
                <w:szCs w:val="18"/>
              </w:rPr>
            </w:pPr>
            <w:r>
              <w:rPr>
                <w:rFonts w:ascii="Montserrat Medium" w:hAnsi="Montserrat Medium" w:cs="Calibri"/>
                <w:color w:val="000000"/>
                <w:sz w:val="18"/>
                <w:szCs w:val="18"/>
              </w:rPr>
              <w:t>1,762,672,382.00</w:t>
            </w:r>
          </w:p>
        </w:tc>
        <w:tc>
          <w:tcPr>
            <w:tcW w:w="1667" w:type="dxa"/>
            <w:tcBorders>
              <w:top w:val="nil"/>
              <w:left w:val="single" w:sz="4" w:space="0" w:color="auto"/>
              <w:bottom w:val="nil"/>
              <w:right w:val="single" w:sz="4" w:space="0" w:color="auto"/>
            </w:tcBorders>
            <w:shd w:val="clear" w:color="auto" w:fill="auto"/>
            <w:vAlign w:val="center"/>
          </w:tcPr>
          <w:p w14:paraId="0913622D" w14:textId="6DBC1131" w:rsidR="00682F34" w:rsidRPr="00D56579" w:rsidRDefault="00682F34" w:rsidP="002F131C">
            <w:pPr>
              <w:ind w:left="351" w:hanging="351"/>
              <w:jc w:val="right"/>
              <w:rPr>
                <w:rFonts w:ascii="Montserrat Medium" w:hAnsi="Montserrat Medium" w:cs="Calibri"/>
                <w:sz w:val="18"/>
                <w:szCs w:val="18"/>
              </w:rPr>
            </w:pPr>
            <w:r>
              <w:rPr>
                <w:rFonts w:ascii="Montserrat Medium" w:hAnsi="Montserrat Medium" w:cs="Calibri"/>
                <w:color w:val="000000"/>
                <w:sz w:val="18"/>
                <w:szCs w:val="18"/>
              </w:rPr>
              <w:t>3,144,888,052.00</w:t>
            </w:r>
          </w:p>
        </w:tc>
      </w:tr>
      <w:tr w:rsidR="00682F34" w:rsidRPr="00D56579" w14:paraId="23D474B4" w14:textId="47AA1F88" w:rsidTr="0003514D">
        <w:trPr>
          <w:trHeight w:hRule="exact" w:val="227"/>
          <w:jc w:val="center"/>
        </w:trPr>
        <w:tc>
          <w:tcPr>
            <w:tcW w:w="1676" w:type="dxa"/>
            <w:tcBorders>
              <w:top w:val="nil"/>
              <w:left w:val="single" w:sz="4" w:space="0" w:color="auto"/>
              <w:bottom w:val="nil"/>
              <w:right w:val="single" w:sz="4" w:space="0" w:color="auto"/>
            </w:tcBorders>
            <w:shd w:val="clear" w:color="auto" w:fill="auto"/>
            <w:noWrap/>
            <w:vAlign w:val="bottom"/>
          </w:tcPr>
          <w:p w14:paraId="73AC3684" w14:textId="77777777" w:rsidR="00682F34" w:rsidRPr="00D56579" w:rsidRDefault="00682F34" w:rsidP="002F131C">
            <w:pPr>
              <w:jc w:val="both"/>
              <w:rPr>
                <w:rFonts w:ascii="Montserrat Medium" w:eastAsia="Times New Roman" w:hAnsi="Montserrat Medium" w:cs="Arial"/>
                <w:sz w:val="18"/>
                <w:szCs w:val="18"/>
              </w:rPr>
            </w:pPr>
            <w:r w:rsidRPr="00D56579">
              <w:rPr>
                <w:rFonts w:ascii="Montserrat Medium" w:eastAsia="Times New Roman" w:hAnsi="Montserrat Medium" w:cs="Arial"/>
                <w:sz w:val="18"/>
                <w:szCs w:val="18"/>
              </w:rPr>
              <w:t>Convenios</w:t>
            </w:r>
          </w:p>
        </w:tc>
        <w:tc>
          <w:tcPr>
            <w:tcW w:w="1671" w:type="dxa"/>
            <w:tcBorders>
              <w:top w:val="nil"/>
              <w:left w:val="single" w:sz="4" w:space="0" w:color="auto"/>
              <w:bottom w:val="nil"/>
              <w:right w:val="single" w:sz="4" w:space="0" w:color="auto"/>
            </w:tcBorders>
            <w:shd w:val="clear" w:color="auto" w:fill="auto"/>
            <w:vAlign w:val="center"/>
          </w:tcPr>
          <w:p w14:paraId="30B44E7B" w14:textId="017DF0CC" w:rsidR="00682F34" w:rsidRPr="00D56579" w:rsidRDefault="00682F34" w:rsidP="002F131C">
            <w:pPr>
              <w:ind w:left="351" w:hanging="351"/>
              <w:jc w:val="right"/>
              <w:rPr>
                <w:rFonts w:ascii="Montserrat Medium" w:hAnsi="Montserrat Medium" w:cs="Calibri"/>
                <w:color w:val="000000"/>
                <w:sz w:val="18"/>
                <w:szCs w:val="18"/>
              </w:rPr>
            </w:pPr>
            <w:r>
              <w:rPr>
                <w:rFonts w:ascii="Montserrat Medium" w:hAnsi="Montserrat Medium" w:cs="Calibri"/>
                <w:color w:val="000000"/>
                <w:sz w:val="18"/>
                <w:szCs w:val="18"/>
              </w:rPr>
              <w:t>2,517,447.50</w:t>
            </w:r>
          </w:p>
        </w:tc>
        <w:tc>
          <w:tcPr>
            <w:tcW w:w="1667" w:type="dxa"/>
            <w:tcBorders>
              <w:top w:val="nil"/>
              <w:left w:val="single" w:sz="4" w:space="0" w:color="auto"/>
              <w:bottom w:val="nil"/>
              <w:right w:val="single" w:sz="4" w:space="0" w:color="auto"/>
            </w:tcBorders>
            <w:shd w:val="clear" w:color="auto" w:fill="auto"/>
            <w:vAlign w:val="center"/>
          </w:tcPr>
          <w:p w14:paraId="64886D4F" w14:textId="6D09795C" w:rsidR="00682F34" w:rsidRPr="00D56579" w:rsidRDefault="00682F34" w:rsidP="002F131C">
            <w:pPr>
              <w:ind w:left="351" w:hanging="351"/>
              <w:jc w:val="right"/>
              <w:rPr>
                <w:rFonts w:ascii="Montserrat Medium" w:hAnsi="Montserrat Medium" w:cs="Calibri"/>
                <w:sz w:val="18"/>
                <w:szCs w:val="18"/>
              </w:rPr>
            </w:pPr>
            <w:r>
              <w:rPr>
                <w:rFonts w:ascii="Montserrat Medium" w:hAnsi="Montserrat Medium" w:cs="Calibri"/>
                <w:color w:val="000000"/>
                <w:sz w:val="18"/>
                <w:szCs w:val="18"/>
              </w:rPr>
              <w:t>6,082,894.30</w:t>
            </w:r>
          </w:p>
        </w:tc>
      </w:tr>
      <w:tr w:rsidR="00682F34" w:rsidRPr="00D56579" w14:paraId="53FE3324" w14:textId="60D665C9" w:rsidTr="0003514D">
        <w:trPr>
          <w:trHeight w:hRule="exact" w:val="208"/>
          <w:jc w:val="center"/>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5FD83" w14:textId="77777777" w:rsidR="00682F34" w:rsidRDefault="00682F34" w:rsidP="002F131C">
            <w:pPr>
              <w:rPr>
                <w:rFonts w:ascii="Montserrat Medium" w:eastAsia="Times New Roman" w:hAnsi="Montserrat Medium" w:cs="Tahoma"/>
                <w:b/>
                <w:bCs/>
                <w:sz w:val="18"/>
                <w:szCs w:val="18"/>
              </w:rPr>
            </w:pPr>
            <w:r w:rsidRPr="00D56579">
              <w:rPr>
                <w:rFonts w:ascii="Montserrat Medium" w:eastAsia="Times New Roman" w:hAnsi="Montserrat Medium" w:cs="Tahoma"/>
                <w:b/>
                <w:bCs/>
                <w:sz w:val="18"/>
                <w:szCs w:val="18"/>
              </w:rPr>
              <w:t>Total</w:t>
            </w:r>
          </w:p>
          <w:p w14:paraId="766B62C7" w14:textId="77777777" w:rsidR="00682F34" w:rsidRDefault="00682F34" w:rsidP="002F131C">
            <w:pPr>
              <w:rPr>
                <w:rFonts w:ascii="Montserrat Medium" w:eastAsia="Times New Roman" w:hAnsi="Montserrat Medium" w:cs="Tahoma"/>
                <w:b/>
                <w:bCs/>
                <w:sz w:val="18"/>
                <w:szCs w:val="18"/>
              </w:rPr>
            </w:pPr>
          </w:p>
          <w:p w14:paraId="288DE433" w14:textId="77777777" w:rsidR="00682F34" w:rsidRPr="00D56579" w:rsidRDefault="00682F34" w:rsidP="002F131C">
            <w:pPr>
              <w:rPr>
                <w:rFonts w:ascii="Montserrat Medium" w:eastAsia="Times New Roman" w:hAnsi="Montserrat Medium" w:cs="Arial"/>
                <w:b/>
                <w:sz w:val="18"/>
                <w:szCs w:val="18"/>
              </w:rPr>
            </w:pP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2EFA28F9" w14:textId="1A9B3F25" w:rsidR="00682F34" w:rsidRPr="00D56579" w:rsidRDefault="00682F34" w:rsidP="002F131C">
            <w:pPr>
              <w:jc w:val="right"/>
              <w:rPr>
                <w:rFonts w:ascii="Montserrat Medium" w:hAnsi="Montserrat Medium" w:cs="Calibri"/>
                <w:b/>
                <w:bCs/>
                <w:sz w:val="18"/>
                <w:szCs w:val="18"/>
              </w:rPr>
            </w:pPr>
            <w:r>
              <w:rPr>
                <w:rFonts w:ascii="Montserrat Medium" w:hAnsi="Montserrat Medium" w:cs="Calibri"/>
                <w:b/>
                <w:bCs/>
                <w:color w:val="000000"/>
                <w:sz w:val="18"/>
                <w:szCs w:val="18"/>
              </w:rPr>
              <w:t>4,633,379,749.50</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1C0BB40D" w14:textId="07093959" w:rsidR="00682F34" w:rsidRPr="00D56579" w:rsidRDefault="00682F34" w:rsidP="002F131C">
            <w:pPr>
              <w:jc w:val="right"/>
              <w:rPr>
                <w:rFonts w:ascii="Montserrat Medium" w:hAnsi="Montserrat Medium" w:cs="Calibri"/>
                <w:b/>
                <w:sz w:val="18"/>
                <w:szCs w:val="18"/>
              </w:rPr>
            </w:pPr>
            <w:r>
              <w:rPr>
                <w:rFonts w:ascii="Montserrat Medium" w:hAnsi="Montserrat Medium" w:cs="Calibri"/>
                <w:b/>
                <w:bCs/>
                <w:color w:val="000000"/>
                <w:sz w:val="18"/>
                <w:szCs w:val="18"/>
              </w:rPr>
              <w:t>7,716,038,443.30</w:t>
            </w:r>
          </w:p>
        </w:tc>
      </w:tr>
    </w:tbl>
    <w:p w14:paraId="0A2CABDE" w14:textId="77777777" w:rsidR="00616FA7" w:rsidRPr="00D56579" w:rsidRDefault="00616FA7" w:rsidP="002F131C">
      <w:pPr>
        <w:keepNext/>
        <w:keepLines/>
        <w:jc w:val="both"/>
        <w:outlineLvl w:val="6"/>
        <w:rPr>
          <w:rFonts w:ascii="Montserrat Medium" w:eastAsia="Times New Roman" w:hAnsi="Montserrat Medium" w:cs="Arial"/>
          <w:b/>
          <w:iCs/>
          <w:color w:val="595959"/>
          <w:sz w:val="22"/>
        </w:rPr>
      </w:pPr>
    </w:p>
    <w:p w14:paraId="567DBCF6" w14:textId="77777777" w:rsidR="006A0D6D" w:rsidRPr="00D56579" w:rsidRDefault="006A0D6D" w:rsidP="002F131C">
      <w:pPr>
        <w:keepNext/>
        <w:keepLines/>
        <w:jc w:val="both"/>
        <w:outlineLvl w:val="6"/>
        <w:rPr>
          <w:rFonts w:ascii="Montserrat Medium" w:eastAsia="Times New Roman" w:hAnsi="Montserrat Medium" w:cs="Arial"/>
          <w:b/>
          <w:iCs/>
          <w:color w:val="595959"/>
          <w:sz w:val="22"/>
        </w:rPr>
      </w:pPr>
      <w:r w:rsidRPr="003F4531">
        <w:rPr>
          <w:rFonts w:ascii="Montserrat Medium" w:eastAsia="Times New Roman" w:hAnsi="Montserrat Medium" w:cs="Arial"/>
          <w:b/>
          <w:iCs/>
          <w:color w:val="595959"/>
          <w:sz w:val="22"/>
        </w:rPr>
        <w:t>Intereses, comisiones y Otros Gastos de la Deuda Pública</w:t>
      </w:r>
    </w:p>
    <w:p w14:paraId="1B4589C8" w14:textId="77777777" w:rsidR="00702C5B" w:rsidRPr="00D56579" w:rsidRDefault="00702C5B" w:rsidP="002F131C">
      <w:pPr>
        <w:keepNext/>
        <w:keepLines/>
        <w:ind w:left="360"/>
        <w:jc w:val="both"/>
        <w:outlineLvl w:val="6"/>
        <w:rPr>
          <w:rFonts w:ascii="Montserrat Medium" w:eastAsia="Times New Roman" w:hAnsi="Montserrat Medium" w:cs="Arial"/>
          <w:color w:val="595959"/>
          <w:sz w:val="22"/>
          <w:lang w:eastAsia="en-US"/>
        </w:rPr>
      </w:pPr>
    </w:p>
    <w:p w14:paraId="4C710E5D" w14:textId="3125F75D" w:rsidR="0090238E" w:rsidRDefault="0090238E" w:rsidP="002F131C">
      <w:pPr>
        <w:keepNext/>
        <w:keepLines/>
        <w:outlineLvl w:val="6"/>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Se informa el monto de </w:t>
      </w:r>
      <w:r w:rsidR="00702C5B" w:rsidRPr="00D56579">
        <w:rPr>
          <w:rFonts w:ascii="Montserrat Medium" w:eastAsia="Times New Roman" w:hAnsi="Montserrat Medium" w:cs="Arial"/>
          <w:color w:val="595959"/>
          <w:sz w:val="22"/>
          <w:lang w:eastAsia="en-US"/>
        </w:rPr>
        <w:t xml:space="preserve">Intereses, Comisiones y Otros Gastos de la Deuda Pública </w:t>
      </w:r>
      <w:r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w:t>
      </w:r>
      <w:r w:rsidR="00682F34">
        <w:rPr>
          <w:rFonts w:ascii="Montserrat Medium" w:eastAsia="Times New Roman" w:hAnsi="Montserrat Medium" w:cs="Arial"/>
          <w:color w:val="595959"/>
          <w:sz w:val="22"/>
          <w:lang w:eastAsia="en-US"/>
        </w:rPr>
        <w:t>0</w:t>
      </w:r>
      <w:r w:rsidR="00A4586C" w:rsidRPr="00D56579">
        <w:rPr>
          <w:rFonts w:ascii="Montserrat Medium" w:eastAsia="Times New Roman" w:hAnsi="Montserrat Medium" w:cs="Arial"/>
          <w:color w:val="595959"/>
          <w:sz w:val="22"/>
          <w:lang w:eastAsia="en-US"/>
        </w:rPr>
        <w:t xml:space="preserve"> de </w:t>
      </w:r>
      <w:r w:rsidR="00682F34">
        <w:rPr>
          <w:rFonts w:ascii="Montserrat Medium" w:eastAsia="Times New Roman" w:hAnsi="Montserrat Medium" w:cs="Arial"/>
          <w:color w:val="595959"/>
          <w:sz w:val="22"/>
          <w:lang w:eastAsia="en-US"/>
        </w:rPr>
        <w:t>junio</w:t>
      </w:r>
      <w:r w:rsidR="003F4531">
        <w:rPr>
          <w:rFonts w:ascii="Montserrat Medium" w:eastAsia="Times New Roman" w:hAnsi="Montserrat Medium" w:cs="Arial"/>
          <w:color w:val="595959"/>
          <w:sz w:val="22"/>
          <w:lang w:eastAsia="en-US"/>
        </w:rPr>
        <w:t xml:space="preserve"> de 2025</w:t>
      </w:r>
      <w:r w:rsidRPr="00D56579">
        <w:rPr>
          <w:rFonts w:ascii="Montserrat Medium" w:eastAsia="Times New Roman" w:hAnsi="Montserrat Medium" w:cs="Arial"/>
          <w:color w:val="595959"/>
          <w:sz w:val="22"/>
          <w:lang w:eastAsia="en-US"/>
        </w:rPr>
        <w:t>.</w:t>
      </w:r>
    </w:p>
    <w:p w14:paraId="3FB94FCA" w14:textId="77777777" w:rsidR="003F4531" w:rsidRDefault="003F4531" w:rsidP="002F131C">
      <w:pPr>
        <w:keepNext/>
        <w:keepLines/>
        <w:outlineLvl w:val="6"/>
        <w:rPr>
          <w:rFonts w:ascii="Montserrat Medium" w:eastAsia="Times New Roman" w:hAnsi="Montserrat Medium" w:cs="Arial"/>
          <w:color w:val="595959"/>
          <w:sz w:val="22"/>
          <w:lang w:eastAsia="en-US"/>
        </w:rPr>
      </w:pPr>
    </w:p>
    <w:tbl>
      <w:tblPr>
        <w:tblW w:w="7792" w:type="dxa"/>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0" w:type="dxa"/>
          <w:right w:w="70" w:type="dxa"/>
        </w:tblCellMar>
        <w:tblLook w:val="04A0" w:firstRow="1" w:lastRow="0" w:firstColumn="1" w:lastColumn="0" w:noHBand="0" w:noVBand="1"/>
      </w:tblPr>
      <w:tblGrid>
        <w:gridCol w:w="2214"/>
        <w:gridCol w:w="1604"/>
        <w:gridCol w:w="1514"/>
        <w:gridCol w:w="1174"/>
        <w:gridCol w:w="1286"/>
      </w:tblGrid>
      <w:tr w:rsidR="003F4531" w:rsidRPr="0046184C" w14:paraId="13F1C114" w14:textId="77777777" w:rsidTr="003F4531">
        <w:trPr>
          <w:trHeight w:val="276"/>
          <w:tblHeader/>
          <w:jc w:val="center"/>
        </w:trPr>
        <w:tc>
          <w:tcPr>
            <w:tcW w:w="7792" w:type="dxa"/>
            <w:gridSpan w:val="5"/>
            <w:shd w:val="clear" w:color="auto" w:fill="A6A6A6"/>
            <w:vAlign w:val="center"/>
          </w:tcPr>
          <w:p w14:paraId="27207DEB" w14:textId="77777777" w:rsidR="003F4531" w:rsidRPr="0046184C" w:rsidRDefault="003F4531" w:rsidP="002F131C">
            <w:pPr>
              <w:jc w:val="center"/>
              <w:rPr>
                <w:rFonts w:ascii="Montserrat" w:eastAsia="Times New Roman" w:hAnsi="Montserrat" w:cs="Futura Medium"/>
                <w:b/>
                <w:sz w:val="17"/>
                <w:szCs w:val="17"/>
                <w:lang w:val="es-MX" w:eastAsia="es-MX"/>
              </w:rPr>
            </w:pPr>
            <w:r w:rsidRPr="0046184C">
              <w:rPr>
                <w:rFonts w:ascii="Montserrat" w:eastAsia="Times New Roman" w:hAnsi="Montserrat" w:cs="Futura Medium"/>
                <w:b/>
                <w:sz w:val="17"/>
                <w:szCs w:val="17"/>
                <w:lang w:val="es-MX" w:eastAsia="es-MX"/>
              </w:rPr>
              <w:t xml:space="preserve">GOBIERNO DEL ESTADO </w:t>
            </w:r>
            <w:r w:rsidRPr="0046184C">
              <w:rPr>
                <w:rFonts w:ascii="Montserrat" w:hAnsi="Montserrat" w:cs="Futura Medium"/>
                <w:b/>
                <w:bCs/>
                <w:sz w:val="17"/>
                <w:szCs w:val="17"/>
              </w:rPr>
              <w:t>LIBRE</w:t>
            </w:r>
            <w:r w:rsidRPr="0046184C">
              <w:rPr>
                <w:rFonts w:ascii="Montserrat" w:eastAsia="Times New Roman" w:hAnsi="Montserrat" w:cs="Futura Medium"/>
                <w:b/>
                <w:sz w:val="17"/>
                <w:szCs w:val="17"/>
                <w:lang w:val="es-MX" w:eastAsia="es-MX"/>
              </w:rPr>
              <w:t xml:space="preserve"> Y SOBERANO DE QUINTANA ROO</w:t>
            </w:r>
          </w:p>
          <w:p w14:paraId="248B6887" w14:textId="6B8DDFC0" w:rsidR="003F4531" w:rsidRPr="0046184C" w:rsidRDefault="003F4531" w:rsidP="002F131C">
            <w:pPr>
              <w:jc w:val="center"/>
              <w:rPr>
                <w:rFonts w:ascii="Montserrat" w:eastAsia="Times New Roman" w:hAnsi="Montserrat" w:cs="Futura Medium"/>
                <w:b/>
                <w:sz w:val="17"/>
                <w:szCs w:val="17"/>
                <w:lang w:val="es-MX" w:eastAsia="es-MX"/>
              </w:rPr>
            </w:pPr>
            <w:r w:rsidRPr="0046184C">
              <w:rPr>
                <w:rFonts w:ascii="Montserrat" w:eastAsia="Times New Roman" w:hAnsi="Montserrat" w:cs="Futura Medium"/>
                <w:b/>
                <w:sz w:val="17"/>
                <w:szCs w:val="17"/>
                <w:lang w:val="es-MX" w:eastAsia="es-MX"/>
              </w:rPr>
              <w:t>Al 3</w:t>
            </w:r>
            <w:r w:rsidR="00682F34" w:rsidRPr="0046184C">
              <w:rPr>
                <w:rFonts w:ascii="Montserrat" w:eastAsia="Times New Roman" w:hAnsi="Montserrat" w:cs="Futura Medium"/>
                <w:b/>
                <w:sz w:val="17"/>
                <w:szCs w:val="17"/>
                <w:lang w:val="es-MX" w:eastAsia="es-MX"/>
              </w:rPr>
              <w:t>0</w:t>
            </w:r>
            <w:r w:rsidRPr="0046184C">
              <w:rPr>
                <w:rFonts w:ascii="Montserrat" w:eastAsia="Times New Roman" w:hAnsi="Montserrat" w:cs="Futura Medium"/>
                <w:b/>
                <w:sz w:val="17"/>
                <w:szCs w:val="17"/>
                <w:lang w:val="es-MX" w:eastAsia="es-MX"/>
              </w:rPr>
              <w:t xml:space="preserve"> de </w:t>
            </w:r>
            <w:r w:rsidR="00682F34" w:rsidRPr="0046184C">
              <w:rPr>
                <w:rFonts w:ascii="Montserrat" w:eastAsia="Times New Roman" w:hAnsi="Montserrat" w:cs="Futura Medium"/>
                <w:b/>
                <w:sz w:val="17"/>
                <w:szCs w:val="17"/>
                <w:lang w:val="es-MX" w:eastAsia="es-MX"/>
              </w:rPr>
              <w:t>junio</w:t>
            </w:r>
            <w:r w:rsidRPr="0046184C">
              <w:rPr>
                <w:rFonts w:ascii="Montserrat" w:eastAsia="Times New Roman" w:hAnsi="Montserrat" w:cs="Futura Medium"/>
                <w:b/>
                <w:sz w:val="17"/>
                <w:szCs w:val="17"/>
                <w:lang w:val="es-MX" w:eastAsia="es-MX"/>
              </w:rPr>
              <w:t xml:space="preserve"> de 2025</w:t>
            </w:r>
          </w:p>
          <w:p w14:paraId="1335D9D0" w14:textId="77777777" w:rsidR="003F4531" w:rsidRPr="0046184C" w:rsidRDefault="003F4531" w:rsidP="002F131C">
            <w:pPr>
              <w:jc w:val="center"/>
              <w:rPr>
                <w:rFonts w:ascii="Montserrat" w:eastAsia="Times New Roman" w:hAnsi="Montserrat" w:cs="Futura Medium"/>
                <w:b/>
                <w:sz w:val="17"/>
                <w:szCs w:val="17"/>
                <w:lang w:val="es-MX" w:eastAsia="es-MX"/>
              </w:rPr>
            </w:pPr>
            <w:r w:rsidRPr="0046184C">
              <w:rPr>
                <w:rFonts w:ascii="Montserrat" w:eastAsia="Times New Roman" w:hAnsi="Montserrat" w:cs="Futura Medium"/>
                <w:sz w:val="17"/>
                <w:szCs w:val="17"/>
                <w:lang w:val="es-MX" w:eastAsia="es-MX"/>
              </w:rPr>
              <w:t>(Cifras en Pesos)</w:t>
            </w:r>
          </w:p>
        </w:tc>
      </w:tr>
      <w:tr w:rsidR="003F4531" w:rsidRPr="0046184C" w14:paraId="2A025819" w14:textId="77777777" w:rsidTr="003F4531">
        <w:trPr>
          <w:trHeight w:val="276"/>
          <w:tblHeader/>
          <w:jc w:val="center"/>
        </w:trPr>
        <w:tc>
          <w:tcPr>
            <w:tcW w:w="2214" w:type="dxa"/>
            <w:vMerge w:val="restart"/>
            <w:shd w:val="clear" w:color="auto" w:fill="A6A6A6"/>
            <w:vAlign w:val="center"/>
            <w:hideMark/>
          </w:tcPr>
          <w:p w14:paraId="3C88DECD" w14:textId="77777777" w:rsidR="003F4531" w:rsidRPr="0046184C" w:rsidRDefault="003F4531" w:rsidP="002F131C">
            <w:pPr>
              <w:jc w:val="center"/>
              <w:rPr>
                <w:rFonts w:ascii="Montserrat" w:eastAsia="Times New Roman" w:hAnsi="Montserrat" w:cs="Futura Medium"/>
                <w:b/>
                <w:sz w:val="17"/>
                <w:szCs w:val="17"/>
                <w:lang w:val="es-MX" w:eastAsia="es-MX"/>
              </w:rPr>
            </w:pPr>
            <w:r w:rsidRPr="0046184C">
              <w:rPr>
                <w:rFonts w:ascii="Montserrat" w:eastAsia="Times New Roman" w:hAnsi="Montserrat" w:cs="Futura Medium"/>
                <w:b/>
                <w:sz w:val="17"/>
                <w:szCs w:val="17"/>
                <w:lang w:val="es-MX" w:eastAsia="es-MX"/>
              </w:rPr>
              <w:t>Acreedor</w:t>
            </w:r>
          </w:p>
        </w:tc>
        <w:tc>
          <w:tcPr>
            <w:tcW w:w="1604" w:type="dxa"/>
            <w:vMerge w:val="restart"/>
            <w:shd w:val="clear" w:color="auto" w:fill="A6A6A6"/>
            <w:vAlign w:val="center"/>
            <w:hideMark/>
          </w:tcPr>
          <w:p w14:paraId="69D843B3" w14:textId="77777777" w:rsidR="003F4531" w:rsidRPr="0046184C" w:rsidRDefault="003F4531" w:rsidP="002F131C">
            <w:pPr>
              <w:jc w:val="center"/>
              <w:rPr>
                <w:rFonts w:ascii="Montserrat" w:eastAsia="Times New Roman" w:hAnsi="Montserrat" w:cs="Futura Medium"/>
                <w:b/>
                <w:sz w:val="17"/>
                <w:szCs w:val="17"/>
                <w:lang w:val="es-MX" w:eastAsia="es-MX"/>
              </w:rPr>
            </w:pPr>
            <w:r w:rsidRPr="0046184C">
              <w:rPr>
                <w:rFonts w:ascii="Montserrat" w:eastAsia="Times New Roman" w:hAnsi="Montserrat" w:cs="Futura Medium"/>
                <w:b/>
                <w:sz w:val="17"/>
                <w:szCs w:val="17"/>
                <w:lang w:val="es-MX" w:eastAsia="es-MX"/>
              </w:rPr>
              <w:t>Importe contratado</w:t>
            </w:r>
          </w:p>
        </w:tc>
        <w:tc>
          <w:tcPr>
            <w:tcW w:w="1514" w:type="dxa"/>
            <w:vMerge w:val="restart"/>
            <w:shd w:val="clear" w:color="auto" w:fill="A6A6A6"/>
            <w:vAlign w:val="center"/>
            <w:hideMark/>
          </w:tcPr>
          <w:p w14:paraId="28AA1314" w14:textId="77777777" w:rsidR="003F4531" w:rsidRPr="0046184C" w:rsidRDefault="003F4531" w:rsidP="002F131C">
            <w:pPr>
              <w:jc w:val="center"/>
              <w:rPr>
                <w:rFonts w:ascii="Montserrat" w:eastAsia="Times New Roman" w:hAnsi="Montserrat" w:cs="Futura Medium"/>
                <w:b/>
                <w:color w:val="000000"/>
                <w:sz w:val="17"/>
                <w:szCs w:val="17"/>
                <w:lang w:val="es-MX" w:eastAsia="es-MX"/>
              </w:rPr>
            </w:pPr>
            <w:r w:rsidRPr="0046184C">
              <w:rPr>
                <w:rFonts w:ascii="Montserrat" w:eastAsia="Times New Roman" w:hAnsi="Montserrat" w:cs="Futura Medium"/>
                <w:b/>
                <w:color w:val="000000"/>
                <w:sz w:val="17"/>
                <w:szCs w:val="17"/>
                <w:lang w:val="es-MX" w:eastAsia="es-MX"/>
              </w:rPr>
              <w:t>Intereses</w:t>
            </w:r>
          </w:p>
        </w:tc>
        <w:tc>
          <w:tcPr>
            <w:tcW w:w="1174" w:type="dxa"/>
            <w:vMerge w:val="restart"/>
            <w:shd w:val="clear" w:color="auto" w:fill="A6A6A6"/>
            <w:vAlign w:val="center"/>
            <w:hideMark/>
          </w:tcPr>
          <w:p w14:paraId="1FAAB312" w14:textId="77777777" w:rsidR="003F4531" w:rsidRPr="0046184C" w:rsidRDefault="003F4531" w:rsidP="002F131C">
            <w:pPr>
              <w:jc w:val="center"/>
              <w:rPr>
                <w:rFonts w:ascii="Montserrat" w:eastAsia="Times New Roman" w:hAnsi="Montserrat" w:cs="Futura Medium"/>
                <w:b/>
                <w:sz w:val="17"/>
                <w:szCs w:val="17"/>
                <w:lang w:val="es-MX" w:eastAsia="es-MX"/>
              </w:rPr>
            </w:pPr>
            <w:r w:rsidRPr="0046184C">
              <w:rPr>
                <w:rFonts w:ascii="Montserrat" w:eastAsia="Times New Roman" w:hAnsi="Montserrat" w:cs="Futura Medium"/>
                <w:b/>
                <w:sz w:val="17"/>
                <w:szCs w:val="17"/>
                <w:lang w:val="es-MX" w:eastAsia="es-MX"/>
              </w:rPr>
              <w:t>Comisiones</w:t>
            </w:r>
          </w:p>
        </w:tc>
        <w:tc>
          <w:tcPr>
            <w:tcW w:w="1286" w:type="dxa"/>
            <w:vMerge w:val="restart"/>
            <w:shd w:val="clear" w:color="auto" w:fill="A6A6A6"/>
            <w:vAlign w:val="center"/>
            <w:hideMark/>
          </w:tcPr>
          <w:p w14:paraId="72A473FB" w14:textId="77777777" w:rsidR="003F4531" w:rsidRPr="0046184C" w:rsidRDefault="003F4531" w:rsidP="002F131C">
            <w:pPr>
              <w:jc w:val="center"/>
              <w:rPr>
                <w:rFonts w:ascii="Montserrat" w:eastAsia="Times New Roman" w:hAnsi="Montserrat" w:cs="Futura Medium"/>
                <w:b/>
                <w:sz w:val="17"/>
                <w:szCs w:val="17"/>
                <w:lang w:val="es-MX" w:eastAsia="es-MX"/>
              </w:rPr>
            </w:pPr>
            <w:r w:rsidRPr="0046184C">
              <w:rPr>
                <w:rFonts w:ascii="Montserrat" w:eastAsia="Times New Roman" w:hAnsi="Montserrat" w:cs="Futura Medium"/>
                <w:b/>
                <w:sz w:val="17"/>
                <w:szCs w:val="17"/>
                <w:lang w:val="es-MX" w:eastAsia="es-MX"/>
              </w:rPr>
              <w:t>Otros gastos</w:t>
            </w:r>
          </w:p>
        </w:tc>
      </w:tr>
      <w:tr w:rsidR="003F4531" w:rsidRPr="0046184C" w14:paraId="32296F7D" w14:textId="77777777" w:rsidTr="003F4531">
        <w:trPr>
          <w:trHeight w:val="276"/>
          <w:tblHeader/>
          <w:jc w:val="center"/>
        </w:trPr>
        <w:tc>
          <w:tcPr>
            <w:tcW w:w="2214" w:type="dxa"/>
            <w:vMerge/>
            <w:tcBorders>
              <w:bottom w:val="single" w:sz="4" w:space="0" w:color="auto"/>
            </w:tcBorders>
            <w:shd w:val="clear" w:color="auto" w:fill="A6A6A6"/>
            <w:vAlign w:val="center"/>
            <w:hideMark/>
          </w:tcPr>
          <w:p w14:paraId="36FA90EC" w14:textId="77777777" w:rsidR="003F4531" w:rsidRPr="0046184C" w:rsidRDefault="003F4531" w:rsidP="002F131C">
            <w:pPr>
              <w:rPr>
                <w:rFonts w:ascii="Montserrat" w:eastAsia="Times New Roman" w:hAnsi="Montserrat" w:cs="Futura Medium"/>
                <w:sz w:val="17"/>
                <w:szCs w:val="17"/>
                <w:lang w:val="es-MX" w:eastAsia="es-MX"/>
              </w:rPr>
            </w:pPr>
          </w:p>
        </w:tc>
        <w:tc>
          <w:tcPr>
            <w:tcW w:w="1604" w:type="dxa"/>
            <w:vMerge/>
            <w:tcBorders>
              <w:bottom w:val="single" w:sz="4" w:space="0" w:color="auto"/>
            </w:tcBorders>
            <w:shd w:val="clear" w:color="auto" w:fill="A6A6A6"/>
            <w:vAlign w:val="center"/>
            <w:hideMark/>
          </w:tcPr>
          <w:p w14:paraId="45967F68" w14:textId="77777777" w:rsidR="003F4531" w:rsidRPr="0046184C" w:rsidRDefault="003F4531" w:rsidP="002F131C">
            <w:pPr>
              <w:rPr>
                <w:rFonts w:ascii="Montserrat" w:eastAsia="Times New Roman" w:hAnsi="Montserrat" w:cs="Futura Medium"/>
                <w:sz w:val="17"/>
                <w:szCs w:val="17"/>
                <w:lang w:val="es-MX" w:eastAsia="es-MX"/>
              </w:rPr>
            </w:pPr>
          </w:p>
        </w:tc>
        <w:tc>
          <w:tcPr>
            <w:tcW w:w="1514" w:type="dxa"/>
            <w:vMerge/>
            <w:tcBorders>
              <w:bottom w:val="single" w:sz="4" w:space="0" w:color="auto"/>
            </w:tcBorders>
            <w:shd w:val="clear" w:color="auto" w:fill="A6A6A6"/>
            <w:vAlign w:val="center"/>
            <w:hideMark/>
          </w:tcPr>
          <w:p w14:paraId="39A2922C" w14:textId="77777777" w:rsidR="003F4531" w:rsidRPr="0046184C" w:rsidRDefault="003F4531" w:rsidP="002F131C">
            <w:pPr>
              <w:rPr>
                <w:rFonts w:ascii="Montserrat" w:eastAsia="Times New Roman" w:hAnsi="Montserrat" w:cs="Futura Medium"/>
                <w:color w:val="000000"/>
                <w:sz w:val="17"/>
                <w:szCs w:val="17"/>
                <w:lang w:val="es-MX" w:eastAsia="es-MX"/>
              </w:rPr>
            </w:pPr>
          </w:p>
        </w:tc>
        <w:tc>
          <w:tcPr>
            <w:tcW w:w="1174" w:type="dxa"/>
            <w:vMerge/>
            <w:tcBorders>
              <w:bottom w:val="single" w:sz="4" w:space="0" w:color="auto"/>
            </w:tcBorders>
            <w:shd w:val="clear" w:color="auto" w:fill="A6A6A6"/>
            <w:vAlign w:val="center"/>
            <w:hideMark/>
          </w:tcPr>
          <w:p w14:paraId="2CCE7036" w14:textId="77777777" w:rsidR="003F4531" w:rsidRPr="0046184C" w:rsidRDefault="003F4531" w:rsidP="002F131C">
            <w:pPr>
              <w:rPr>
                <w:rFonts w:ascii="Montserrat" w:eastAsia="Times New Roman" w:hAnsi="Montserrat" w:cs="Futura Medium"/>
                <w:sz w:val="17"/>
                <w:szCs w:val="17"/>
                <w:lang w:val="es-MX" w:eastAsia="es-MX"/>
              </w:rPr>
            </w:pPr>
          </w:p>
        </w:tc>
        <w:tc>
          <w:tcPr>
            <w:tcW w:w="1286" w:type="dxa"/>
            <w:vMerge/>
            <w:tcBorders>
              <w:bottom w:val="single" w:sz="4" w:space="0" w:color="auto"/>
            </w:tcBorders>
            <w:shd w:val="clear" w:color="auto" w:fill="A6A6A6"/>
            <w:vAlign w:val="center"/>
            <w:hideMark/>
          </w:tcPr>
          <w:p w14:paraId="06B39360" w14:textId="77777777" w:rsidR="003F4531" w:rsidRPr="0046184C" w:rsidRDefault="003F4531" w:rsidP="002F131C">
            <w:pPr>
              <w:rPr>
                <w:rFonts w:ascii="Montserrat" w:eastAsia="Times New Roman" w:hAnsi="Montserrat" w:cs="Futura Medium"/>
                <w:sz w:val="17"/>
                <w:szCs w:val="17"/>
                <w:lang w:val="es-MX" w:eastAsia="es-MX"/>
              </w:rPr>
            </w:pPr>
          </w:p>
        </w:tc>
      </w:tr>
      <w:tr w:rsidR="0046184C" w:rsidRPr="0046184C" w14:paraId="1BC2F35A" w14:textId="77777777" w:rsidTr="003F4531">
        <w:trPr>
          <w:trHeight w:val="227"/>
          <w:jc w:val="center"/>
        </w:trPr>
        <w:tc>
          <w:tcPr>
            <w:tcW w:w="2214" w:type="dxa"/>
            <w:tcBorders>
              <w:top w:val="nil"/>
              <w:bottom w:val="nil"/>
              <w:right w:val="single" w:sz="4" w:space="0" w:color="auto"/>
            </w:tcBorders>
            <w:shd w:val="clear" w:color="auto" w:fill="auto"/>
            <w:vAlign w:val="bottom"/>
          </w:tcPr>
          <w:p w14:paraId="7AA6EF4A" w14:textId="77777777" w:rsidR="0046184C" w:rsidRPr="0046184C" w:rsidRDefault="0046184C" w:rsidP="002F131C">
            <w:pPr>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Banorte, S.A.</w:t>
            </w:r>
          </w:p>
        </w:tc>
        <w:tc>
          <w:tcPr>
            <w:tcW w:w="1604" w:type="dxa"/>
            <w:tcBorders>
              <w:top w:val="nil"/>
              <w:left w:val="single" w:sz="4" w:space="0" w:color="auto"/>
              <w:bottom w:val="nil"/>
              <w:right w:val="single" w:sz="4" w:space="0" w:color="auto"/>
            </w:tcBorders>
            <w:shd w:val="clear" w:color="auto" w:fill="auto"/>
            <w:vAlign w:val="bottom"/>
          </w:tcPr>
          <w:p w14:paraId="7136E4C3" w14:textId="77777777" w:rsidR="0046184C" w:rsidRPr="0046184C" w:rsidRDefault="0046184C" w:rsidP="002F131C">
            <w:pPr>
              <w:jc w:val="right"/>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3,000,000,000.00</w:t>
            </w:r>
          </w:p>
        </w:tc>
        <w:tc>
          <w:tcPr>
            <w:tcW w:w="1514" w:type="dxa"/>
            <w:tcBorders>
              <w:top w:val="nil"/>
              <w:left w:val="single" w:sz="4" w:space="0" w:color="auto"/>
              <w:bottom w:val="nil"/>
              <w:right w:val="single" w:sz="4" w:space="0" w:color="auto"/>
            </w:tcBorders>
            <w:shd w:val="clear" w:color="auto" w:fill="auto"/>
            <w:vAlign w:val="bottom"/>
          </w:tcPr>
          <w:p w14:paraId="61F308D8" w14:textId="310B0565" w:rsidR="0046184C" w:rsidRPr="0046184C" w:rsidRDefault="0046184C" w:rsidP="002F131C">
            <w:pPr>
              <w:jc w:val="right"/>
              <w:rPr>
                <w:rFonts w:ascii="Montserrat" w:eastAsia="Times New Roman" w:hAnsi="Montserrat" w:cs="Futura Medium"/>
                <w:color w:val="000000"/>
                <w:sz w:val="16"/>
                <w:szCs w:val="16"/>
                <w:lang w:val="es-MX" w:eastAsia="es-MX"/>
              </w:rPr>
            </w:pPr>
            <w:r w:rsidRPr="0046184C">
              <w:rPr>
                <w:rFonts w:ascii="Montserrat" w:eastAsia="Times New Roman" w:hAnsi="Montserrat" w:cs="Futura Medium"/>
                <w:sz w:val="16"/>
                <w:szCs w:val="16"/>
                <w:lang w:val="es-MX" w:eastAsia="es-MX"/>
              </w:rPr>
              <w:t>152,558,016.78</w:t>
            </w:r>
          </w:p>
        </w:tc>
        <w:tc>
          <w:tcPr>
            <w:tcW w:w="1174" w:type="dxa"/>
            <w:tcBorders>
              <w:top w:val="nil"/>
              <w:left w:val="single" w:sz="4" w:space="0" w:color="auto"/>
              <w:bottom w:val="nil"/>
              <w:right w:val="single" w:sz="4" w:space="0" w:color="auto"/>
            </w:tcBorders>
            <w:shd w:val="clear" w:color="auto" w:fill="auto"/>
            <w:vAlign w:val="bottom"/>
          </w:tcPr>
          <w:p w14:paraId="43A737FC" w14:textId="77777777" w:rsidR="0046184C" w:rsidRPr="0046184C" w:rsidRDefault="0046184C" w:rsidP="002F131C">
            <w:pPr>
              <w:jc w:val="right"/>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0.00</w:t>
            </w:r>
          </w:p>
        </w:tc>
        <w:tc>
          <w:tcPr>
            <w:tcW w:w="1286" w:type="dxa"/>
            <w:tcBorders>
              <w:top w:val="nil"/>
              <w:left w:val="single" w:sz="4" w:space="0" w:color="auto"/>
              <w:bottom w:val="nil"/>
            </w:tcBorders>
            <w:shd w:val="clear" w:color="auto" w:fill="auto"/>
            <w:noWrap/>
            <w:vAlign w:val="bottom"/>
          </w:tcPr>
          <w:p w14:paraId="011B9F82" w14:textId="7E3CAEBC" w:rsidR="0046184C" w:rsidRPr="0046184C" w:rsidRDefault="0046184C" w:rsidP="002F131C">
            <w:pPr>
              <w:jc w:val="right"/>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1,274,863.62</w:t>
            </w:r>
          </w:p>
        </w:tc>
      </w:tr>
      <w:tr w:rsidR="0046184C" w:rsidRPr="0046184C" w14:paraId="1ED9546B" w14:textId="77777777" w:rsidTr="003F4531">
        <w:trPr>
          <w:trHeight w:val="227"/>
          <w:jc w:val="center"/>
        </w:trPr>
        <w:tc>
          <w:tcPr>
            <w:tcW w:w="2214" w:type="dxa"/>
            <w:tcBorders>
              <w:top w:val="nil"/>
              <w:bottom w:val="nil"/>
              <w:right w:val="single" w:sz="4" w:space="0" w:color="auto"/>
            </w:tcBorders>
            <w:shd w:val="clear" w:color="auto" w:fill="auto"/>
            <w:vAlign w:val="bottom"/>
          </w:tcPr>
          <w:p w14:paraId="20FE9538" w14:textId="77777777" w:rsidR="0046184C" w:rsidRPr="0046184C" w:rsidRDefault="0046184C" w:rsidP="002F131C">
            <w:pPr>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Banorte, S.A.</w:t>
            </w:r>
          </w:p>
        </w:tc>
        <w:tc>
          <w:tcPr>
            <w:tcW w:w="1604" w:type="dxa"/>
            <w:tcBorders>
              <w:top w:val="nil"/>
              <w:left w:val="single" w:sz="4" w:space="0" w:color="auto"/>
              <w:bottom w:val="nil"/>
              <w:right w:val="single" w:sz="4" w:space="0" w:color="auto"/>
            </w:tcBorders>
            <w:shd w:val="clear" w:color="auto" w:fill="auto"/>
            <w:vAlign w:val="bottom"/>
          </w:tcPr>
          <w:p w14:paraId="61AF5C4C" w14:textId="77777777" w:rsidR="0046184C" w:rsidRPr="0046184C" w:rsidRDefault="0046184C" w:rsidP="002F131C">
            <w:pPr>
              <w:jc w:val="right"/>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3,300,000,000.00</w:t>
            </w:r>
          </w:p>
        </w:tc>
        <w:tc>
          <w:tcPr>
            <w:tcW w:w="1514" w:type="dxa"/>
            <w:tcBorders>
              <w:top w:val="nil"/>
              <w:left w:val="single" w:sz="4" w:space="0" w:color="auto"/>
              <w:bottom w:val="nil"/>
              <w:right w:val="single" w:sz="4" w:space="0" w:color="auto"/>
            </w:tcBorders>
            <w:shd w:val="clear" w:color="auto" w:fill="auto"/>
            <w:vAlign w:val="bottom"/>
          </w:tcPr>
          <w:p w14:paraId="1F74B4BA" w14:textId="7717D999" w:rsidR="0046184C" w:rsidRPr="0046184C" w:rsidRDefault="0046184C" w:rsidP="002F131C">
            <w:pPr>
              <w:jc w:val="right"/>
              <w:rPr>
                <w:rFonts w:ascii="Montserrat" w:eastAsia="Times New Roman" w:hAnsi="Montserrat" w:cs="Futura Medium"/>
                <w:color w:val="000000"/>
                <w:sz w:val="16"/>
                <w:szCs w:val="16"/>
                <w:lang w:val="es-MX" w:eastAsia="es-MX"/>
              </w:rPr>
            </w:pPr>
            <w:r w:rsidRPr="0046184C">
              <w:rPr>
                <w:rFonts w:ascii="Montserrat" w:eastAsia="Times New Roman" w:hAnsi="Montserrat" w:cs="Futura Medium"/>
                <w:sz w:val="16"/>
                <w:szCs w:val="16"/>
                <w:lang w:val="es-MX" w:eastAsia="es-MX"/>
              </w:rPr>
              <w:t>168,309,971.48</w:t>
            </w:r>
          </w:p>
        </w:tc>
        <w:tc>
          <w:tcPr>
            <w:tcW w:w="1174" w:type="dxa"/>
            <w:tcBorders>
              <w:top w:val="nil"/>
              <w:left w:val="single" w:sz="4" w:space="0" w:color="auto"/>
              <w:bottom w:val="nil"/>
              <w:right w:val="single" w:sz="4" w:space="0" w:color="auto"/>
            </w:tcBorders>
            <w:shd w:val="clear" w:color="auto" w:fill="auto"/>
            <w:vAlign w:val="bottom"/>
          </w:tcPr>
          <w:p w14:paraId="5B460EF2" w14:textId="77777777" w:rsidR="0046184C" w:rsidRPr="0046184C" w:rsidRDefault="0046184C" w:rsidP="002F131C">
            <w:pPr>
              <w:jc w:val="right"/>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0.00</w:t>
            </w:r>
          </w:p>
        </w:tc>
        <w:tc>
          <w:tcPr>
            <w:tcW w:w="1286" w:type="dxa"/>
            <w:tcBorders>
              <w:top w:val="nil"/>
              <w:left w:val="single" w:sz="4" w:space="0" w:color="auto"/>
              <w:bottom w:val="nil"/>
            </w:tcBorders>
            <w:shd w:val="clear" w:color="auto" w:fill="auto"/>
            <w:noWrap/>
            <w:vAlign w:val="bottom"/>
          </w:tcPr>
          <w:p w14:paraId="29B84FC7" w14:textId="51391FF0" w:rsidR="0046184C" w:rsidRPr="0046184C" w:rsidRDefault="0046184C" w:rsidP="002F131C">
            <w:pPr>
              <w:jc w:val="right"/>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1,402,349.98</w:t>
            </w:r>
          </w:p>
        </w:tc>
      </w:tr>
      <w:tr w:rsidR="0046184C" w:rsidRPr="0046184C" w14:paraId="106B9C7B" w14:textId="77777777" w:rsidTr="003F4531">
        <w:trPr>
          <w:trHeight w:val="227"/>
          <w:jc w:val="center"/>
        </w:trPr>
        <w:tc>
          <w:tcPr>
            <w:tcW w:w="2214" w:type="dxa"/>
            <w:tcBorders>
              <w:top w:val="nil"/>
              <w:bottom w:val="nil"/>
              <w:right w:val="single" w:sz="4" w:space="0" w:color="auto"/>
            </w:tcBorders>
            <w:shd w:val="clear" w:color="auto" w:fill="auto"/>
            <w:vAlign w:val="bottom"/>
          </w:tcPr>
          <w:p w14:paraId="12885F85" w14:textId="77777777" w:rsidR="0046184C" w:rsidRPr="0046184C" w:rsidRDefault="0046184C" w:rsidP="002F131C">
            <w:pPr>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BBVA México, S.A.</w:t>
            </w:r>
          </w:p>
        </w:tc>
        <w:tc>
          <w:tcPr>
            <w:tcW w:w="1604" w:type="dxa"/>
            <w:tcBorders>
              <w:top w:val="nil"/>
              <w:left w:val="single" w:sz="4" w:space="0" w:color="auto"/>
              <w:bottom w:val="nil"/>
              <w:right w:val="single" w:sz="4" w:space="0" w:color="auto"/>
            </w:tcBorders>
            <w:shd w:val="clear" w:color="auto" w:fill="auto"/>
            <w:vAlign w:val="bottom"/>
          </w:tcPr>
          <w:p w14:paraId="14C53235" w14:textId="77777777" w:rsidR="0046184C" w:rsidRPr="0046184C" w:rsidRDefault="0046184C" w:rsidP="002F131C">
            <w:pPr>
              <w:jc w:val="right"/>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737,138,810.00</w:t>
            </w:r>
          </w:p>
        </w:tc>
        <w:tc>
          <w:tcPr>
            <w:tcW w:w="1514" w:type="dxa"/>
            <w:tcBorders>
              <w:top w:val="nil"/>
              <w:left w:val="single" w:sz="4" w:space="0" w:color="auto"/>
              <w:bottom w:val="nil"/>
              <w:right w:val="single" w:sz="4" w:space="0" w:color="auto"/>
            </w:tcBorders>
            <w:shd w:val="clear" w:color="auto" w:fill="auto"/>
            <w:vAlign w:val="bottom"/>
          </w:tcPr>
          <w:p w14:paraId="6C23DA44" w14:textId="4F2F37F5" w:rsidR="0046184C" w:rsidRPr="0046184C" w:rsidRDefault="0046184C" w:rsidP="002F131C">
            <w:pPr>
              <w:jc w:val="right"/>
              <w:rPr>
                <w:rFonts w:ascii="Montserrat" w:eastAsia="Times New Roman" w:hAnsi="Montserrat" w:cs="Futura Medium"/>
                <w:color w:val="000000"/>
                <w:sz w:val="16"/>
                <w:szCs w:val="16"/>
                <w:lang w:val="es-MX" w:eastAsia="es-MX"/>
              </w:rPr>
            </w:pPr>
            <w:r w:rsidRPr="0046184C">
              <w:rPr>
                <w:rFonts w:ascii="Montserrat" w:eastAsia="Times New Roman" w:hAnsi="Montserrat" w:cs="Futura Medium"/>
                <w:sz w:val="16"/>
                <w:szCs w:val="16"/>
                <w:lang w:val="es-MX" w:eastAsia="es-MX"/>
              </w:rPr>
              <w:t>37,534,879.65</w:t>
            </w:r>
          </w:p>
        </w:tc>
        <w:tc>
          <w:tcPr>
            <w:tcW w:w="1174" w:type="dxa"/>
            <w:tcBorders>
              <w:top w:val="nil"/>
              <w:left w:val="single" w:sz="4" w:space="0" w:color="auto"/>
              <w:bottom w:val="nil"/>
              <w:right w:val="single" w:sz="4" w:space="0" w:color="auto"/>
            </w:tcBorders>
            <w:shd w:val="clear" w:color="auto" w:fill="auto"/>
            <w:vAlign w:val="bottom"/>
          </w:tcPr>
          <w:p w14:paraId="367959B1" w14:textId="77777777" w:rsidR="0046184C" w:rsidRPr="0046184C" w:rsidRDefault="0046184C" w:rsidP="002F131C">
            <w:pPr>
              <w:jc w:val="right"/>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0.00</w:t>
            </w:r>
          </w:p>
        </w:tc>
        <w:tc>
          <w:tcPr>
            <w:tcW w:w="1286" w:type="dxa"/>
            <w:tcBorders>
              <w:top w:val="nil"/>
              <w:left w:val="single" w:sz="4" w:space="0" w:color="auto"/>
              <w:bottom w:val="nil"/>
            </w:tcBorders>
            <w:shd w:val="clear" w:color="auto" w:fill="auto"/>
            <w:noWrap/>
            <w:vAlign w:val="bottom"/>
          </w:tcPr>
          <w:p w14:paraId="68729FDC" w14:textId="4CF6A8F0" w:rsidR="0046184C" w:rsidRPr="0046184C" w:rsidRDefault="0046184C" w:rsidP="002F131C">
            <w:pPr>
              <w:jc w:val="right"/>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284,917.85</w:t>
            </w:r>
          </w:p>
        </w:tc>
      </w:tr>
      <w:tr w:rsidR="0046184C" w:rsidRPr="0046184C" w14:paraId="61DB4F32" w14:textId="77777777" w:rsidTr="003F4531">
        <w:trPr>
          <w:trHeight w:val="227"/>
          <w:jc w:val="center"/>
        </w:trPr>
        <w:tc>
          <w:tcPr>
            <w:tcW w:w="2214" w:type="dxa"/>
            <w:tcBorders>
              <w:top w:val="nil"/>
              <w:bottom w:val="nil"/>
              <w:right w:val="single" w:sz="4" w:space="0" w:color="auto"/>
            </w:tcBorders>
            <w:shd w:val="clear" w:color="auto" w:fill="auto"/>
            <w:vAlign w:val="bottom"/>
          </w:tcPr>
          <w:p w14:paraId="0B5EE132" w14:textId="77777777" w:rsidR="0046184C" w:rsidRPr="0046184C" w:rsidRDefault="0046184C" w:rsidP="002F131C">
            <w:pPr>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Santander México, S.A.</w:t>
            </w:r>
          </w:p>
        </w:tc>
        <w:tc>
          <w:tcPr>
            <w:tcW w:w="1604" w:type="dxa"/>
            <w:tcBorders>
              <w:top w:val="nil"/>
              <w:left w:val="single" w:sz="4" w:space="0" w:color="auto"/>
              <w:bottom w:val="nil"/>
              <w:right w:val="single" w:sz="4" w:space="0" w:color="auto"/>
            </w:tcBorders>
            <w:shd w:val="clear" w:color="auto" w:fill="auto"/>
            <w:vAlign w:val="bottom"/>
          </w:tcPr>
          <w:p w14:paraId="51F1EBB8" w14:textId="77777777" w:rsidR="0046184C" w:rsidRPr="0046184C" w:rsidRDefault="0046184C" w:rsidP="002F131C">
            <w:pPr>
              <w:jc w:val="right"/>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1,500,000,000.00</w:t>
            </w:r>
          </w:p>
        </w:tc>
        <w:tc>
          <w:tcPr>
            <w:tcW w:w="1514" w:type="dxa"/>
            <w:tcBorders>
              <w:top w:val="nil"/>
              <w:left w:val="single" w:sz="4" w:space="0" w:color="auto"/>
              <w:bottom w:val="nil"/>
              <w:right w:val="single" w:sz="4" w:space="0" w:color="auto"/>
            </w:tcBorders>
            <w:shd w:val="clear" w:color="auto" w:fill="auto"/>
            <w:vAlign w:val="bottom"/>
          </w:tcPr>
          <w:p w14:paraId="48ECC04B" w14:textId="68F686BB" w:rsidR="0046184C" w:rsidRPr="0046184C" w:rsidRDefault="0046184C" w:rsidP="002F131C">
            <w:pPr>
              <w:jc w:val="right"/>
              <w:rPr>
                <w:rFonts w:ascii="Montserrat" w:eastAsia="Times New Roman" w:hAnsi="Montserrat" w:cs="Futura Medium"/>
                <w:color w:val="000000"/>
                <w:sz w:val="16"/>
                <w:szCs w:val="16"/>
                <w:lang w:val="es-MX" w:eastAsia="es-MX"/>
              </w:rPr>
            </w:pPr>
            <w:r w:rsidRPr="0046184C">
              <w:rPr>
                <w:rFonts w:ascii="Montserrat" w:eastAsia="Times New Roman" w:hAnsi="Montserrat" w:cs="Futura Medium"/>
                <w:sz w:val="16"/>
                <w:szCs w:val="16"/>
                <w:lang w:val="es-MX" w:eastAsia="es-MX"/>
              </w:rPr>
              <w:t>74,598,896.45</w:t>
            </w:r>
          </w:p>
        </w:tc>
        <w:tc>
          <w:tcPr>
            <w:tcW w:w="1174" w:type="dxa"/>
            <w:tcBorders>
              <w:top w:val="nil"/>
              <w:left w:val="single" w:sz="4" w:space="0" w:color="auto"/>
              <w:bottom w:val="nil"/>
              <w:right w:val="single" w:sz="4" w:space="0" w:color="auto"/>
            </w:tcBorders>
            <w:shd w:val="clear" w:color="auto" w:fill="auto"/>
            <w:vAlign w:val="bottom"/>
          </w:tcPr>
          <w:p w14:paraId="3D99DDE7" w14:textId="77777777" w:rsidR="0046184C" w:rsidRPr="0046184C" w:rsidRDefault="0046184C" w:rsidP="002F131C">
            <w:pPr>
              <w:jc w:val="right"/>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0.00</w:t>
            </w:r>
          </w:p>
        </w:tc>
        <w:tc>
          <w:tcPr>
            <w:tcW w:w="1286" w:type="dxa"/>
            <w:tcBorders>
              <w:top w:val="nil"/>
              <w:left w:val="single" w:sz="4" w:space="0" w:color="auto"/>
              <w:bottom w:val="nil"/>
            </w:tcBorders>
            <w:shd w:val="clear" w:color="auto" w:fill="auto"/>
            <w:noWrap/>
            <w:vAlign w:val="bottom"/>
          </w:tcPr>
          <w:p w14:paraId="52E2CCE5" w14:textId="1DCECD32" w:rsidR="0046184C" w:rsidRPr="0046184C" w:rsidRDefault="0046184C" w:rsidP="002F131C">
            <w:pPr>
              <w:jc w:val="right"/>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550,585.80</w:t>
            </w:r>
          </w:p>
        </w:tc>
      </w:tr>
      <w:tr w:rsidR="0046184C" w:rsidRPr="0046184C" w14:paraId="12F148DE" w14:textId="77777777" w:rsidTr="003F4531">
        <w:trPr>
          <w:trHeight w:val="227"/>
          <w:jc w:val="center"/>
        </w:trPr>
        <w:tc>
          <w:tcPr>
            <w:tcW w:w="2214" w:type="dxa"/>
            <w:tcBorders>
              <w:top w:val="nil"/>
              <w:bottom w:val="nil"/>
              <w:right w:val="single" w:sz="4" w:space="0" w:color="auto"/>
            </w:tcBorders>
            <w:shd w:val="clear" w:color="auto" w:fill="auto"/>
            <w:vAlign w:val="bottom"/>
          </w:tcPr>
          <w:p w14:paraId="357A217C" w14:textId="77777777" w:rsidR="0046184C" w:rsidRPr="0046184C" w:rsidRDefault="0046184C" w:rsidP="002F131C">
            <w:pPr>
              <w:rPr>
                <w:rFonts w:ascii="Montserrat" w:eastAsia="Times New Roman" w:hAnsi="Montserrat" w:cs="Futura Medium"/>
                <w:sz w:val="16"/>
                <w:szCs w:val="16"/>
                <w:lang w:val="es-MX" w:eastAsia="es-MX"/>
              </w:rPr>
            </w:pPr>
            <w:proofErr w:type="spellStart"/>
            <w:r w:rsidRPr="0046184C">
              <w:rPr>
                <w:rFonts w:ascii="Montserrat" w:eastAsia="Times New Roman" w:hAnsi="Montserrat" w:cs="Futura Medium"/>
                <w:sz w:val="16"/>
                <w:szCs w:val="16"/>
                <w:lang w:val="es-MX" w:eastAsia="es-MX"/>
              </w:rPr>
              <w:t>Banobras</w:t>
            </w:r>
            <w:proofErr w:type="spellEnd"/>
            <w:r w:rsidRPr="0046184C">
              <w:rPr>
                <w:rFonts w:ascii="Montserrat" w:eastAsia="Times New Roman" w:hAnsi="Montserrat" w:cs="Futura Medium"/>
                <w:sz w:val="16"/>
                <w:szCs w:val="16"/>
                <w:lang w:val="es-MX" w:eastAsia="es-MX"/>
              </w:rPr>
              <w:t>, S.N.C.</w:t>
            </w:r>
          </w:p>
        </w:tc>
        <w:tc>
          <w:tcPr>
            <w:tcW w:w="1604" w:type="dxa"/>
            <w:tcBorders>
              <w:top w:val="nil"/>
              <w:left w:val="single" w:sz="4" w:space="0" w:color="auto"/>
              <w:bottom w:val="nil"/>
              <w:right w:val="single" w:sz="4" w:space="0" w:color="auto"/>
            </w:tcBorders>
            <w:shd w:val="clear" w:color="auto" w:fill="auto"/>
            <w:vAlign w:val="bottom"/>
          </w:tcPr>
          <w:p w14:paraId="2963503D" w14:textId="77777777" w:rsidR="0046184C" w:rsidRPr="0046184C" w:rsidRDefault="0046184C" w:rsidP="002F131C">
            <w:pPr>
              <w:jc w:val="right"/>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5,000,000,000.00</w:t>
            </w:r>
          </w:p>
        </w:tc>
        <w:tc>
          <w:tcPr>
            <w:tcW w:w="1514" w:type="dxa"/>
            <w:tcBorders>
              <w:top w:val="nil"/>
              <w:left w:val="single" w:sz="4" w:space="0" w:color="auto"/>
              <w:bottom w:val="nil"/>
              <w:right w:val="single" w:sz="4" w:space="0" w:color="auto"/>
            </w:tcBorders>
            <w:shd w:val="clear" w:color="auto" w:fill="auto"/>
            <w:vAlign w:val="bottom"/>
          </w:tcPr>
          <w:p w14:paraId="620A04DB" w14:textId="746313FF" w:rsidR="0046184C" w:rsidRPr="0046184C" w:rsidRDefault="0046184C" w:rsidP="002F131C">
            <w:pPr>
              <w:jc w:val="right"/>
              <w:rPr>
                <w:rFonts w:ascii="Montserrat" w:eastAsia="Times New Roman" w:hAnsi="Montserrat" w:cs="Futura Medium"/>
                <w:color w:val="000000"/>
                <w:sz w:val="16"/>
                <w:szCs w:val="16"/>
                <w:lang w:val="es-MX" w:eastAsia="es-MX"/>
              </w:rPr>
            </w:pPr>
            <w:r w:rsidRPr="0046184C">
              <w:rPr>
                <w:rFonts w:ascii="Montserrat" w:eastAsia="Times New Roman" w:hAnsi="Montserrat" w:cs="Futura Medium"/>
                <w:sz w:val="16"/>
                <w:szCs w:val="16"/>
                <w:lang w:val="es-MX" w:eastAsia="es-MX"/>
              </w:rPr>
              <w:t>257,530,611.59</w:t>
            </w:r>
          </w:p>
        </w:tc>
        <w:tc>
          <w:tcPr>
            <w:tcW w:w="1174" w:type="dxa"/>
            <w:tcBorders>
              <w:top w:val="nil"/>
              <w:left w:val="single" w:sz="4" w:space="0" w:color="auto"/>
              <w:bottom w:val="nil"/>
              <w:right w:val="single" w:sz="4" w:space="0" w:color="auto"/>
            </w:tcBorders>
            <w:shd w:val="clear" w:color="auto" w:fill="auto"/>
            <w:vAlign w:val="bottom"/>
          </w:tcPr>
          <w:p w14:paraId="35693773" w14:textId="77777777" w:rsidR="0046184C" w:rsidRPr="0046184C" w:rsidRDefault="0046184C" w:rsidP="002F131C">
            <w:pPr>
              <w:jc w:val="right"/>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0.00</w:t>
            </w:r>
          </w:p>
        </w:tc>
        <w:tc>
          <w:tcPr>
            <w:tcW w:w="1286" w:type="dxa"/>
            <w:tcBorders>
              <w:top w:val="nil"/>
              <w:left w:val="single" w:sz="4" w:space="0" w:color="auto"/>
              <w:bottom w:val="nil"/>
            </w:tcBorders>
            <w:shd w:val="clear" w:color="auto" w:fill="auto"/>
            <w:noWrap/>
            <w:vAlign w:val="bottom"/>
          </w:tcPr>
          <w:p w14:paraId="20811437" w14:textId="7ACF0C59" w:rsidR="0046184C" w:rsidRPr="0046184C" w:rsidRDefault="0046184C" w:rsidP="002F131C">
            <w:pPr>
              <w:jc w:val="right"/>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2,513,631.51</w:t>
            </w:r>
          </w:p>
        </w:tc>
      </w:tr>
      <w:tr w:rsidR="0046184C" w:rsidRPr="0046184C" w14:paraId="0897B8AE" w14:textId="77777777" w:rsidTr="003F4531">
        <w:trPr>
          <w:trHeight w:val="227"/>
          <w:jc w:val="center"/>
        </w:trPr>
        <w:tc>
          <w:tcPr>
            <w:tcW w:w="2214" w:type="dxa"/>
            <w:tcBorders>
              <w:top w:val="nil"/>
              <w:bottom w:val="nil"/>
              <w:right w:val="single" w:sz="4" w:space="0" w:color="auto"/>
            </w:tcBorders>
            <w:shd w:val="clear" w:color="auto" w:fill="auto"/>
            <w:vAlign w:val="bottom"/>
          </w:tcPr>
          <w:p w14:paraId="4D8519AE" w14:textId="77777777" w:rsidR="0046184C" w:rsidRPr="0046184C" w:rsidRDefault="0046184C" w:rsidP="002F131C">
            <w:pPr>
              <w:rPr>
                <w:rFonts w:ascii="Montserrat" w:eastAsia="Times New Roman" w:hAnsi="Montserrat" w:cs="Futura Medium"/>
                <w:sz w:val="16"/>
                <w:szCs w:val="16"/>
                <w:lang w:val="es-MX" w:eastAsia="es-MX"/>
              </w:rPr>
            </w:pPr>
            <w:proofErr w:type="spellStart"/>
            <w:r w:rsidRPr="0046184C">
              <w:rPr>
                <w:rFonts w:ascii="Montserrat" w:eastAsia="Times New Roman" w:hAnsi="Montserrat" w:cs="Futura Medium"/>
                <w:sz w:val="16"/>
                <w:szCs w:val="16"/>
                <w:lang w:val="es-MX" w:eastAsia="es-MX"/>
              </w:rPr>
              <w:t>Banobras</w:t>
            </w:r>
            <w:proofErr w:type="spellEnd"/>
            <w:r w:rsidRPr="0046184C">
              <w:rPr>
                <w:rFonts w:ascii="Montserrat" w:eastAsia="Times New Roman" w:hAnsi="Montserrat" w:cs="Futura Medium"/>
                <w:sz w:val="16"/>
                <w:szCs w:val="16"/>
                <w:lang w:val="es-MX" w:eastAsia="es-MX"/>
              </w:rPr>
              <w:t>, S.N.C.</w:t>
            </w:r>
          </w:p>
        </w:tc>
        <w:tc>
          <w:tcPr>
            <w:tcW w:w="1604" w:type="dxa"/>
            <w:tcBorders>
              <w:top w:val="nil"/>
              <w:left w:val="single" w:sz="4" w:space="0" w:color="auto"/>
              <w:bottom w:val="nil"/>
              <w:right w:val="single" w:sz="4" w:space="0" w:color="auto"/>
            </w:tcBorders>
            <w:shd w:val="clear" w:color="auto" w:fill="auto"/>
            <w:vAlign w:val="bottom"/>
          </w:tcPr>
          <w:p w14:paraId="0637086C" w14:textId="77777777" w:rsidR="0046184C" w:rsidRPr="0046184C" w:rsidRDefault="0046184C" w:rsidP="002F131C">
            <w:pPr>
              <w:jc w:val="right"/>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3,000,000,000.00</w:t>
            </w:r>
          </w:p>
        </w:tc>
        <w:tc>
          <w:tcPr>
            <w:tcW w:w="1514" w:type="dxa"/>
            <w:tcBorders>
              <w:top w:val="nil"/>
              <w:left w:val="single" w:sz="4" w:space="0" w:color="auto"/>
              <w:bottom w:val="nil"/>
              <w:right w:val="single" w:sz="4" w:space="0" w:color="auto"/>
            </w:tcBorders>
            <w:shd w:val="clear" w:color="auto" w:fill="auto"/>
            <w:vAlign w:val="bottom"/>
          </w:tcPr>
          <w:p w14:paraId="084AD368" w14:textId="48B108E4" w:rsidR="0046184C" w:rsidRPr="0046184C" w:rsidRDefault="0046184C" w:rsidP="002F131C">
            <w:pPr>
              <w:jc w:val="right"/>
              <w:rPr>
                <w:rFonts w:ascii="Montserrat" w:eastAsia="Times New Roman" w:hAnsi="Montserrat" w:cs="Futura Medium"/>
                <w:color w:val="000000"/>
                <w:sz w:val="16"/>
                <w:szCs w:val="16"/>
                <w:lang w:val="es-MX" w:eastAsia="es-MX"/>
              </w:rPr>
            </w:pPr>
            <w:r w:rsidRPr="0046184C">
              <w:rPr>
                <w:rFonts w:ascii="Montserrat" w:eastAsia="Times New Roman" w:hAnsi="Montserrat" w:cs="Futura Medium"/>
                <w:sz w:val="16"/>
                <w:szCs w:val="16"/>
                <w:lang w:val="es-MX" w:eastAsia="es-MX"/>
              </w:rPr>
              <w:t>152,407,496.71</w:t>
            </w:r>
          </w:p>
        </w:tc>
        <w:tc>
          <w:tcPr>
            <w:tcW w:w="1174" w:type="dxa"/>
            <w:tcBorders>
              <w:top w:val="nil"/>
              <w:left w:val="single" w:sz="4" w:space="0" w:color="auto"/>
              <w:bottom w:val="nil"/>
              <w:right w:val="single" w:sz="4" w:space="0" w:color="auto"/>
            </w:tcBorders>
            <w:shd w:val="clear" w:color="auto" w:fill="auto"/>
            <w:vAlign w:val="bottom"/>
          </w:tcPr>
          <w:p w14:paraId="399CEACA" w14:textId="77777777" w:rsidR="0046184C" w:rsidRPr="0046184C" w:rsidRDefault="0046184C" w:rsidP="002F131C">
            <w:pPr>
              <w:jc w:val="right"/>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0.00</w:t>
            </w:r>
          </w:p>
        </w:tc>
        <w:tc>
          <w:tcPr>
            <w:tcW w:w="1286" w:type="dxa"/>
            <w:tcBorders>
              <w:top w:val="nil"/>
              <w:left w:val="single" w:sz="4" w:space="0" w:color="auto"/>
              <w:bottom w:val="nil"/>
            </w:tcBorders>
            <w:shd w:val="clear" w:color="auto" w:fill="auto"/>
            <w:noWrap/>
            <w:vAlign w:val="bottom"/>
          </w:tcPr>
          <w:p w14:paraId="53E80F17" w14:textId="16D7DB0E" w:rsidR="0046184C" w:rsidRPr="0046184C" w:rsidRDefault="0046184C" w:rsidP="002F131C">
            <w:pPr>
              <w:jc w:val="right"/>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1,504,594.53</w:t>
            </w:r>
          </w:p>
        </w:tc>
      </w:tr>
      <w:tr w:rsidR="0046184C" w:rsidRPr="0046184C" w14:paraId="26EA06B1" w14:textId="77777777" w:rsidTr="003F4531">
        <w:trPr>
          <w:trHeight w:val="227"/>
          <w:jc w:val="center"/>
        </w:trPr>
        <w:tc>
          <w:tcPr>
            <w:tcW w:w="2214" w:type="dxa"/>
            <w:tcBorders>
              <w:top w:val="nil"/>
              <w:bottom w:val="nil"/>
              <w:right w:val="single" w:sz="4" w:space="0" w:color="auto"/>
            </w:tcBorders>
            <w:shd w:val="clear" w:color="auto" w:fill="auto"/>
            <w:vAlign w:val="bottom"/>
          </w:tcPr>
          <w:p w14:paraId="3F949E16" w14:textId="77777777" w:rsidR="0046184C" w:rsidRPr="0046184C" w:rsidRDefault="0046184C" w:rsidP="002F131C">
            <w:pPr>
              <w:rPr>
                <w:rFonts w:ascii="Montserrat" w:eastAsia="Times New Roman" w:hAnsi="Montserrat" w:cs="Futura Medium"/>
                <w:sz w:val="16"/>
                <w:szCs w:val="16"/>
                <w:lang w:val="es-MX" w:eastAsia="es-MX"/>
              </w:rPr>
            </w:pPr>
            <w:proofErr w:type="spellStart"/>
            <w:r w:rsidRPr="0046184C">
              <w:rPr>
                <w:rFonts w:ascii="Montserrat" w:eastAsia="Times New Roman" w:hAnsi="Montserrat" w:cs="Futura Medium"/>
                <w:sz w:val="16"/>
                <w:szCs w:val="16"/>
                <w:lang w:val="es-MX" w:eastAsia="es-MX"/>
              </w:rPr>
              <w:t>Banobras</w:t>
            </w:r>
            <w:proofErr w:type="spellEnd"/>
            <w:r w:rsidRPr="0046184C">
              <w:rPr>
                <w:rFonts w:ascii="Montserrat" w:eastAsia="Times New Roman" w:hAnsi="Montserrat" w:cs="Futura Medium"/>
                <w:sz w:val="16"/>
                <w:szCs w:val="16"/>
                <w:lang w:val="es-MX" w:eastAsia="es-MX"/>
              </w:rPr>
              <w:t>, S.N.C.</w:t>
            </w:r>
          </w:p>
        </w:tc>
        <w:tc>
          <w:tcPr>
            <w:tcW w:w="1604" w:type="dxa"/>
            <w:tcBorders>
              <w:top w:val="nil"/>
              <w:left w:val="single" w:sz="4" w:space="0" w:color="auto"/>
              <w:bottom w:val="nil"/>
              <w:right w:val="single" w:sz="4" w:space="0" w:color="auto"/>
            </w:tcBorders>
            <w:shd w:val="clear" w:color="auto" w:fill="auto"/>
            <w:vAlign w:val="bottom"/>
          </w:tcPr>
          <w:p w14:paraId="438198A5" w14:textId="77777777" w:rsidR="0046184C" w:rsidRPr="0046184C" w:rsidRDefault="0046184C" w:rsidP="002F131C">
            <w:pPr>
              <w:jc w:val="right"/>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2,808,364,029.00</w:t>
            </w:r>
          </w:p>
        </w:tc>
        <w:tc>
          <w:tcPr>
            <w:tcW w:w="1514" w:type="dxa"/>
            <w:tcBorders>
              <w:top w:val="nil"/>
              <w:left w:val="single" w:sz="4" w:space="0" w:color="auto"/>
              <w:bottom w:val="nil"/>
              <w:right w:val="single" w:sz="4" w:space="0" w:color="auto"/>
            </w:tcBorders>
            <w:shd w:val="clear" w:color="auto" w:fill="auto"/>
            <w:vAlign w:val="bottom"/>
          </w:tcPr>
          <w:p w14:paraId="5DC9C5EF" w14:textId="35C83621" w:rsidR="0046184C" w:rsidRPr="0046184C" w:rsidRDefault="0046184C" w:rsidP="002F131C">
            <w:pPr>
              <w:jc w:val="right"/>
              <w:rPr>
                <w:rFonts w:ascii="Montserrat" w:eastAsia="Times New Roman" w:hAnsi="Montserrat" w:cs="Futura Medium"/>
                <w:color w:val="000000"/>
                <w:sz w:val="16"/>
                <w:szCs w:val="16"/>
                <w:lang w:val="es-MX" w:eastAsia="es-MX"/>
              </w:rPr>
            </w:pPr>
            <w:r w:rsidRPr="0046184C">
              <w:rPr>
                <w:rFonts w:ascii="Montserrat" w:eastAsia="Times New Roman" w:hAnsi="Montserrat" w:cs="Futura Medium"/>
                <w:sz w:val="16"/>
                <w:szCs w:val="16"/>
                <w:lang w:val="es-MX" w:eastAsia="es-MX"/>
              </w:rPr>
              <w:t>144,086,645.84</w:t>
            </w:r>
          </w:p>
        </w:tc>
        <w:tc>
          <w:tcPr>
            <w:tcW w:w="1174" w:type="dxa"/>
            <w:tcBorders>
              <w:top w:val="nil"/>
              <w:left w:val="single" w:sz="4" w:space="0" w:color="auto"/>
              <w:bottom w:val="nil"/>
              <w:right w:val="single" w:sz="4" w:space="0" w:color="auto"/>
            </w:tcBorders>
            <w:shd w:val="clear" w:color="auto" w:fill="auto"/>
            <w:vAlign w:val="bottom"/>
          </w:tcPr>
          <w:p w14:paraId="20BB536B" w14:textId="77777777" w:rsidR="0046184C" w:rsidRPr="0046184C" w:rsidRDefault="0046184C" w:rsidP="002F131C">
            <w:pPr>
              <w:jc w:val="right"/>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0.00</w:t>
            </w:r>
          </w:p>
        </w:tc>
        <w:tc>
          <w:tcPr>
            <w:tcW w:w="1286" w:type="dxa"/>
            <w:tcBorders>
              <w:top w:val="nil"/>
              <w:left w:val="single" w:sz="4" w:space="0" w:color="auto"/>
              <w:bottom w:val="nil"/>
            </w:tcBorders>
            <w:shd w:val="clear" w:color="auto" w:fill="auto"/>
            <w:noWrap/>
            <w:vAlign w:val="bottom"/>
          </w:tcPr>
          <w:p w14:paraId="4D7BF16F" w14:textId="571C0522" w:rsidR="0046184C" w:rsidRPr="0046184C" w:rsidRDefault="0046184C" w:rsidP="002F131C">
            <w:pPr>
              <w:jc w:val="right"/>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1,408,483.06</w:t>
            </w:r>
          </w:p>
        </w:tc>
      </w:tr>
      <w:tr w:rsidR="0046184C" w:rsidRPr="0046184C" w14:paraId="7D45483F" w14:textId="77777777" w:rsidTr="003F4531">
        <w:trPr>
          <w:trHeight w:val="227"/>
          <w:jc w:val="center"/>
        </w:trPr>
        <w:tc>
          <w:tcPr>
            <w:tcW w:w="2214" w:type="dxa"/>
            <w:tcBorders>
              <w:top w:val="nil"/>
              <w:bottom w:val="nil"/>
              <w:right w:val="single" w:sz="4" w:space="0" w:color="auto"/>
            </w:tcBorders>
            <w:shd w:val="clear" w:color="auto" w:fill="auto"/>
            <w:vAlign w:val="bottom"/>
          </w:tcPr>
          <w:p w14:paraId="7B0F8632" w14:textId="77777777" w:rsidR="0046184C" w:rsidRPr="0046184C" w:rsidRDefault="0046184C" w:rsidP="002F131C">
            <w:pPr>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Honorarios Fiduciarios</w:t>
            </w:r>
          </w:p>
        </w:tc>
        <w:tc>
          <w:tcPr>
            <w:tcW w:w="1604" w:type="dxa"/>
            <w:tcBorders>
              <w:top w:val="nil"/>
              <w:left w:val="single" w:sz="4" w:space="0" w:color="auto"/>
              <w:bottom w:val="nil"/>
              <w:right w:val="single" w:sz="4" w:space="0" w:color="auto"/>
            </w:tcBorders>
            <w:shd w:val="clear" w:color="auto" w:fill="auto"/>
            <w:vAlign w:val="bottom"/>
          </w:tcPr>
          <w:p w14:paraId="1D9C1A76" w14:textId="77777777" w:rsidR="0046184C" w:rsidRPr="0046184C" w:rsidRDefault="0046184C" w:rsidP="002F131C">
            <w:pPr>
              <w:jc w:val="right"/>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0.00</w:t>
            </w:r>
          </w:p>
        </w:tc>
        <w:tc>
          <w:tcPr>
            <w:tcW w:w="1514" w:type="dxa"/>
            <w:tcBorders>
              <w:top w:val="nil"/>
              <w:left w:val="single" w:sz="4" w:space="0" w:color="auto"/>
              <w:bottom w:val="nil"/>
              <w:right w:val="single" w:sz="4" w:space="0" w:color="auto"/>
            </w:tcBorders>
            <w:shd w:val="clear" w:color="auto" w:fill="auto"/>
            <w:vAlign w:val="bottom"/>
          </w:tcPr>
          <w:p w14:paraId="08AFE2BC" w14:textId="64FBC80B" w:rsidR="0046184C" w:rsidRPr="0046184C" w:rsidRDefault="0046184C" w:rsidP="002F131C">
            <w:pPr>
              <w:jc w:val="right"/>
              <w:rPr>
                <w:rFonts w:ascii="Montserrat" w:eastAsia="Times New Roman" w:hAnsi="Montserrat" w:cs="Futura Medium"/>
                <w:color w:val="000000"/>
                <w:sz w:val="16"/>
                <w:szCs w:val="16"/>
                <w:lang w:val="es-MX" w:eastAsia="es-MX"/>
              </w:rPr>
            </w:pPr>
            <w:r w:rsidRPr="0046184C">
              <w:rPr>
                <w:rFonts w:ascii="Montserrat" w:eastAsia="Times New Roman" w:hAnsi="Montserrat" w:cs="Futura Medium"/>
                <w:sz w:val="16"/>
                <w:szCs w:val="16"/>
                <w:lang w:val="es-MX" w:eastAsia="es-MX"/>
              </w:rPr>
              <w:t>0.00</w:t>
            </w:r>
          </w:p>
        </w:tc>
        <w:tc>
          <w:tcPr>
            <w:tcW w:w="1174" w:type="dxa"/>
            <w:tcBorders>
              <w:top w:val="nil"/>
              <w:left w:val="single" w:sz="4" w:space="0" w:color="auto"/>
              <w:bottom w:val="nil"/>
              <w:right w:val="single" w:sz="4" w:space="0" w:color="auto"/>
            </w:tcBorders>
            <w:shd w:val="clear" w:color="auto" w:fill="auto"/>
            <w:vAlign w:val="bottom"/>
          </w:tcPr>
          <w:p w14:paraId="5E99ECCF" w14:textId="77777777" w:rsidR="0046184C" w:rsidRPr="0046184C" w:rsidRDefault="0046184C" w:rsidP="002F131C">
            <w:pPr>
              <w:jc w:val="right"/>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0.00</w:t>
            </w:r>
          </w:p>
        </w:tc>
        <w:tc>
          <w:tcPr>
            <w:tcW w:w="1286" w:type="dxa"/>
            <w:tcBorders>
              <w:top w:val="nil"/>
              <w:left w:val="single" w:sz="4" w:space="0" w:color="auto"/>
              <w:bottom w:val="nil"/>
            </w:tcBorders>
            <w:shd w:val="clear" w:color="auto" w:fill="auto"/>
            <w:noWrap/>
            <w:vAlign w:val="bottom"/>
          </w:tcPr>
          <w:p w14:paraId="521EA8F9" w14:textId="6B9A706F" w:rsidR="0046184C" w:rsidRPr="0046184C" w:rsidRDefault="0046184C" w:rsidP="002F131C">
            <w:pPr>
              <w:jc w:val="right"/>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849,759.83</w:t>
            </w:r>
          </w:p>
        </w:tc>
      </w:tr>
      <w:tr w:rsidR="0046184C" w:rsidRPr="0046184C" w14:paraId="3908B267" w14:textId="77777777" w:rsidTr="003F4531">
        <w:trPr>
          <w:trHeight w:val="227"/>
          <w:jc w:val="center"/>
        </w:trPr>
        <w:tc>
          <w:tcPr>
            <w:tcW w:w="2214" w:type="dxa"/>
            <w:tcBorders>
              <w:top w:val="nil"/>
              <w:bottom w:val="single" w:sz="4" w:space="0" w:color="auto"/>
              <w:right w:val="single" w:sz="4" w:space="0" w:color="auto"/>
            </w:tcBorders>
            <w:shd w:val="clear" w:color="auto" w:fill="auto"/>
            <w:vAlign w:val="bottom"/>
          </w:tcPr>
          <w:p w14:paraId="65F19963" w14:textId="77777777" w:rsidR="0046184C" w:rsidRPr="0046184C" w:rsidRDefault="0046184C" w:rsidP="002F131C">
            <w:pPr>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Honorarios Calificadoras</w:t>
            </w:r>
          </w:p>
        </w:tc>
        <w:tc>
          <w:tcPr>
            <w:tcW w:w="1604" w:type="dxa"/>
            <w:tcBorders>
              <w:top w:val="nil"/>
              <w:left w:val="single" w:sz="4" w:space="0" w:color="auto"/>
              <w:bottom w:val="single" w:sz="4" w:space="0" w:color="auto"/>
              <w:right w:val="single" w:sz="4" w:space="0" w:color="auto"/>
            </w:tcBorders>
            <w:shd w:val="clear" w:color="auto" w:fill="auto"/>
            <w:vAlign w:val="bottom"/>
          </w:tcPr>
          <w:p w14:paraId="00965897" w14:textId="77777777" w:rsidR="0046184C" w:rsidRPr="0046184C" w:rsidRDefault="0046184C" w:rsidP="002F131C">
            <w:pPr>
              <w:jc w:val="right"/>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0.00</w:t>
            </w:r>
          </w:p>
        </w:tc>
        <w:tc>
          <w:tcPr>
            <w:tcW w:w="1514" w:type="dxa"/>
            <w:tcBorders>
              <w:top w:val="nil"/>
              <w:left w:val="single" w:sz="4" w:space="0" w:color="auto"/>
              <w:bottom w:val="single" w:sz="4" w:space="0" w:color="auto"/>
              <w:right w:val="single" w:sz="4" w:space="0" w:color="auto"/>
            </w:tcBorders>
            <w:shd w:val="clear" w:color="auto" w:fill="auto"/>
            <w:vAlign w:val="bottom"/>
          </w:tcPr>
          <w:p w14:paraId="22D1425E" w14:textId="7F6E7730" w:rsidR="0046184C" w:rsidRPr="0046184C" w:rsidRDefault="0046184C" w:rsidP="002F131C">
            <w:pPr>
              <w:jc w:val="right"/>
              <w:rPr>
                <w:rFonts w:ascii="Montserrat" w:eastAsia="Times New Roman" w:hAnsi="Montserrat" w:cs="Futura Medium"/>
                <w:color w:val="000000"/>
                <w:sz w:val="16"/>
                <w:szCs w:val="16"/>
                <w:lang w:val="es-MX" w:eastAsia="es-MX"/>
              </w:rPr>
            </w:pPr>
            <w:r w:rsidRPr="0046184C">
              <w:rPr>
                <w:rFonts w:ascii="Montserrat" w:eastAsia="Times New Roman" w:hAnsi="Montserrat" w:cs="Futura Medium"/>
                <w:sz w:val="16"/>
                <w:szCs w:val="16"/>
                <w:lang w:val="es-MX" w:eastAsia="es-MX"/>
              </w:rPr>
              <w:t>0.00</w:t>
            </w:r>
          </w:p>
        </w:tc>
        <w:tc>
          <w:tcPr>
            <w:tcW w:w="1174" w:type="dxa"/>
            <w:tcBorders>
              <w:top w:val="nil"/>
              <w:left w:val="single" w:sz="4" w:space="0" w:color="auto"/>
              <w:bottom w:val="single" w:sz="4" w:space="0" w:color="auto"/>
              <w:right w:val="single" w:sz="4" w:space="0" w:color="auto"/>
            </w:tcBorders>
            <w:shd w:val="clear" w:color="auto" w:fill="auto"/>
            <w:vAlign w:val="bottom"/>
          </w:tcPr>
          <w:p w14:paraId="50EBDBC0" w14:textId="77777777" w:rsidR="0046184C" w:rsidRPr="0046184C" w:rsidRDefault="0046184C" w:rsidP="002F131C">
            <w:pPr>
              <w:jc w:val="right"/>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0.00</w:t>
            </w:r>
          </w:p>
        </w:tc>
        <w:tc>
          <w:tcPr>
            <w:tcW w:w="1286" w:type="dxa"/>
            <w:tcBorders>
              <w:top w:val="nil"/>
              <w:left w:val="single" w:sz="4" w:space="0" w:color="auto"/>
              <w:bottom w:val="single" w:sz="4" w:space="0" w:color="auto"/>
            </w:tcBorders>
            <w:shd w:val="clear" w:color="auto" w:fill="auto"/>
            <w:noWrap/>
            <w:vAlign w:val="bottom"/>
          </w:tcPr>
          <w:p w14:paraId="035A44A9" w14:textId="69FA2CC6" w:rsidR="0046184C" w:rsidRPr="0046184C" w:rsidRDefault="0046184C" w:rsidP="002F131C">
            <w:pPr>
              <w:jc w:val="right"/>
              <w:rPr>
                <w:rFonts w:ascii="Montserrat" w:eastAsia="Times New Roman" w:hAnsi="Montserrat" w:cs="Futura Medium"/>
                <w:sz w:val="16"/>
                <w:szCs w:val="16"/>
                <w:lang w:val="es-MX" w:eastAsia="es-MX"/>
              </w:rPr>
            </w:pPr>
            <w:r w:rsidRPr="0046184C">
              <w:rPr>
                <w:rFonts w:ascii="Montserrat" w:eastAsia="Times New Roman" w:hAnsi="Montserrat" w:cs="Futura Medium"/>
                <w:sz w:val="16"/>
                <w:szCs w:val="16"/>
                <w:lang w:val="es-MX" w:eastAsia="es-MX"/>
              </w:rPr>
              <w:t>4,145,395.82</w:t>
            </w:r>
          </w:p>
        </w:tc>
      </w:tr>
      <w:tr w:rsidR="0046184C" w:rsidRPr="003F4531" w14:paraId="4B34A6A5" w14:textId="77777777" w:rsidTr="003F4531">
        <w:trPr>
          <w:trHeight w:val="227"/>
          <w:jc w:val="center"/>
        </w:trPr>
        <w:tc>
          <w:tcPr>
            <w:tcW w:w="2214" w:type="dxa"/>
            <w:tcBorders>
              <w:top w:val="single" w:sz="4" w:space="0" w:color="auto"/>
            </w:tcBorders>
            <w:shd w:val="clear" w:color="auto" w:fill="auto"/>
            <w:vAlign w:val="bottom"/>
          </w:tcPr>
          <w:p w14:paraId="1DB0FD4D" w14:textId="77777777" w:rsidR="0046184C" w:rsidRPr="0046184C" w:rsidRDefault="0046184C" w:rsidP="002F131C">
            <w:pPr>
              <w:jc w:val="center"/>
              <w:rPr>
                <w:rFonts w:ascii="Montserrat" w:eastAsia="Times New Roman" w:hAnsi="Montserrat" w:cs="Futura Medium"/>
                <w:sz w:val="16"/>
                <w:szCs w:val="16"/>
                <w:lang w:val="es-MX" w:eastAsia="es-MX"/>
              </w:rPr>
            </w:pPr>
            <w:r w:rsidRPr="0046184C">
              <w:rPr>
                <w:rFonts w:ascii="Montserrat" w:eastAsia="Times New Roman" w:hAnsi="Montserrat" w:cs="Futura Medium"/>
                <w:b/>
                <w:bCs/>
                <w:sz w:val="16"/>
                <w:szCs w:val="16"/>
                <w:lang w:val="es-MX" w:eastAsia="es-MX"/>
              </w:rPr>
              <w:t>T O T A L</w:t>
            </w:r>
          </w:p>
        </w:tc>
        <w:tc>
          <w:tcPr>
            <w:tcW w:w="1604" w:type="dxa"/>
            <w:tcBorders>
              <w:top w:val="single" w:sz="4" w:space="0" w:color="auto"/>
            </w:tcBorders>
            <w:shd w:val="clear" w:color="auto" w:fill="auto"/>
            <w:vAlign w:val="bottom"/>
          </w:tcPr>
          <w:p w14:paraId="29F22B52" w14:textId="79B0D734" w:rsidR="0046184C" w:rsidRPr="0046184C" w:rsidRDefault="0046184C" w:rsidP="002F131C">
            <w:pPr>
              <w:jc w:val="right"/>
              <w:rPr>
                <w:rFonts w:ascii="Montserrat" w:hAnsi="Montserrat" w:cs="Calibri"/>
                <w:b/>
                <w:bCs/>
                <w:color w:val="000000"/>
                <w:sz w:val="16"/>
                <w:szCs w:val="16"/>
              </w:rPr>
            </w:pPr>
            <w:r w:rsidRPr="0046184C">
              <w:rPr>
                <w:rFonts w:ascii="Montserrat" w:hAnsi="Montserrat" w:cs="Calibri"/>
                <w:b/>
                <w:bCs/>
                <w:color w:val="000000"/>
                <w:sz w:val="16"/>
                <w:szCs w:val="16"/>
              </w:rPr>
              <w:t>19,345,502,839.00</w:t>
            </w:r>
          </w:p>
        </w:tc>
        <w:tc>
          <w:tcPr>
            <w:tcW w:w="1514" w:type="dxa"/>
            <w:tcBorders>
              <w:top w:val="single" w:sz="4" w:space="0" w:color="auto"/>
            </w:tcBorders>
            <w:shd w:val="clear" w:color="auto" w:fill="auto"/>
            <w:vAlign w:val="bottom"/>
          </w:tcPr>
          <w:p w14:paraId="4A74B30B" w14:textId="5606F95C" w:rsidR="0046184C" w:rsidRPr="0046184C" w:rsidRDefault="0046184C" w:rsidP="002F131C">
            <w:pPr>
              <w:jc w:val="right"/>
              <w:rPr>
                <w:rFonts w:ascii="Montserrat" w:eastAsia="Times New Roman" w:hAnsi="Montserrat" w:cs="Futura Medium"/>
                <w:b/>
                <w:color w:val="000000"/>
                <w:sz w:val="16"/>
                <w:szCs w:val="16"/>
                <w:lang w:val="es-MX" w:eastAsia="es-MX"/>
              </w:rPr>
            </w:pPr>
            <w:r w:rsidRPr="0046184C">
              <w:rPr>
                <w:rFonts w:ascii="Montserrat" w:eastAsia="Times New Roman" w:hAnsi="Montserrat" w:cs="Futura Medium"/>
                <w:b/>
                <w:sz w:val="16"/>
                <w:szCs w:val="16"/>
                <w:lang w:val="es-MX" w:eastAsia="es-MX"/>
              </w:rPr>
              <w:fldChar w:fldCharType="begin"/>
            </w:r>
            <w:r w:rsidRPr="0046184C">
              <w:rPr>
                <w:rFonts w:ascii="Montserrat" w:eastAsia="Times New Roman" w:hAnsi="Montserrat" w:cs="Futura Medium"/>
                <w:b/>
                <w:sz w:val="16"/>
                <w:szCs w:val="16"/>
                <w:lang w:val="es-MX" w:eastAsia="es-MX"/>
              </w:rPr>
              <w:instrText xml:space="preserve"> =SUM(ABOVE) </w:instrText>
            </w:r>
            <w:r w:rsidRPr="0046184C">
              <w:rPr>
                <w:rFonts w:ascii="Montserrat" w:eastAsia="Times New Roman" w:hAnsi="Montserrat" w:cs="Futura Medium"/>
                <w:b/>
                <w:sz w:val="16"/>
                <w:szCs w:val="16"/>
                <w:lang w:val="es-MX" w:eastAsia="es-MX"/>
              </w:rPr>
              <w:fldChar w:fldCharType="separate"/>
            </w:r>
            <w:r w:rsidRPr="0046184C">
              <w:rPr>
                <w:rFonts w:ascii="Montserrat" w:eastAsia="Times New Roman" w:hAnsi="Montserrat" w:cs="Futura Medium"/>
                <w:b/>
                <w:noProof/>
                <w:sz w:val="16"/>
                <w:szCs w:val="16"/>
                <w:lang w:val="es-MX" w:eastAsia="es-MX"/>
              </w:rPr>
              <w:t>987,026,518.5</w:t>
            </w:r>
            <w:r w:rsidRPr="0046184C">
              <w:rPr>
                <w:rFonts w:ascii="Montserrat" w:eastAsia="Times New Roman" w:hAnsi="Montserrat" w:cs="Futura Medium"/>
                <w:b/>
                <w:sz w:val="16"/>
                <w:szCs w:val="16"/>
                <w:lang w:val="es-MX" w:eastAsia="es-MX"/>
              </w:rPr>
              <w:fldChar w:fldCharType="end"/>
            </w:r>
            <w:r w:rsidRPr="0046184C">
              <w:rPr>
                <w:rFonts w:ascii="Montserrat" w:eastAsia="Times New Roman" w:hAnsi="Montserrat" w:cs="Futura Medium"/>
                <w:b/>
                <w:sz w:val="16"/>
                <w:szCs w:val="16"/>
                <w:lang w:val="es-MX" w:eastAsia="es-MX"/>
              </w:rPr>
              <w:t>0</w:t>
            </w:r>
          </w:p>
        </w:tc>
        <w:tc>
          <w:tcPr>
            <w:tcW w:w="1174" w:type="dxa"/>
            <w:tcBorders>
              <w:top w:val="single" w:sz="4" w:space="0" w:color="auto"/>
            </w:tcBorders>
            <w:shd w:val="clear" w:color="auto" w:fill="auto"/>
            <w:vAlign w:val="bottom"/>
          </w:tcPr>
          <w:p w14:paraId="7A05870F" w14:textId="77777777" w:rsidR="0046184C" w:rsidRPr="0046184C" w:rsidRDefault="0046184C" w:rsidP="002F131C">
            <w:pPr>
              <w:jc w:val="right"/>
              <w:rPr>
                <w:rFonts w:ascii="Montserrat" w:eastAsia="Times New Roman" w:hAnsi="Montserrat" w:cs="Futura Medium"/>
                <w:sz w:val="16"/>
                <w:szCs w:val="16"/>
                <w:lang w:val="es-MX" w:eastAsia="es-MX"/>
              </w:rPr>
            </w:pPr>
            <w:r w:rsidRPr="0046184C">
              <w:rPr>
                <w:rFonts w:ascii="Montserrat" w:eastAsia="Times New Roman" w:hAnsi="Montserrat" w:cs="Futura Medium"/>
                <w:b/>
                <w:bCs/>
                <w:sz w:val="16"/>
                <w:szCs w:val="16"/>
                <w:lang w:val="es-MX" w:eastAsia="es-MX"/>
              </w:rPr>
              <w:t>0.00</w:t>
            </w:r>
          </w:p>
        </w:tc>
        <w:tc>
          <w:tcPr>
            <w:tcW w:w="1286" w:type="dxa"/>
            <w:tcBorders>
              <w:top w:val="single" w:sz="4" w:space="0" w:color="auto"/>
            </w:tcBorders>
            <w:shd w:val="clear" w:color="auto" w:fill="auto"/>
            <w:noWrap/>
            <w:vAlign w:val="bottom"/>
          </w:tcPr>
          <w:p w14:paraId="411B3107" w14:textId="07BE77A9" w:rsidR="0046184C" w:rsidRPr="0046184C" w:rsidRDefault="0046184C" w:rsidP="002F131C">
            <w:pPr>
              <w:jc w:val="right"/>
              <w:rPr>
                <w:rFonts w:ascii="Montserrat" w:eastAsia="Times New Roman" w:hAnsi="Montserrat" w:cs="Futura Medium"/>
                <w:b/>
                <w:sz w:val="16"/>
                <w:szCs w:val="16"/>
                <w:lang w:val="es-MX" w:eastAsia="es-MX"/>
              </w:rPr>
            </w:pPr>
            <w:r w:rsidRPr="0046184C">
              <w:rPr>
                <w:rFonts w:ascii="Montserrat" w:eastAsia="Times New Roman" w:hAnsi="Montserrat" w:cs="Futura Medium"/>
                <w:b/>
                <w:sz w:val="16"/>
                <w:szCs w:val="16"/>
                <w:lang w:val="es-MX" w:eastAsia="es-MX"/>
              </w:rPr>
              <w:fldChar w:fldCharType="begin"/>
            </w:r>
            <w:r w:rsidRPr="0046184C">
              <w:rPr>
                <w:rFonts w:ascii="Montserrat" w:eastAsia="Times New Roman" w:hAnsi="Montserrat" w:cs="Futura Medium"/>
                <w:b/>
                <w:sz w:val="16"/>
                <w:szCs w:val="16"/>
                <w:lang w:val="es-MX" w:eastAsia="es-MX"/>
              </w:rPr>
              <w:instrText xml:space="preserve"> =SUM(ABOVE) </w:instrText>
            </w:r>
            <w:r w:rsidRPr="0046184C">
              <w:rPr>
                <w:rFonts w:ascii="Montserrat" w:eastAsia="Times New Roman" w:hAnsi="Montserrat" w:cs="Futura Medium"/>
                <w:b/>
                <w:sz w:val="16"/>
                <w:szCs w:val="16"/>
                <w:lang w:val="es-MX" w:eastAsia="es-MX"/>
              </w:rPr>
              <w:fldChar w:fldCharType="separate"/>
            </w:r>
            <w:r w:rsidRPr="0046184C">
              <w:rPr>
                <w:rFonts w:ascii="Montserrat" w:eastAsia="Times New Roman" w:hAnsi="Montserrat" w:cs="Futura Medium"/>
                <w:b/>
                <w:noProof/>
                <w:sz w:val="16"/>
                <w:szCs w:val="16"/>
                <w:lang w:val="es-MX" w:eastAsia="es-MX"/>
              </w:rPr>
              <w:t>13,934,582</w:t>
            </w:r>
            <w:r w:rsidRPr="0046184C">
              <w:rPr>
                <w:rFonts w:ascii="Montserrat" w:eastAsia="Times New Roman" w:hAnsi="Montserrat" w:cs="Futura Medium"/>
                <w:b/>
                <w:sz w:val="16"/>
                <w:szCs w:val="16"/>
                <w:lang w:val="es-MX" w:eastAsia="es-MX"/>
              </w:rPr>
              <w:fldChar w:fldCharType="end"/>
            </w:r>
            <w:r w:rsidRPr="0046184C">
              <w:rPr>
                <w:rFonts w:ascii="Montserrat" w:eastAsia="Times New Roman" w:hAnsi="Montserrat" w:cs="Futura Medium"/>
                <w:b/>
                <w:sz w:val="16"/>
                <w:szCs w:val="16"/>
                <w:lang w:val="es-MX" w:eastAsia="es-MX"/>
              </w:rPr>
              <w:t>.00</w:t>
            </w:r>
          </w:p>
        </w:tc>
      </w:tr>
    </w:tbl>
    <w:p w14:paraId="7DFAEC1E" w14:textId="77777777" w:rsidR="00C779F9" w:rsidRDefault="00C779F9" w:rsidP="002F131C">
      <w:pPr>
        <w:rPr>
          <w:rFonts w:ascii="Montserrat Medium" w:eastAsia="Times New Roman" w:hAnsi="Montserrat Medium" w:cs="Arial"/>
          <w:b/>
          <w:iCs/>
          <w:color w:val="595959"/>
          <w:sz w:val="22"/>
        </w:rPr>
      </w:pPr>
    </w:p>
    <w:p w14:paraId="4C0E95C6" w14:textId="06570C63" w:rsidR="006A0D6D" w:rsidRPr="00D56579" w:rsidRDefault="006A0D6D" w:rsidP="002F131C">
      <w:pPr>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Otros</w:t>
      </w:r>
      <w:r w:rsidR="0003514D">
        <w:rPr>
          <w:rFonts w:ascii="Montserrat Medium" w:eastAsia="Times New Roman" w:hAnsi="Montserrat Medium" w:cs="Arial"/>
          <w:b/>
          <w:iCs/>
          <w:color w:val="595959"/>
          <w:sz w:val="22"/>
        </w:rPr>
        <w:t xml:space="preserve"> </w:t>
      </w:r>
      <w:r w:rsidRPr="00D56579">
        <w:rPr>
          <w:rFonts w:ascii="Montserrat Medium" w:eastAsia="Times New Roman" w:hAnsi="Montserrat Medium" w:cs="Arial"/>
          <w:b/>
          <w:iCs/>
          <w:color w:val="595959"/>
          <w:sz w:val="22"/>
        </w:rPr>
        <w:t>Gastos y Pérdidas Extraordinarias</w:t>
      </w:r>
    </w:p>
    <w:p w14:paraId="7BBFDC9B" w14:textId="77777777" w:rsidR="0090238E" w:rsidRPr="00D56579" w:rsidRDefault="0090238E" w:rsidP="002F131C">
      <w:pPr>
        <w:keepNext/>
        <w:keepLines/>
        <w:ind w:left="360"/>
        <w:jc w:val="both"/>
        <w:outlineLvl w:val="6"/>
        <w:rPr>
          <w:rFonts w:ascii="Montserrat Medium" w:eastAsia="Times New Roman" w:hAnsi="Montserrat Medium" w:cs="Arial"/>
          <w:color w:val="595959"/>
          <w:sz w:val="22"/>
          <w:lang w:eastAsia="en-US"/>
        </w:rPr>
      </w:pPr>
    </w:p>
    <w:p w14:paraId="3520A692" w14:textId="3DA928B4" w:rsidR="0090238E" w:rsidRPr="00D56579" w:rsidRDefault="0090238E" w:rsidP="002F131C">
      <w:pPr>
        <w:keepNext/>
        <w:keepLines/>
        <w:jc w:val="both"/>
        <w:outlineLvl w:val="6"/>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Se informa el monto de la cuenta Otros Gastos y Pérdidas Extraordinarias a</w:t>
      </w:r>
      <w:r w:rsidR="00A4586C" w:rsidRPr="00D56579">
        <w:rPr>
          <w:rFonts w:ascii="Montserrat Medium" w:eastAsia="Times New Roman" w:hAnsi="Montserrat Medium" w:cs="Arial"/>
          <w:color w:val="595959"/>
          <w:sz w:val="22"/>
          <w:lang w:eastAsia="en-US"/>
        </w:rPr>
        <w:t>l 3</w:t>
      </w:r>
      <w:r w:rsidR="00682F34">
        <w:rPr>
          <w:rFonts w:ascii="Montserrat Medium" w:eastAsia="Times New Roman" w:hAnsi="Montserrat Medium" w:cs="Arial"/>
          <w:color w:val="595959"/>
          <w:sz w:val="22"/>
          <w:lang w:eastAsia="en-US"/>
        </w:rPr>
        <w:t>0</w:t>
      </w:r>
      <w:r w:rsidR="00A4586C" w:rsidRPr="00D56579">
        <w:rPr>
          <w:rFonts w:ascii="Montserrat Medium" w:eastAsia="Times New Roman" w:hAnsi="Montserrat Medium" w:cs="Arial"/>
          <w:color w:val="595959"/>
          <w:sz w:val="22"/>
          <w:lang w:eastAsia="en-US"/>
        </w:rPr>
        <w:t xml:space="preserve"> de </w:t>
      </w:r>
      <w:r w:rsidR="00682F34">
        <w:rPr>
          <w:rFonts w:ascii="Montserrat Medium" w:eastAsia="Times New Roman" w:hAnsi="Montserrat Medium" w:cs="Arial"/>
          <w:color w:val="595959"/>
          <w:sz w:val="22"/>
          <w:lang w:eastAsia="en-US"/>
        </w:rPr>
        <w:t>junio</w:t>
      </w:r>
      <w:r w:rsidR="00A4586C" w:rsidRPr="00D56579">
        <w:rPr>
          <w:rFonts w:ascii="Montserrat Medium" w:eastAsia="Times New Roman" w:hAnsi="Montserrat Medium" w:cs="Arial"/>
          <w:color w:val="595959"/>
          <w:sz w:val="22"/>
          <w:lang w:eastAsia="en-US"/>
        </w:rPr>
        <w:t xml:space="preserve"> de 202</w:t>
      </w:r>
      <w:r w:rsidR="0003514D">
        <w:rPr>
          <w:rFonts w:ascii="Montserrat Medium" w:eastAsia="Times New Roman" w:hAnsi="Montserrat Medium" w:cs="Arial"/>
          <w:color w:val="595959"/>
          <w:sz w:val="22"/>
          <w:lang w:eastAsia="en-US"/>
        </w:rPr>
        <w:t>5</w:t>
      </w:r>
      <w:r w:rsidRPr="00D56579">
        <w:rPr>
          <w:rFonts w:ascii="Montserrat Medium" w:eastAsia="Times New Roman" w:hAnsi="Montserrat Medium" w:cs="Arial"/>
          <w:color w:val="595959"/>
          <w:sz w:val="22"/>
          <w:lang w:eastAsia="en-US"/>
        </w:rPr>
        <w:t>.</w:t>
      </w:r>
    </w:p>
    <w:p w14:paraId="20FEA7A7" w14:textId="77777777" w:rsidR="006A0D6D" w:rsidRPr="00D56579" w:rsidRDefault="006A0D6D" w:rsidP="002F131C">
      <w:pPr>
        <w:keepNext/>
        <w:keepLines/>
        <w:jc w:val="both"/>
        <w:outlineLvl w:val="6"/>
        <w:rPr>
          <w:rFonts w:ascii="Montserrat Medium" w:eastAsia="Times New Roman" w:hAnsi="Montserrat Medium" w:cs="Arial"/>
          <w:b/>
          <w:iCs/>
          <w:color w:val="595959"/>
          <w:sz w:val="22"/>
        </w:rPr>
      </w:pPr>
    </w:p>
    <w:tbl>
      <w:tblPr>
        <w:tblW w:w="8735" w:type="dxa"/>
        <w:jc w:val="center"/>
        <w:tblCellMar>
          <w:left w:w="70" w:type="dxa"/>
          <w:right w:w="70" w:type="dxa"/>
        </w:tblCellMar>
        <w:tblLook w:val="04A0" w:firstRow="1" w:lastRow="0" w:firstColumn="1" w:lastColumn="0" w:noHBand="0" w:noVBand="1"/>
      </w:tblPr>
      <w:tblGrid>
        <w:gridCol w:w="5617"/>
        <w:gridCol w:w="1559"/>
        <w:gridCol w:w="1559"/>
      </w:tblGrid>
      <w:tr w:rsidR="0003514D" w:rsidRPr="00D56579" w14:paraId="66B41B31" w14:textId="57338814" w:rsidTr="006015CD">
        <w:trPr>
          <w:trHeight w:val="270"/>
          <w:jc w:val="center"/>
        </w:trPr>
        <w:tc>
          <w:tcPr>
            <w:tcW w:w="56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0655E40" w14:textId="65A54B5A" w:rsidR="0003514D" w:rsidRPr="00D56579" w:rsidRDefault="0003514D" w:rsidP="002F131C">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Concepto</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BDD7FB6" w14:textId="551621D6" w:rsidR="0003514D" w:rsidRPr="00D56579" w:rsidRDefault="0003514D" w:rsidP="002F131C">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Al 3</w:t>
            </w:r>
            <w:r w:rsidR="00682F34">
              <w:rPr>
                <w:rFonts w:ascii="Montserrat Medium" w:hAnsi="Montserrat Medium" w:cs="Calibri"/>
                <w:b/>
                <w:bCs/>
                <w:color w:val="000000"/>
                <w:sz w:val="18"/>
                <w:szCs w:val="18"/>
              </w:rPr>
              <w:t>0</w:t>
            </w:r>
            <w:r>
              <w:rPr>
                <w:rFonts w:ascii="Montserrat Medium" w:hAnsi="Montserrat Medium" w:cs="Calibri"/>
                <w:b/>
                <w:bCs/>
                <w:color w:val="000000"/>
                <w:sz w:val="18"/>
                <w:szCs w:val="18"/>
              </w:rPr>
              <w:t xml:space="preserve"> de </w:t>
            </w:r>
            <w:r w:rsidR="00682F34">
              <w:rPr>
                <w:rFonts w:ascii="Montserrat Medium" w:hAnsi="Montserrat Medium" w:cs="Calibri"/>
                <w:b/>
                <w:bCs/>
                <w:color w:val="000000"/>
                <w:sz w:val="18"/>
                <w:szCs w:val="18"/>
              </w:rPr>
              <w:t>Junio</w:t>
            </w:r>
            <w:r>
              <w:rPr>
                <w:rFonts w:ascii="Montserrat Medium" w:hAnsi="Montserrat Medium" w:cs="Calibri"/>
                <w:b/>
                <w:bCs/>
                <w:color w:val="000000"/>
                <w:sz w:val="18"/>
                <w:szCs w:val="18"/>
              </w:rPr>
              <w:t xml:space="preserve"> de 2025</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EF85389" w14:textId="76302393" w:rsidR="0003514D" w:rsidRPr="00D56579" w:rsidRDefault="0003514D" w:rsidP="002F131C">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2024</w:t>
            </w:r>
          </w:p>
        </w:tc>
      </w:tr>
      <w:tr w:rsidR="00682F34" w:rsidRPr="00D56579" w14:paraId="1E23F80B" w14:textId="47A99AAB" w:rsidTr="0003514D">
        <w:trPr>
          <w:trHeight w:val="270"/>
          <w:jc w:val="center"/>
        </w:trPr>
        <w:tc>
          <w:tcPr>
            <w:tcW w:w="5617" w:type="dxa"/>
            <w:tcBorders>
              <w:top w:val="single" w:sz="4" w:space="0" w:color="auto"/>
              <w:left w:val="single" w:sz="4" w:space="0" w:color="auto"/>
              <w:bottom w:val="nil"/>
              <w:right w:val="single" w:sz="4" w:space="0" w:color="auto"/>
            </w:tcBorders>
            <w:shd w:val="clear" w:color="auto" w:fill="auto"/>
            <w:noWrap/>
            <w:vAlign w:val="bottom"/>
            <w:hideMark/>
          </w:tcPr>
          <w:p w14:paraId="26842788" w14:textId="77777777" w:rsidR="00682F34" w:rsidRPr="00D56579" w:rsidRDefault="00682F34" w:rsidP="002F131C">
            <w:pPr>
              <w:jc w:val="both"/>
              <w:rPr>
                <w:rFonts w:ascii="Montserrat Medium" w:eastAsia="Times New Roman" w:hAnsi="Montserrat Medium" w:cs="Arial"/>
                <w:sz w:val="18"/>
                <w:szCs w:val="18"/>
              </w:rPr>
            </w:pPr>
            <w:r w:rsidRPr="00D56579">
              <w:rPr>
                <w:rFonts w:ascii="Montserrat Medium" w:eastAsia="Times New Roman" w:hAnsi="Montserrat Medium" w:cs="Arial"/>
                <w:sz w:val="18"/>
                <w:szCs w:val="18"/>
              </w:rPr>
              <w:t>Estimaciones, depreciaciones, deterioros, obsolescencia y amortizaciones</w:t>
            </w:r>
          </w:p>
        </w:tc>
        <w:tc>
          <w:tcPr>
            <w:tcW w:w="1559" w:type="dxa"/>
            <w:tcBorders>
              <w:top w:val="single" w:sz="4" w:space="0" w:color="auto"/>
              <w:left w:val="nil"/>
              <w:bottom w:val="nil"/>
              <w:right w:val="single" w:sz="4" w:space="0" w:color="auto"/>
            </w:tcBorders>
            <w:shd w:val="clear" w:color="auto" w:fill="auto"/>
            <w:noWrap/>
            <w:vAlign w:val="center"/>
            <w:hideMark/>
          </w:tcPr>
          <w:p w14:paraId="36ED4221" w14:textId="01570D09" w:rsidR="00682F34" w:rsidRPr="00D56579" w:rsidRDefault="00682F34" w:rsidP="002F131C">
            <w:pPr>
              <w:jc w:val="right"/>
              <w:rPr>
                <w:rFonts w:ascii="Montserrat Medium" w:eastAsia="Times New Roman" w:hAnsi="Montserrat Medium" w:cs="Futura Medium"/>
                <w:sz w:val="18"/>
                <w:szCs w:val="18"/>
                <w:lang w:val="es-MX" w:eastAsia="es-MX"/>
              </w:rPr>
            </w:pPr>
            <w:r>
              <w:rPr>
                <w:rFonts w:ascii="Montserrat Medium" w:hAnsi="Montserrat Medium" w:cs="Calibri"/>
                <w:color w:val="000000"/>
                <w:sz w:val="18"/>
                <w:szCs w:val="18"/>
              </w:rPr>
              <w:t>23,944,966.69</w:t>
            </w:r>
          </w:p>
        </w:tc>
        <w:tc>
          <w:tcPr>
            <w:tcW w:w="1559" w:type="dxa"/>
            <w:tcBorders>
              <w:top w:val="single" w:sz="4" w:space="0" w:color="auto"/>
              <w:left w:val="nil"/>
              <w:bottom w:val="nil"/>
              <w:right w:val="single" w:sz="4" w:space="0" w:color="auto"/>
            </w:tcBorders>
            <w:shd w:val="clear" w:color="auto" w:fill="auto"/>
            <w:vAlign w:val="center"/>
          </w:tcPr>
          <w:p w14:paraId="509F5B2D" w14:textId="7FAF1B7C" w:rsidR="00682F34" w:rsidRPr="00D56579" w:rsidRDefault="00682F34" w:rsidP="002F131C">
            <w:pPr>
              <w:jc w:val="right"/>
              <w:rPr>
                <w:rFonts w:ascii="Montserrat Medium" w:eastAsia="Times New Roman" w:hAnsi="Montserrat Medium" w:cs="Futura Medium"/>
                <w:sz w:val="18"/>
                <w:szCs w:val="18"/>
                <w:lang w:val="es-MX" w:eastAsia="es-MX"/>
              </w:rPr>
            </w:pPr>
            <w:r>
              <w:rPr>
                <w:rFonts w:ascii="Montserrat Medium" w:hAnsi="Montserrat Medium" w:cs="Calibri"/>
                <w:color w:val="000000"/>
                <w:sz w:val="18"/>
                <w:szCs w:val="18"/>
              </w:rPr>
              <w:t>10,302,259.68</w:t>
            </w:r>
          </w:p>
        </w:tc>
      </w:tr>
      <w:tr w:rsidR="00682F34" w:rsidRPr="00D56579" w14:paraId="00DF2B25" w14:textId="0C79AB03" w:rsidTr="0003514D">
        <w:trPr>
          <w:trHeight w:val="270"/>
          <w:jc w:val="center"/>
        </w:trPr>
        <w:tc>
          <w:tcPr>
            <w:tcW w:w="5617" w:type="dxa"/>
            <w:tcBorders>
              <w:top w:val="nil"/>
              <w:left w:val="single" w:sz="4" w:space="0" w:color="auto"/>
              <w:bottom w:val="single" w:sz="4" w:space="0" w:color="auto"/>
              <w:right w:val="single" w:sz="4" w:space="0" w:color="auto"/>
            </w:tcBorders>
            <w:shd w:val="clear" w:color="auto" w:fill="auto"/>
            <w:noWrap/>
            <w:vAlign w:val="bottom"/>
            <w:hideMark/>
          </w:tcPr>
          <w:p w14:paraId="46734431" w14:textId="77777777" w:rsidR="00682F34" w:rsidRPr="00D56579" w:rsidRDefault="00682F34" w:rsidP="002F131C">
            <w:pPr>
              <w:jc w:val="both"/>
              <w:rPr>
                <w:rFonts w:ascii="Montserrat Medium" w:eastAsia="Times New Roman" w:hAnsi="Montserrat Medium" w:cs="Arial"/>
                <w:sz w:val="18"/>
                <w:szCs w:val="18"/>
              </w:rPr>
            </w:pPr>
            <w:r w:rsidRPr="00D56579">
              <w:rPr>
                <w:rFonts w:ascii="Montserrat Medium" w:eastAsia="Times New Roman" w:hAnsi="Montserrat Medium" w:cs="Arial"/>
                <w:sz w:val="18"/>
                <w:szCs w:val="18"/>
              </w:rPr>
              <w:t>Otros gastos</w:t>
            </w:r>
          </w:p>
        </w:tc>
        <w:tc>
          <w:tcPr>
            <w:tcW w:w="1559" w:type="dxa"/>
            <w:tcBorders>
              <w:top w:val="nil"/>
              <w:left w:val="nil"/>
              <w:bottom w:val="single" w:sz="4" w:space="0" w:color="auto"/>
              <w:right w:val="single" w:sz="4" w:space="0" w:color="auto"/>
            </w:tcBorders>
            <w:shd w:val="clear" w:color="auto" w:fill="auto"/>
            <w:noWrap/>
            <w:vAlign w:val="center"/>
            <w:hideMark/>
          </w:tcPr>
          <w:p w14:paraId="4F0BE809" w14:textId="087FB344" w:rsidR="00682F34" w:rsidRPr="00D56579" w:rsidRDefault="00682F34" w:rsidP="002F131C">
            <w:pPr>
              <w:jc w:val="right"/>
              <w:rPr>
                <w:rFonts w:ascii="Montserrat Medium" w:eastAsia="Times New Roman" w:hAnsi="Montserrat Medium" w:cs="Futura Medium"/>
                <w:sz w:val="18"/>
                <w:szCs w:val="18"/>
                <w:lang w:val="es-MX" w:eastAsia="es-MX"/>
              </w:rPr>
            </w:pPr>
            <w:r>
              <w:rPr>
                <w:rFonts w:ascii="Montserrat Medium" w:hAnsi="Montserrat Medium" w:cs="Calibri"/>
                <w:color w:val="000000"/>
                <w:sz w:val="18"/>
                <w:szCs w:val="18"/>
              </w:rPr>
              <w:t>0.00</w:t>
            </w:r>
          </w:p>
        </w:tc>
        <w:tc>
          <w:tcPr>
            <w:tcW w:w="1559" w:type="dxa"/>
            <w:tcBorders>
              <w:top w:val="nil"/>
              <w:left w:val="nil"/>
              <w:bottom w:val="single" w:sz="4" w:space="0" w:color="auto"/>
              <w:right w:val="single" w:sz="4" w:space="0" w:color="auto"/>
            </w:tcBorders>
            <w:shd w:val="clear" w:color="auto" w:fill="auto"/>
            <w:vAlign w:val="center"/>
          </w:tcPr>
          <w:p w14:paraId="32A24784" w14:textId="0FA7B860" w:rsidR="00682F34" w:rsidRPr="00D56579" w:rsidRDefault="00682F34" w:rsidP="002F131C">
            <w:pPr>
              <w:jc w:val="right"/>
              <w:rPr>
                <w:rFonts w:ascii="Montserrat Medium" w:eastAsia="Times New Roman" w:hAnsi="Montserrat Medium" w:cs="Futura Medium"/>
                <w:sz w:val="18"/>
                <w:szCs w:val="18"/>
                <w:lang w:val="es-MX" w:eastAsia="es-MX"/>
              </w:rPr>
            </w:pPr>
            <w:r>
              <w:rPr>
                <w:rFonts w:ascii="Montserrat Medium" w:hAnsi="Montserrat Medium" w:cs="Calibri"/>
                <w:color w:val="000000"/>
                <w:sz w:val="18"/>
                <w:szCs w:val="18"/>
              </w:rPr>
              <w:t>82,251.00</w:t>
            </w:r>
          </w:p>
        </w:tc>
      </w:tr>
      <w:tr w:rsidR="00682F34" w:rsidRPr="00D56579" w14:paraId="7116F65A" w14:textId="169E59FD" w:rsidTr="0003514D">
        <w:trPr>
          <w:trHeight w:val="270"/>
          <w:jc w:val="center"/>
        </w:trPr>
        <w:tc>
          <w:tcPr>
            <w:tcW w:w="5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6DE4C" w14:textId="4D12C6ED" w:rsidR="00682F34" w:rsidRPr="00D56579" w:rsidRDefault="00682F34" w:rsidP="002F131C">
            <w:pPr>
              <w:jc w:val="both"/>
              <w:rPr>
                <w:rFonts w:ascii="Montserrat Medium" w:eastAsia="Times New Roman" w:hAnsi="Montserrat Medium" w:cs="Arial"/>
                <w:b/>
                <w:sz w:val="18"/>
                <w:szCs w:val="18"/>
              </w:rPr>
            </w:pPr>
            <w:r w:rsidRPr="00D56579">
              <w:rPr>
                <w:rFonts w:ascii="Montserrat Medium" w:eastAsia="Times New Roman" w:hAnsi="Montserrat Medium" w:cs="Arial"/>
                <w:b/>
                <w:sz w:val="18"/>
                <w:szCs w:val="18"/>
              </w:rPr>
              <w:t>Total</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D0AB166" w14:textId="5635B386" w:rsidR="00682F34" w:rsidRPr="00D56579" w:rsidRDefault="00682F34" w:rsidP="002F131C">
            <w:pPr>
              <w:jc w:val="right"/>
              <w:rPr>
                <w:rFonts w:ascii="Montserrat Medium" w:eastAsia="Times New Roman" w:hAnsi="Montserrat Medium" w:cs="Arial"/>
                <w:b/>
                <w:sz w:val="18"/>
                <w:szCs w:val="18"/>
              </w:rPr>
            </w:pPr>
            <w:r>
              <w:rPr>
                <w:rFonts w:ascii="Montserrat Medium" w:hAnsi="Montserrat Medium" w:cs="Calibri"/>
                <w:b/>
                <w:bCs/>
                <w:color w:val="000000"/>
                <w:sz w:val="18"/>
                <w:szCs w:val="18"/>
              </w:rPr>
              <w:t>23,944,966.69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EEF9E1" w14:textId="10B4FDDE" w:rsidR="00682F34" w:rsidRPr="00D56579" w:rsidRDefault="00682F34" w:rsidP="002F131C">
            <w:pPr>
              <w:jc w:val="right"/>
              <w:rPr>
                <w:rFonts w:ascii="Montserrat Medium" w:eastAsia="Times New Roman" w:hAnsi="Montserrat Medium" w:cs="Futura Medium"/>
                <w:b/>
                <w:sz w:val="18"/>
                <w:szCs w:val="18"/>
                <w:lang w:val="es-MX" w:eastAsia="es-MX"/>
              </w:rPr>
            </w:pPr>
            <w:r>
              <w:rPr>
                <w:rFonts w:ascii="Montserrat Medium" w:hAnsi="Montserrat Medium" w:cs="Calibri"/>
                <w:b/>
                <w:bCs/>
                <w:color w:val="000000"/>
                <w:sz w:val="18"/>
                <w:szCs w:val="18"/>
              </w:rPr>
              <w:t>10,384,510.68</w:t>
            </w:r>
          </w:p>
        </w:tc>
      </w:tr>
    </w:tbl>
    <w:p w14:paraId="0B6C1C32" w14:textId="77777777" w:rsidR="006015CD" w:rsidRDefault="006015CD" w:rsidP="002F131C">
      <w:pPr>
        <w:keepNext/>
        <w:keepLines/>
        <w:jc w:val="both"/>
        <w:outlineLvl w:val="6"/>
        <w:rPr>
          <w:rFonts w:ascii="Montserrat Medium" w:eastAsia="Times New Roman" w:hAnsi="Montserrat Medium" w:cs="Arial"/>
          <w:b/>
          <w:i/>
          <w:iCs/>
          <w:color w:val="595959"/>
          <w:sz w:val="22"/>
        </w:rPr>
      </w:pPr>
    </w:p>
    <w:p w14:paraId="13D317C8" w14:textId="22806ED5" w:rsidR="001E3866" w:rsidRPr="00D56579" w:rsidRDefault="00412190" w:rsidP="002F131C">
      <w:pPr>
        <w:keepNext/>
        <w:keepLines/>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II)</w:t>
      </w:r>
      <w:r w:rsidR="001E3866" w:rsidRPr="00D56579">
        <w:rPr>
          <w:rFonts w:ascii="Montserrat Medium" w:eastAsia="Times New Roman" w:hAnsi="Montserrat Medium" w:cs="Arial"/>
          <w:b/>
          <w:i/>
          <w:iCs/>
          <w:color w:val="595959"/>
          <w:sz w:val="22"/>
        </w:rPr>
        <w:t xml:space="preserve"> NOTAS AL ESTADO DE SITUACIÓN FINANCIERA</w:t>
      </w:r>
    </w:p>
    <w:p w14:paraId="244407E2" w14:textId="77777777" w:rsidR="008D57E2" w:rsidRPr="00D56579" w:rsidRDefault="008D57E2" w:rsidP="002F131C">
      <w:pPr>
        <w:keepNext/>
        <w:keepLines/>
        <w:jc w:val="both"/>
        <w:outlineLvl w:val="6"/>
        <w:rPr>
          <w:rFonts w:ascii="Montserrat Medium" w:eastAsia="Times New Roman" w:hAnsi="Montserrat Medium" w:cs="Arial"/>
          <w:b/>
          <w:i/>
          <w:iCs/>
          <w:color w:val="595959"/>
          <w:sz w:val="22"/>
        </w:rPr>
      </w:pPr>
    </w:p>
    <w:p w14:paraId="60EF33BA" w14:textId="77777777" w:rsidR="001E3866" w:rsidRPr="00D56579" w:rsidRDefault="001E3866" w:rsidP="002F131C">
      <w:pPr>
        <w:pStyle w:val="Prrafodelista"/>
        <w:keepNext/>
        <w:keepLines/>
        <w:jc w:val="both"/>
        <w:outlineLvl w:val="6"/>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Activo</w:t>
      </w:r>
    </w:p>
    <w:p w14:paraId="53A0637A" w14:textId="77777777" w:rsidR="001E3866" w:rsidRPr="00D56579" w:rsidRDefault="008D57E2" w:rsidP="002F131C">
      <w:pPr>
        <w:pStyle w:val="Prrafodelista"/>
        <w:keepNext/>
        <w:keepLines/>
        <w:jc w:val="both"/>
        <w:outlineLvl w:val="6"/>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1.</w:t>
      </w:r>
      <w:r w:rsidR="00F454E3" w:rsidRPr="00D56579">
        <w:rPr>
          <w:rFonts w:ascii="Montserrat Medium" w:eastAsia="Times New Roman" w:hAnsi="Montserrat Medium" w:cs="Arial"/>
          <w:b/>
          <w:iCs/>
          <w:color w:val="595959"/>
          <w:sz w:val="22"/>
        </w:rPr>
        <w:t xml:space="preserve"> </w:t>
      </w:r>
      <w:r w:rsidR="001E3866" w:rsidRPr="00D56579">
        <w:rPr>
          <w:rFonts w:ascii="Montserrat Medium" w:eastAsia="Times New Roman" w:hAnsi="Montserrat Medium" w:cs="Arial"/>
          <w:b/>
          <w:iCs/>
          <w:color w:val="595959"/>
          <w:sz w:val="22"/>
        </w:rPr>
        <w:t>Efectivo y Equivalentes</w:t>
      </w:r>
      <w:r w:rsidR="00F454E3" w:rsidRPr="00D56579">
        <w:rPr>
          <w:rFonts w:ascii="Montserrat Medium" w:eastAsia="Times New Roman" w:hAnsi="Montserrat Medium" w:cs="Arial"/>
          <w:b/>
          <w:iCs/>
          <w:color w:val="595959"/>
          <w:sz w:val="22"/>
        </w:rPr>
        <w:t xml:space="preserve"> </w:t>
      </w:r>
    </w:p>
    <w:p w14:paraId="4B15114B" w14:textId="77777777" w:rsidR="0067489C" w:rsidRPr="00D56579" w:rsidRDefault="0067489C" w:rsidP="002F131C">
      <w:pPr>
        <w:keepNext/>
        <w:keepLines/>
        <w:jc w:val="both"/>
        <w:outlineLvl w:val="6"/>
        <w:rPr>
          <w:rFonts w:ascii="Montserrat Medium" w:eastAsia="Times New Roman" w:hAnsi="Montserrat Medium" w:cs="Arial"/>
          <w:color w:val="595959"/>
          <w:sz w:val="22"/>
          <w:lang w:eastAsia="en-US"/>
        </w:rPr>
      </w:pPr>
    </w:p>
    <w:p w14:paraId="02453926" w14:textId="71173424" w:rsidR="001E3866" w:rsidRPr="00D56579" w:rsidRDefault="001E3866" w:rsidP="002F131C">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El efectivo y equivalentes está representado por el disponible en las cajas, cuentas bancarias e inversiones tempora</w:t>
      </w:r>
      <w:r w:rsidR="000913CC" w:rsidRPr="00D56579">
        <w:rPr>
          <w:rFonts w:ascii="Montserrat Medium" w:eastAsia="Times New Roman" w:hAnsi="Montserrat Medium" w:cs="Arial"/>
          <w:color w:val="595959"/>
          <w:sz w:val="22"/>
          <w:lang w:eastAsia="en-US"/>
        </w:rPr>
        <w:t>les a plazo menor de tres meses,</w:t>
      </w:r>
      <w:r w:rsidRPr="00D56579">
        <w:rPr>
          <w:rFonts w:ascii="Montserrat Medium" w:eastAsia="Times New Roman" w:hAnsi="Montserrat Medium" w:cs="Arial"/>
          <w:color w:val="595959"/>
          <w:sz w:val="22"/>
          <w:lang w:eastAsia="en-US"/>
        </w:rPr>
        <w:t xml:space="preserve"> su composición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w:t>
      </w:r>
      <w:r w:rsidR="00B732F1">
        <w:rPr>
          <w:rFonts w:ascii="Montserrat Medium" w:eastAsia="Times New Roman" w:hAnsi="Montserrat Medium" w:cs="Arial"/>
          <w:color w:val="595959"/>
          <w:sz w:val="22"/>
          <w:lang w:eastAsia="en-US"/>
        </w:rPr>
        <w:t>0</w:t>
      </w:r>
      <w:r w:rsidR="00A4586C" w:rsidRPr="00D56579">
        <w:rPr>
          <w:rFonts w:ascii="Montserrat Medium" w:eastAsia="Times New Roman" w:hAnsi="Montserrat Medium" w:cs="Arial"/>
          <w:color w:val="595959"/>
          <w:sz w:val="22"/>
          <w:lang w:eastAsia="en-US"/>
        </w:rPr>
        <w:t xml:space="preserve"> de </w:t>
      </w:r>
      <w:r w:rsidR="00B732F1">
        <w:rPr>
          <w:rFonts w:ascii="Montserrat Medium" w:eastAsia="Times New Roman" w:hAnsi="Montserrat Medium" w:cs="Arial"/>
          <w:color w:val="595959"/>
          <w:sz w:val="22"/>
          <w:lang w:eastAsia="en-US"/>
        </w:rPr>
        <w:t>junio</w:t>
      </w:r>
      <w:r w:rsidR="00A4586C" w:rsidRPr="00D56579">
        <w:rPr>
          <w:rFonts w:ascii="Montserrat Medium" w:eastAsia="Times New Roman" w:hAnsi="Montserrat Medium" w:cs="Arial"/>
          <w:color w:val="595959"/>
          <w:sz w:val="22"/>
          <w:lang w:eastAsia="en-US"/>
        </w:rPr>
        <w:t xml:space="preserve"> de 202</w:t>
      </w:r>
      <w:r w:rsidR="00420A6E">
        <w:rPr>
          <w:rFonts w:ascii="Montserrat Medium" w:eastAsia="Times New Roman" w:hAnsi="Montserrat Medium" w:cs="Arial"/>
          <w:color w:val="595959"/>
          <w:sz w:val="22"/>
          <w:lang w:eastAsia="en-US"/>
        </w:rPr>
        <w:t>5</w:t>
      </w:r>
      <w:r w:rsidRPr="00D56579">
        <w:rPr>
          <w:rFonts w:ascii="Montserrat Medium" w:eastAsia="Times New Roman" w:hAnsi="Montserrat Medium" w:cs="Arial"/>
          <w:color w:val="595959"/>
          <w:sz w:val="22"/>
          <w:lang w:eastAsia="en-US"/>
        </w:rPr>
        <w:t>,</w:t>
      </w:r>
      <w:r w:rsidR="00D73B96"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se muestra a continuación:</w:t>
      </w:r>
    </w:p>
    <w:p w14:paraId="34AE248C" w14:textId="392637CA" w:rsidR="000B65F7" w:rsidRPr="00D56579" w:rsidRDefault="00EA0330" w:rsidP="002F131C">
      <w:pPr>
        <w:tabs>
          <w:tab w:val="left" w:pos="7012"/>
        </w:tabs>
        <w:jc w:val="both"/>
        <w:rPr>
          <w:rFonts w:ascii="Montserrat Medium" w:eastAsia="Times New Roman" w:hAnsi="Montserrat Medium" w:cs="Arial"/>
          <w:color w:val="595959"/>
          <w:sz w:val="20"/>
          <w:szCs w:val="20"/>
          <w:lang w:eastAsia="en-US"/>
        </w:rPr>
      </w:pPr>
      <w:r w:rsidRPr="00D56579">
        <w:rPr>
          <w:rFonts w:ascii="Montserrat Medium" w:eastAsia="Times New Roman" w:hAnsi="Montserrat Medium" w:cs="Arial"/>
          <w:color w:val="595959"/>
          <w:sz w:val="20"/>
          <w:szCs w:val="20"/>
          <w:lang w:eastAsia="en-US"/>
        </w:rPr>
        <w:tab/>
      </w:r>
    </w:p>
    <w:tbl>
      <w:tblPr>
        <w:tblW w:w="7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4"/>
        <w:gridCol w:w="1842"/>
        <w:gridCol w:w="1730"/>
      </w:tblGrid>
      <w:tr w:rsidR="00683161" w:rsidRPr="00D56579" w14:paraId="1F0C1AE7" w14:textId="77777777" w:rsidTr="006015CD">
        <w:trPr>
          <w:trHeight w:val="283"/>
          <w:tblHeader/>
          <w:jc w:val="center"/>
        </w:trPr>
        <w:tc>
          <w:tcPr>
            <w:tcW w:w="7766" w:type="dxa"/>
            <w:gridSpan w:val="3"/>
            <w:tcBorders>
              <w:top w:val="single" w:sz="4" w:space="0" w:color="auto"/>
              <w:left w:val="single" w:sz="4" w:space="0" w:color="auto"/>
              <w:bottom w:val="single" w:sz="4" w:space="0" w:color="auto"/>
            </w:tcBorders>
            <w:shd w:val="clear" w:color="auto" w:fill="BFBFBF" w:themeFill="background1" w:themeFillShade="BF"/>
            <w:noWrap/>
            <w:vAlign w:val="center"/>
          </w:tcPr>
          <w:p w14:paraId="2150424C" w14:textId="65EEE7B3" w:rsidR="00683161" w:rsidRPr="00D56579" w:rsidRDefault="00683161" w:rsidP="002F131C">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Efectivo y Equivalentes</w:t>
            </w:r>
          </w:p>
        </w:tc>
      </w:tr>
      <w:tr w:rsidR="006127E6" w:rsidRPr="00D56579" w14:paraId="618C62DA" w14:textId="53884E2D" w:rsidTr="00636952">
        <w:trPr>
          <w:trHeight w:val="283"/>
          <w:tblHeader/>
          <w:jc w:val="center"/>
        </w:trPr>
        <w:tc>
          <w:tcPr>
            <w:tcW w:w="41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ECCCBD1" w14:textId="77777777" w:rsidR="006127E6" w:rsidRPr="00D56579" w:rsidRDefault="006127E6" w:rsidP="002F131C">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Concepto</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B3C453" w14:textId="4606BF38" w:rsidR="006127E6" w:rsidRPr="00D56579" w:rsidRDefault="00B732F1" w:rsidP="002F131C">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Al 30</w:t>
            </w:r>
            <w:r w:rsidR="006127E6">
              <w:rPr>
                <w:rFonts w:ascii="Montserrat Medium" w:hAnsi="Montserrat Medium" w:cs="Calibri"/>
                <w:b/>
                <w:bCs/>
                <w:color w:val="000000"/>
                <w:sz w:val="18"/>
                <w:szCs w:val="18"/>
              </w:rPr>
              <w:t xml:space="preserve"> de </w:t>
            </w:r>
            <w:r>
              <w:rPr>
                <w:rFonts w:ascii="Montserrat Medium" w:hAnsi="Montserrat Medium" w:cs="Calibri"/>
                <w:b/>
                <w:bCs/>
                <w:color w:val="000000"/>
                <w:sz w:val="18"/>
                <w:szCs w:val="18"/>
              </w:rPr>
              <w:t>Junio</w:t>
            </w:r>
            <w:r w:rsidR="006127E6">
              <w:rPr>
                <w:rFonts w:ascii="Montserrat Medium" w:hAnsi="Montserrat Medium" w:cs="Calibri"/>
                <w:b/>
                <w:bCs/>
                <w:color w:val="000000"/>
                <w:sz w:val="18"/>
                <w:szCs w:val="18"/>
              </w:rPr>
              <w:t xml:space="preserve"> de 2025</w:t>
            </w:r>
          </w:p>
        </w:tc>
        <w:tc>
          <w:tcPr>
            <w:tcW w:w="1730" w:type="dxa"/>
            <w:tcBorders>
              <w:bottom w:val="single" w:sz="4" w:space="0" w:color="auto"/>
            </w:tcBorders>
            <w:shd w:val="clear" w:color="auto" w:fill="BFBFBF" w:themeFill="background1" w:themeFillShade="BF"/>
            <w:vAlign w:val="center"/>
          </w:tcPr>
          <w:p w14:paraId="2F2BF348" w14:textId="178B93D5" w:rsidR="006127E6" w:rsidRPr="00D56579" w:rsidRDefault="006127E6" w:rsidP="002F131C">
            <w:pPr>
              <w:jc w:val="center"/>
            </w:pPr>
            <w:r>
              <w:rPr>
                <w:rFonts w:ascii="Montserrat Medium" w:hAnsi="Montserrat Medium" w:cs="Calibri"/>
                <w:b/>
                <w:bCs/>
                <w:color w:val="000000"/>
                <w:sz w:val="18"/>
                <w:szCs w:val="18"/>
              </w:rPr>
              <w:t>2024</w:t>
            </w:r>
          </w:p>
        </w:tc>
      </w:tr>
      <w:tr w:rsidR="008C7967" w:rsidRPr="00D56579" w14:paraId="68632626" w14:textId="3EB02120" w:rsidTr="00636952">
        <w:trPr>
          <w:trHeight w:val="257"/>
          <w:jc w:val="center"/>
        </w:trPr>
        <w:tc>
          <w:tcPr>
            <w:tcW w:w="4194" w:type="dxa"/>
            <w:tcBorders>
              <w:top w:val="single" w:sz="4" w:space="0" w:color="auto"/>
              <w:left w:val="single" w:sz="4" w:space="0" w:color="auto"/>
              <w:bottom w:val="nil"/>
              <w:right w:val="single" w:sz="4" w:space="0" w:color="auto"/>
            </w:tcBorders>
            <w:shd w:val="clear" w:color="auto" w:fill="auto"/>
            <w:noWrap/>
            <w:vAlign w:val="bottom"/>
          </w:tcPr>
          <w:p w14:paraId="61B93968" w14:textId="77777777" w:rsidR="008C7967" w:rsidRPr="00D56579" w:rsidRDefault="008C7967" w:rsidP="002F131C">
            <w:pP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 xml:space="preserve">Efectivo </w:t>
            </w:r>
          </w:p>
        </w:tc>
        <w:tc>
          <w:tcPr>
            <w:tcW w:w="1842" w:type="dxa"/>
            <w:tcBorders>
              <w:top w:val="single" w:sz="4" w:space="0" w:color="auto"/>
              <w:left w:val="single" w:sz="4" w:space="0" w:color="auto"/>
              <w:bottom w:val="nil"/>
              <w:right w:val="single" w:sz="4" w:space="0" w:color="auto"/>
            </w:tcBorders>
            <w:shd w:val="clear" w:color="auto" w:fill="auto"/>
            <w:vAlign w:val="center"/>
          </w:tcPr>
          <w:p w14:paraId="19DC406C" w14:textId="4A683DF8" w:rsidR="008C7967" w:rsidRPr="00D56579" w:rsidRDefault="008C7967" w:rsidP="002F131C">
            <w:pPr>
              <w:ind w:left="351" w:hanging="351"/>
              <w:jc w:val="right"/>
              <w:rPr>
                <w:rFonts w:ascii="Montserrat Medium" w:eastAsia="Times New Roman" w:hAnsi="Montserrat Medium" w:cs="Tahoma"/>
                <w:b/>
                <w:sz w:val="18"/>
                <w:szCs w:val="18"/>
                <w:lang w:eastAsia="en-US"/>
              </w:rPr>
            </w:pPr>
            <w:r>
              <w:rPr>
                <w:rFonts w:ascii="Montserrat Medium" w:hAnsi="Montserrat Medium" w:cs="Calibri"/>
                <w:b/>
                <w:bCs/>
                <w:color w:val="000000"/>
                <w:sz w:val="18"/>
                <w:szCs w:val="18"/>
              </w:rPr>
              <w:t>3,202,114.03</w:t>
            </w:r>
          </w:p>
        </w:tc>
        <w:tc>
          <w:tcPr>
            <w:tcW w:w="1730" w:type="dxa"/>
            <w:tcBorders>
              <w:top w:val="single" w:sz="4" w:space="0" w:color="auto"/>
              <w:left w:val="single" w:sz="4" w:space="0" w:color="auto"/>
              <w:bottom w:val="nil"/>
              <w:right w:val="single" w:sz="4" w:space="0" w:color="auto"/>
            </w:tcBorders>
            <w:shd w:val="clear" w:color="auto" w:fill="auto"/>
            <w:vAlign w:val="center"/>
          </w:tcPr>
          <w:p w14:paraId="05F3B054" w14:textId="3CDE5CC0" w:rsidR="008C7967" w:rsidRPr="00D56579" w:rsidRDefault="008C7967" w:rsidP="002F131C">
            <w:pPr>
              <w:ind w:left="351" w:hanging="351"/>
              <w:jc w:val="right"/>
              <w:rPr>
                <w:rFonts w:ascii="Montserrat Medium" w:eastAsia="Times New Roman" w:hAnsi="Montserrat Medium" w:cs="Tahoma"/>
                <w:b/>
                <w:sz w:val="18"/>
                <w:szCs w:val="18"/>
                <w:lang w:eastAsia="en-US"/>
              </w:rPr>
            </w:pPr>
            <w:r>
              <w:rPr>
                <w:rFonts w:ascii="Montserrat Medium" w:hAnsi="Montserrat Medium" w:cs="Calibri"/>
                <w:b/>
                <w:bCs/>
                <w:color w:val="000000"/>
                <w:sz w:val="18"/>
                <w:szCs w:val="18"/>
              </w:rPr>
              <w:t>65,348.86</w:t>
            </w:r>
          </w:p>
        </w:tc>
      </w:tr>
      <w:tr w:rsidR="008C7967" w:rsidRPr="00D56579" w14:paraId="29C14514" w14:textId="1BBC7D15" w:rsidTr="00636952">
        <w:trPr>
          <w:trHeight w:val="257"/>
          <w:jc w:val="center"/>
        </w:trPr>
        <w:tc>
          <w:tcPr>
            <w:tcW w:w="4194" w:type="dxa"/>
            <w:tcBorders>
              <w:top w:val="nil"/>
              <w:left w:val="single" w:sz="4" w:space="0" w:color="auto"/>
              <w:bottom w:val="single" w:sz="4" w:space="0" w:color="auto"/>
              <w:right w:val="single" w:sz="4" w:space="0" w:color="auto"/>
            </w:tcBorders>
            <w:shd w:val="clear" w:color="auto" w:fill="auto"/>
            <w:noWrap/>
            <w:vAlign w:val="bottom"/>
          </w:tcPr>
          <w:p w14:paraId="3EBB65EF" w14:textId="5A45ED15" w:rsidR="008C7967" w:rsidRPr="00D56579" w:rsidRDefault="008C7967"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Caja General</w:t>
            </w:r>
          </w:p>
        </w:tc>
        <w:tc>
          <w:tcPr>
            <w:tcW w:w="1842" w:type="dxa"/>
            <w:tcBorders>
              <w:top w:val="nil"/>
              <w:left w:val="single" w:sz="4" w:space="0" w:color="auto"/>
              <w:bottom w:val="single" w:sz="4" w:space="0" w:color="auto"/>
              <w:right w:val="single" w:sz="4" w:space="0" w:color="auto"/>
            </w:tcBorders>
            <w:shd w:val="clear" w:color="auto" w:fill="auto"/>
            <w:vAlign w:val="center"/>
          </w:tcPr>
          <w:p w14:paraId="36424B68" w14:textId="4F0A4356" w:rsidR="008C7967" w:rsidRPr="00D56579" w:rsidRDefault="008C7967" w:rsidP="002F131C">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0.00</w:t>
            </w:r>
          </w:p>
        </w:tc>
        <w:tc>
          <w:tcPr>
            <w:tcW w:w="1730" w:type="dxa"/>
            <w:tcBorders>
              <w:top w:val="nil"/>
              <w:left w:val="single" w:sz="4" w:space="0" w:color="auto"/>
              <w:bottom w:val="single" w:sz="4" w:space="0" w:color="auto"/>
              <w:right w:val="single" w:sz="4" w:space="0" w:color="auto"/>
            </w:tcBorders>
            <w:shd w:val="clear" w:color="auto" w:fill="auto"/>
            <w:vAlign w:val="center"/>
          </w:tcPr>
          <w:p w14:paraId="29175596" w14:textId="430FEF2C" w:rsidR="008C7967" w:rsidRPr="00D56579" w:rsidRDefault="008C7967" w:rsidP="002F131C">
            <w:pPr>
              <w:jc w:val="right"/>
            </w:pPr>
            <w:r>
              <w:rPr>
                <w:rFonts w:ascii="Montserrat Medium" w:hAnsi="Montserrat Medium" w:cs="Calibri"/>
                <w:color w:val="000000"/>
                <w:sz w:val="18"/>
                <w:szCs w:val="18"/>
              </w:rPr>
              <w:t>0.00</w:t>
            </w:r>
          </w:p>
        </w:tc>
      </w:tr>
      <w:tr w:rsidR="008C7967" w:rsidRPr="00D56579" w14:paraId="2588FA13" w14:textId="1D8DEEA6" w:rsidTr="00636952">
        <w:trPr>
          <w:trHeight w:val="257"/>
          <w:jc w:val="center"/>
        </w:trPr>
        <w:tc>
          <w:tcPr>
            <w:tcW w:w="4194" w:type="dxa"/>
            <w:tcBorders>
              <w:top w:val="single" w:sz="4" w:space="0" w:color="auto"/>
              <w:left w:val="single" w:sz="4" w:space="0" w:color="auto"/>
              <w:bottom w:val="nil"/>
              <w:right w:val="single" w:sz="4" w:space="0" w:color="auto"/>
            </w:tcBorders>
            <w:shd w:val="clear" w:color="auto" w:fill="auto"/>
            <w:noWrap/>
            <w:vAlign w:val="bottom"/>
          </w:tcPr>
          <w:p w14:paraId="7683D9EB" w14:textId="77777777" w:rsidR="008C7967" w:rsidRPr="00D56579" w:rsidRDefault="008C7967"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lastRenderedPageBreak/>
              <w:t xml:space="preserve">  Fondo Fijo de Caja</w:t>
            </w:r>
          </w:p>
        </w:tc>
        <w:tc>
          <w:tcPr>
            <w:tcW w:w="1842" w:type="dxa"/>
            <w:tcBorders>
              <w:top w:val="single" w:sz="4" w:space="0" w:color="auto"/>
              <w:left w:val="single" w:sz="4" w:space="0" w:color="auto"/>
              <w:bottom w:val="nil"/>
              <w:right w:val="single" w:sz="4" w:space="0" w:color="auto"/>
            </w:tcBorders>
            <w:shd w:val="clear" w:color="auto" w:fill="auto"/>
            <w:vAlign w:val="center"/>
          </w:tcPr>
          <w:p w14:paraId="3B4BFB6A" w14:textId="67759ED9" w:rsidR="008C7967" w:rsidRPr="00D56579" w:rsidRDefault="008C7967" w:rsidP="002F131C">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679,000.08</w:t>
            </w:r>
          </w:p>
        </w:tc>
        <w:tc>
          <w:tcPr>
            <w:tcW w:w="1730" w:type="dxa"/>
            <w:tcBorders>
              <w:top w:val="single" w:sz="4" w:space="0" w:color="auto"/>
              <w:left w:val="single" w:sz="4" w:space="0" w:color="auto"/>
              <w:bottom w:val="nil"/>
              <w:right w:val="single" w:sz="4" w:space="0" w:color="auto"/>
            </w:tcBorders>
            <w:shd w:val="clear" w:color="auto" w:fill="auto"/>
            <w:vAlign w:val="center"/>
          </w:tcPr>
          <w:p w14:paraId="690912EB" w14:textId="210F212E" w:rsidR="008C7967" w:rsidRPr="00D56579" w:rsidRDefault="008C7967" w:rsidP="002F131C">
            <w:pPr>
              <w:jc w:val="right"/>
            </w:pPr>
            <w:r>
              <w:rPr>
                <w:rFonts w:ascii="Montserrat Medium" w:hAnsi="Montserrat Medium" w:cs="Calibri"/>
                <w:color w:val="000000"/>
                <w:sz w:val="18"/>
                <w:szCs w:val="18"/>
              </w:rPr>
              <w:t>256,800.00</w:t>
            </w:r>
          </w:p>
        </w:tc>
      </w:tr>
      <w:tr w:rsidR="008C7967" w:rsidRPr="00D56579" w14:paraId="6AABF572" w14:textId="3BEC5991"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12EE67F9" w14:textId="77777777" w:rsidR="008C7967" w:rsidRPr="00D56579" w:rsidRDefault="008C7967"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Fondo </w:t>
            </w:r>
            <w:proofErr w:type="spellStart"/>
            <w:r w:rsidRPr="00D56579">
              <w:rPr>
                <w:rFonts w:ascii="Montserrat Medium" w:eastAsia="Times New Roman" w:hAnsi="Montserrat Medium" w:cs="Arial"/>
                <w:sz w:val="18"/>
                <w:szCs w:val="18"/>
                <w:lang w:eastAsia="en-US"/>
              </w:rPr>
              <w:t>Revolvente</w:t>
            </w:r>
            <w:proofErr w:type="spellEnd"/>
          </w:p>
        </w:tc>
        <w:tc>
          <w:tcPr>
            <w:tcW w:w="1842" w:type="dxa"/>
            <w:tcBorders>
              <w:top w:val="nil"/>
              <w:left w:val="single" w:sz="4" w:space="0" w:color="auto"/>
              <w:bottom w:val="nil"/>
              <w:right w:val="single" w:sz="4" w:space="0" w:color="auto"/>
            </w:tcBorders>
            <w:shd w:val="clear" w:color="auto" w:fill="auto"/>
            <w:vAlign w:val="center"/>
          </w:tcPr>
          <w:p w14:paraId="5F17705B" w14:textId="2B9FF49F" w:rsidR="008C7967" w:rsidRPr="00D56579" w:rsidRDefault="008C7967" w:rsidP="002F131C">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1,283,907.37</w:t>
            </w:r>
          </w:p>
        </w:tc>
        <w:tc>
          <w:tcPr>
            <w:tcW w:w="1730" w:type="dxa"/>
            <w:tcBorders>
              <w:top w:val="nil"/>
              <w:left w:val="single" w:sz="4" w:space="0" w:color="auto"/>
              <w:bottom w:val="nil"/>
              <w:right w:val="single" w:sz="4" w:space="0" w:color="auto"/>
            </w:tcBorders>
            <w:shd w:val="clear" w:color="auto" w:fill="auto"/>
            <w:vAlign w:val="center"/>
          </w:tcPr>
          <w:p w14:paraId="7534E53E" w14:textId="3DA6CFB7" w:rsidR="008C7967" w:rsidRPr="00D56579" w:rsidRDefault="008C7967" w:rsidP="002F131C">
            <w:pPr>
              <w:jc w:val="right"/>
            </w:pPr>
            <w:r>
              <w:rPr>
                <w:rFonts w:ascii="Montserrat Medium" w:hAnsi="Montserrat Medium" w:cs="Calibri"/>
                <w:color w:val="000000"/>
                <w:sz w:val="18"/>
                <w:szCs w:val="18"/>
              </w:rPr>
              <w:t>0.00</w:t>
            </w:r>
          </w:p>
        </w:tc>
      </w:tr>
      <w:tr w:rsidR="008C7967" w:rsidRPr="00D56579" w14:paraId="37F45099" w14:textId="2C94C5D3"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61F4121E" w14:textId="77777777" w:rsidR="008C7967" w:rsidRPr="00D56579" w:rsidRDefault="008C7967"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Fondo Rotatorio</w:t>
            </w:r>
          </w:p>
        </w:tc>
        <w:tc>
          <w:tcPr>
            <w:tcW w:w="1842" w:type="dxa"/>
            <w:tcBorders>
              <w:top w:val="nil"/>
              <w:left w:val="single" w:sz="4" w:space="0" w:color="auto"/>
              <w:bottom w:val="nil"/>
              <w:right w:val="single" w:sz="4" w:space="0" w:color="auto"/>
            </w:tcBorders>
            <w:shd w:val="clear" w:color="auto" w:fill="auto"/>
            <w:vAlign w:val="center"/>
          </w:tcPr>
          <w:p w14:paraId="6B6804D4" w14:textId="49A377DD" w:rsidR="008C7967" w:rsidRPr="00D56579" w:rsidRDefault="008C7967" w:rsidP="002F131C">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0.00</w:t>
            </w:r>
          </w:p>
        </w:tc>
        <w:tc>
          <w:tcPr>
            <w:tcW w:w="1730" w:type="dxa"/>
            <w:tcBorders>
              <w:top w:val="nil"/>
              <w:left w:val="single" w:sz="4" w:space="0" w:color="auto"/>
              <w:bottom w:val="nil"/>
              <w:right w:val="single" w:sz="4" w:space="0" w:color="auto"/>
            </w:tcBorders>
            <w:shd w:val="clear" w:color="auto" w:fill="auto"/>
            <w:vAlign w:val="center"/>
          </w:tcPr>
          <w:p w14:paraId="6275EF7D" w14:textId="6A9ABA6C" w:rsidR="008C7967" w:rsidRPr="00D56579" w:rsidRDefault="008C7967" w:rsidP="002F131C">
            <w:pPr>
              <w:jc w:val="right"/>
            </w:pPr>
            <w:r>
              <w:rPr>
                <w:rFonts w:ascii="Montserrat Medium" w:hAnsi="Montserrat Medium" w:cs="Calibri"/>
                <w:color w:val="000000"/>
                <w:sz w:val="18"/>
                <w:szCs w:val="18"/>
              </w:rPr>
              <w:t>-191,451.14</w:t>
            </w:r>
          </w:p>
        </w:tc>
      </w:tr>
      <w:tr w:rsidR="008C7967" w:rsidRPr="00D56579" w14:paraId="41E51A5A" w14:textId="5B147EBE"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32C4BD6C" w14:textId="77777777" w:rsidR="008C7967" w:rsidRPr="00D56579" w:rsidRDefault="008C7967"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Fondo Fijo para Hospedaje y Pasajes</w:t>
            </w:r>
          </w:p>
        </w:tc>
        <w:tc>
          <w:tcPr>
            <w:tcW w:w="1842" w:type="dxa"/>
            <w:tcBorders>
              <w:top w:val="nil"/>
              <w:left w:val="single" w:sz="4" w:space="0" w:color="auto"/>
              <w:bottom w:val="nil"/>
              <w:right w:val="single" w:sz="4" w:space="0" w:color="auto"/>
            </w:tcBorders>
            <w:shd w:val="clear" w:color="auto" w:fill="auto"/>
            <w:vAlign w:val="center"/>
          </w:tcPr>
          <w:p w14:paraId="40A3A8C8" w14:textId="165AE937" w:rsidR="008C7967" w:rsidRPr="00D56579" w:rsidRDefault="008C7967" w:rsidP="002F131C">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751,002.32</w:t>
            </w:r>
          </w:p>
        </w:tc>
        <w:tc>
          <w:tcPr>
            <w:tcW w:w="1730" w:type="dxa"/>
            <w:tcBorders>
              <w:top w:val="nil"/>
              <w:left w:val="single" w:sz="4" w:space="0" w:color="auto"/>
              <w:bottom w:val="nil"/>
              <w:right w:val="single" w:sz="4" w:space="0" w:color="auto"/>
            </w:tcBorders>
            <w:shd w:val="clear" w:color="auto" w:fill="auto"/>
            <w:vAlign w:val="center"/>
          </w:tcPr>
          <w:p w14:paraId="3C4F24B4" w14:textId="1FFB2CEE" w:rsidR="008C7967" w:rsidRPr="00D56579" w:rsidRDefault="008C7967" w:rsidP="002F131C">
            <w:pPr>
              <w:jc w:val="right"/>
            </w:pPr>
            <w:r>
              <w:rPr>
                <w:rFonts w:ascii="Montserrat Medium" w:hAnsi="Montserrat Medium" w:cs="Calibri"/>
                <w:color w:val="000000"/>
                <w:sz w:val="18"/>
                <w:szCs w:val="18"/>
              </w:rPr>
              <w:t>0.00</w:t>
            </w:r>
          </w:p>
        </w:tc>
      </w:tr>
      <w:tr w:rsidR="008C7967" w:rsidRPr="00D56579" w14:paraId="0650C8F4" w14:textId="02A2961F"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0D30B4D5" w14:textId="77777777" w:rsidR="008C7967" w:rsidRPr="00D56579" w:rsidRDefault="008C7967"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Fondo Fijo de Viáticos</w:t>
            </w:r>
          </w:p>
        </w:tc>
        <w:tc>
          <w:tcPr>
            <w:tcW w:w="1842" w:type="dxa"/>
            <w:tcBorders>
              <w:top w:val="nil"/>
              <w:left w:val="single" w:sz="4" w:space="0" w:color="auto"/>
              <w:bottom w:val="nil"/>
              <w:right w:val="single" w:sz="4" w:space="0" w:color="auto"/>
            </w:tcBorders>
            <w:shd w:val="clear" w:color="auto" w:fill="auto"/>
            <w:vAlign w:val="center"/>
          </w:tcPr>
          <w:p w14:paraId="20960375" w14:textId="104D5386" w:rsidR="008C7967" w:rsidRPr="00D56579" w:rsidRDefault="008C7967" w:rsidP="002F131C">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488,204.26</w:t>
            </w:r>
          </w:p>
        </w:tc>
        <w:tc>
          <w:tcPr>
            <w:tcW w:w="1730" w:type="dxa"/>
            <w:tcBorders>
              <w:top w:val="nil"/>
              <w:left w:val="single" w:sz="4" w:space="0" w:color="auto"/>
              <w:bottom w:val="nil"/>
              <w:right w:val="single" w:sz="4" w:space="0" w:color="auto"/>
            </w:tcBorders>
            <w:shd w:val="clear" w:color="auto" w:fill="auto"/>
            <w:vAlign w:val="center"/>
          </w:tcPr>
          <w:p w14:paraId="3265DFF4" w14:textId="0ADB2C9E" w:rsidR="008C7967" w:rsidRPr="00D56579" w:rsidRDefault="008C7967" w:rsidP="002F131C">
            <w:pPr>
              <w:jc w:val="right"/>
            </w:pPr>
            <w:r>
              <w:rPr>
                <w:rFonts w:ascii="Montserrat Medium" w:hAnsi="Montserrat Medium" w:cs="Calibri"/>
                <w:color w:val="000000"/>
                <w:sz w:val="18"/>
                <w:szCs w:val="18"/>
              </w:rPr>
              <w:t>0.00</w:t>
            </w:r>
          </w:p>
        </w:tc>
      </w:tr>
      <w:tr w:rsidR="008C7967" w:rsidRPr="00D56579" w14:paraId="153840DF" w14:textId="7B2BA7D2"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6439E37F" w14:textId="77777777" w:rsidR="008C7967" w:rsidRPr="00D56579" w:rsidRDefault="008C7967" w:rsidP="002F131C">
            <w:pP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 xml:space="preserve">Bancos/Tesorería </w:t>
            </w:r>
          </w:p>
        </w:tc>
        <w:tc>
          <w:tcPr>
            <w:tcW w:w="1842" w:type="dxa"/>
            <w:tcBorders>
              <w:top w:val="nil"/>
              <w:left w:val="single" w:sz="4" w:space="0" w:color="auto"/>
              <w:bottom w:val="nil"/>
              <w:right w:val="single" w:sz="4" w:space="0" w:color="auto"/>
            </w:tcBorders>
            <w:shd w:val="clear" w:color="auto" w:fill="auto"/>
            <w:vAlign w:val="center"/>
          </w:tcPr>
          <w:p w14:paraId="1BD97B72" w14:textId="245ADB30" w:rsidR="008C7967" w:rsidRPr="00D56579" w:rsidRDefault="008C7967" w:rsidP="002F131C">
            <w:pPr>
              <w:ind w:left="351" w:hanging="351"/>
              <w:jc w:val="right"/>
              <w:rPr>
                <w:rFonts w:ascii="Montserrat Medium" w:eastAsia="Times New Roman" w:hAnsi="Montserrat Medium" w:cs="Tahoma"/>
                <w:b/>
                <w:sz w:val="18"/>
                <w:szCs w:val="18"/>
                <w:lang w:eastAsia="en-US"/>
              </w:rPr>
            </w:pPr>
            <w:r>
              <w:rPr>
                <w:rFonts w:ascii="Montserrat Medium" w:hAnsi="Montserrat Medium" w:cs="Calibri"/>
                <w:b/>
                <w:bCs/>
                <w:color w:val="000000"/>
                <w:sz w:val="18"/>
                <w:szCs w:val="18"/>
              </w:rPr>
              <w:t>5,366,954,479.00</w:t>
            </w:r>
          </w:p>
        </w:tc>
        <w:tc>
          <w:tcPr>
            <w:tcW w:w="1730" w:type="dxa"/>
            <w:tcBorders>
              <w:top w:val="nil"/>
              <w:left w:val="single" w:sz="4" w:space="0" w:color="auto"/>
              <w:bottom w:val="nil"/>
              <w:right w:val="single" w:sz="4" w:space="0" w:color="auto"/>
            </w:tcBorders>
            <w:shd w:val="clear" w:color="auto" w:fill="auto"/>
            <w:vAlign w:val="center"/>
          </w:tcPr>
          <w:p w14:paraId="54D21687" w14:textId="13728A5B" w:rsidR="008C7967" w:rsidRPr="00D56579" w:rsidRDefault="008C7967" w:rsidP="002F131C">
            <w:pPr>
              <w:jc w:val="right"/>
            </w:pPr>
            <w:r>
              <w:rPr>
                <w:rFonts w:ascii="Montserrat Medium" w:hAnsi="Montserrat Medium" w:cs="Calibri"/>
                <w:b/>
                <w:bCs/>
                <w:color w:val="000000"/>
                <w:sz w:val="18"/>
                <w:szCs w:val="18"/>
              </w:rPr>
              <w:t>2,957,710,509.39</w:t>
            </w:r>
          </w:p>
        </w:tc>
      </w:tr>
      <w:tr w:rsidR="008C7967" w:rsidRPr="00D56579" w14:paraId="36BB9DE4" w14:textId="7E78A175"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2A1D65C2" w14:textId="1F7D388F" w:rsidR="008C7967" w:rsidRPr="00D56579" w:rsidRDefault="008C7967"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Cuentas Concentradoras No  Restringidas</w:t>
            </w:r>
          </w:p>
        </w:tc>
        <w:tc>
          <w:tcPr>
            <w:tcW w:w="1842" w:type="dxa"/>
            <w:tcBorders>
              <w:top w:val="nil"/>
              <w:left w:val="single" w:sz="4" w:space="0" w:color="auto"/>
              <w:bottom w:val="nil"/>
              <w:right w:val="single" w:sz="4" w:space="0" w:color="auto"/>
            </w:tcBorders>
            <w:shd w:val="clear" w:color="auto" w:fill="auto"/>
            <w:vAlign w:val="center"/>
          </w:tcPr>
          <w:p w14:paraId="44D5920A" w14:textId="6B299F74" w:rsidR="008C7967" w:rsidRPr="00D56579" w:rsidRDefault="008C7967" w:rsidP="002F131C">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252,586,661.88</w:t>
            </w:r>
          </w:p>
        </w:tc>
        <w:tc>
          <w:tcPr>
            <w:tcW w:w="1730" w:type="dxa"/>
            <w:tcBorders>
              <w:top w:val="nil"/>
              <w:left w:val="single" w:sz="4" w:space="0" w:color="auto"/>
              <w:bottom w:val="nil"/>
              <w:right w:val="single" w:sz="4" w:space="0" w:color="auto"/>
            </w:tcBorders>
            <w:shd w:val="clear" w:color="auto" w:fill="auto"/>
            <w:vAlign w:val="center"/>
          </w:tcPr>
          <w:p w14:paraId="74D6FDC3" w14:textId="524A8465" w:rsidR="008C7967" w:rsidRPr="00D56579" w:rsidRDefault="008C7967" w:rsidP="002F131C">
            <w:pPr>
              <w:jc w:val="right"/>
            </w:pPr>
            <w:r>
              <w:rPr>
                <w:rFonts w:ascii="Montserrat Medium" w:hAnsi="Montserrat Medium" w:cs="Calibri"/>
                <w:color w:val="000000"/>
                <w:sz w:val="18"/>
                <w:szCs w:val="18"/>
              </w:rPr>
              <w:t>575,276,233.56</w:t>
            </w:r>
          </w:p>
        </w:tc>
      </w:tr>
      <w:tr w:rsidR="008C7967" w:rsidRPr="00D56579" w14:paraId="5C92D239" w14:textId="73C4B085"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56A4FFBB" w14:textId="77777777" w:rsidR="008C7967" w:rsidRPr="00D56579" w:rsidRDefault="008C7967"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Cuentas Concentradoras Restringidas</w:t>
            </w:r>
          </w:p>
        </w:tc>
        <w:tc>
          <w:tcPr>
            <w:tcW w:w="1842" w:type="dxa"/>
            <w:tcBorders>
              <w:top w:val="nil"/>
              <w:left w:val="single" w:sz="4" w:space="0" w:color="auto"/>
              <w:bottom w:val="nil"/>
              <w:right w:val="single" w:sz="4" w:space="0" w:color="auto"/>
            </w:tcBorders>
            <w:shd w:val="clear" w:color="auto" w:fill="auto"/>
            <w:vAlign w:val="center"/>
          </w:tcPr>
          <w:p w14:paraId="12F382DA" w14:textId="72DAFF84" w:rsidR="008C7967" w:rsidRPr="00D56579" w:rsidRDefault="008C7967" w:rsidP="002F131C">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611,492,457.37</w:t>
            </w:r>
          </w:p>
        </w:tc>
        <w:tc>
          <w:tcPr>
            <w:tcW w:w="1730" w:type="dxa"/>
            <w:tcBorders>
              <w:top w:val="nil"/>
              <w:left w:val="single" w:sz="4" w:space="0" w:color="auto"/>
              <w:bottom w:val="nil"/>
              <w:right w:val="single" w:sz="4" w:space="0" w:color="auto"/>
            </w:tcBorders>
            <w:shd w:val="clear" w:color="auto" w:fill="auto"/>
            <w:vAlign w:val="center"/>
          </w:tcPr>
          <w:p w14:paraId="5BB4D47A" w14:textId="62495530" w:rsidR="008C7967" w:rsidRPr="00D56579" w:rsidRDefault="008C7967" w:rsidP="002F131C">
            <w:pPr>
              <w:jc w:val="right"/>
            </w:pPr>
            <w:r>
              <w:rPr>
                <w:rFonts w:ascii="Montserrat Medium" w:hAnsi="Montserrat Medium" w:cs="Calibri"/>
                <w:color w:val="000000"/>
                <w:sz w:val="18"/>
                <w:szCs w:val="18"/>
              </w:rPr>
              <w:t>2,373,035,335.50</w:t>
            </w:r>
          </w:p>
        </w:tc>
      </w:tr>
      <w:tr w:rsidR="008C7967" w:rsidRPr="00D56579" w14:paraId="13CE6DBD" w14:textId="4481E6D2"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0797C9AD" w14:textId="77777777" w:rsidR="008C7967" w:rsidRPr="00D56579" w:rsidRDefault="008C7967"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Cajas Recaudadoras No Restringido</w:t>
            </w:r>
          </w:p>
        </w:tc>
        <w:tc>
          <w:tcPr>
            <w:tcW w:w="1842" w:type="dxa"/>
            <w:tcBorders>
              <w:top w:val="nil"/>
              <w:left w:val="single" w:sz="4" w:space="0" w:color="auto"/>
              <w:bottom w:val="nil"/>
              <w:right w:val="single" w:sz="4" w:space="0" w:color="auto"/>
            </w:tcBorders>
            <w:shd w:val="clear" w:color="auto" w:fill="auto"/>
            <w:vAlign w:val="center"/>
          </w:tcPr>
          <w:p w14:paraId="652093B7" w14:textId="6CA5001B" w:rsidR="008C7967" w:rsidRPr="00D56579" w:rsidRDefault="008C7967" w:rsidP="002F131C">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33,616,772.69</w:t>
            </w:r>
          </w:p>
        </w:tc>
        <w:tc>
          <w:tcPr>
            <w:tcW w:w="1730" w:type="dxa"/>
            <w:tcBorders>
              <w:top w:val="nil"/>
              <w:left w:val="single" w:sz="4" w:space="0" w:color="auto"/>
              <w:bottom w:val="nil"/>
              <w:right w:val="single" w:sz="4" w:space="0" w:color="auto"/>
            </w:tcBorders>
            <w:shd w:val="clear" w:color="auto" w:fill="auto"/>
            <w:vAlign w:val="center"/>
          </w:tcPr>
          <w:p w14:paraId="4680EAEB" w14:textId="122891CD" w:rsidR="008C7967" w:rsidRPr="00D56579" w:rsidRDefault="008C7967" w:rsidP="002F131C">
            <w:pPr>
              <w:jc w:val="right"/>
            </w:pPr>
            <w:r>
              <w:rPr>
                <w:rFonts w:ascii="Montserrat Medium" w:hAnsi="Montserrat Medium" w:cs="Calibri"/>
                <w:color w:val="000000"/>
                <w:sz w:val="18"/>
                <w:szCs w:val="18"/>
              </w:rPr>
              <w:t>9,398,940.33</w:t>
            </w:r>
          </w:p>
        </w:tc>
      </w:tr>
      <w:tr w:rsidR="008C7967" w:rsidRPr="00D56579" w14:paraId="6E955E9E" w14:textId="77777777"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0C4159C6" w14:textId="35013EE1" w:rsidR="008C7967" w:rsidRPr="00D56579" w:rsidRDefault="008C7967" w:rsidP="002F131C">
            <w:pPr>
              <w:rPr>
                <w:rFonts w:ascii="Montserrat Medium" w:eastAsia="Times New Roman" w:hAnsi="Montserrat Medium" w:cs="Arial"/>
                <w:sz w:val="18"/>
                <w:szCs w:val="18"/>
                <w:lang w:eastAsia="en-US"/>
              </w:rPr>
            </w:pPr>
            <w:r>
              <w:rPr>
                <w:rFonts w:ascii="Montserrat Medium" w:eastAsia="Times New Roman" w:hAnsi="Montserrat Medium" w:cs="Arial"/>
                <w:sz w:val="18"/>
                <w:szCs w:val="18"/>
                <w:lang w:eastAsia="en-US"/>
              </w:rPr>
              <w:t xml:space="preserve">  </w:t>
            </w:r>
            <w:r w:rsidRPr="009E4EC0">
              <w:rPr>
                <w:rFonts w:ascii="Montserrat Medium" w:eastAsia="Times New Roman" w:hAnsi="Montserrat Medium" w:cs="Arial"/>
                <w:sz w:val="18"/>
                <w:szCs w:val="18"/>
                <w:lang w:eastAsia="en-US"/>
              </w:rPr>
              <w:t>Ejercicio Fiscal 2025</w:t>
            </w:r>
          </w:p>
        </w:tc>
        <w:tc>
          <w:tcPr>
            <w:tcW w:w="1842" w:type="dxa"/>
            <w:tcBorders>
              <w:top w:val="nil"/>
              <w:left w:val="single" w:sz="4" w:space="0" w:color="auto"/>
              <w:bottom w:val="nil"/>
              <w:right w:val="single" w:sz="4" w:space="0" w:color="auto"/>
            </w:tcBorders>
            <w:shd w:val="clear" w:color="auto" w:fill="auto"/>
            <w:vAlign w:val="center"/>
          </w:tcPr>
          <w:p w14:paraId="421DAEDC" w14:textId="15B64ADF" w:rsidR="008C7967" w:rsidRPr="00D56579" w:rsidRDefault="008C7967" w:rsidP="002F131C">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4,469,258,587.06</w:t>
            </w:r>
          </w:p>
        </w:tc>
        <w:tc>
          <w:tcPr>
            <w:tcW w:w="1730" w:type="dxa"/>
            <w:tcBorders>
              <w:top w:val="nil"/>
              <w:left w:val="single" w:sz="4" w:space="0" w:color="auto"/>
              <w:bottom w:val="nil"/>
              <w:right w:val="single" w:sz="4" w:space="0" w:color="auto"/>
            </w:tcBorders>
            <w:shd w:val="clear" w:color="auto" w:fill="auto"/>
            <w:vAlign w:val="center"/>
          </w:tcPr>
          <w:p w14:paraId="07CA1507" w14:textId="2DA52BED" w:rsidR="008C7967" w:rsidRPr="00D56579" w:rsidRDefault="008C7967" w:rsidP="002F131C">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0.00</w:t>
            </w:r>
          </w:p>
        </w:tc>
      </w:tr>
      <w:tr w:rsidR="008C7967" w:rsidRPr="00D56579" w14:paraId="1E69390E" w14:textId="3BB7740A"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7154AE92" w14:textId="77777777" w:rsidR="008C7967" w:rsidRPr="00D56579" w:rsidRDefault="008C7967" w:rsidP="002F131C">
            <w:pP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Inversiones temporales (hasta 3 meses)</w:t>
            </w:r>
          </w:p>
        </w:tc>
        <w:tc>
          <w:tcPr>
            <w:tcW w:w="1842" w:type="dxa"/>
            <w:tcBorders>
              <w:top w:val="nil"/>
              <w:left w:val="single" w:sz="4" w:space="0" w:color="auto"/>
              <w:bottom w:val="nil"/>
              <w:right w:val="single" w:sz="4" w:space="0" w:color="auto"/>
            </w:tcBorders>
            <w:shd w:val="clear" w:color="auto" w:fill="auto"/>
            <w:vAlign w:val="center"/>
          </w:tcPr>
          <w:p w14:paraId="58B9F8BF" w14:textId="2DAB83D4" w:rsidR="008C7967" w:rsidRPr="00D56579" w:rsidRDefault="008C7967" w:rsidP="002F131C">
            <w:pPr>
              <w:ind w:left="351" w:hanging="351"/>
              <w:jc w:val="right"/>
              <w:rPr>
                <w:rFonts w:ascii="Montserrat Medium" w:eastAsia="Times New Roman" w:hAnsi="Montserrat Medium" w:cs="Tahoma"/>
                <w:b/>
                <w:sz w:val="18"/>
                <w:szCs w:val="18"/>
                <w:lang w:eastAsia="en-US"/>
              </w:rPr>
            </w:pPr>
            <w:r>
              <w:rPr>
                <w:rFonts w:ascii="Montserrat Medium" w:hAnsi="Montserrat Medium" w:cs="Calibri"/>
                <w:b/>
                <w:bCs/>
                <w:color w:val="000000"/>
                <w:sz w:val="18"/>
                <w:szCs w:val="18"/>
              </w:rPr>
              <w:t>1,600,186,238.65</w:t>
            </w:r>
          </w:p>
        </w:tc>
        <w:tc>
          <w:tcPr>
            <w:tcW w:w="1730" w:type="dxa"/>
            <w:tcBorders>
              <w:top w:val="nil"/>
              <w:left w:val="single" w:sz="4" w:space="0" w:color="auto"/>
              <w:bottom w:val="nil"/>
              <w:right w:val="single" w:sz="4" w:space="0" w:color="auto"/>
            </w:tcBorders>
            <w:shd w:val="clear" w:color="auto" w:fill="auto"/>
            <w:vAlign w:val="center"/>
          </w:tcPr>
          <w:p w14:paraId="07EB8172" w14:textId="4E7F13E2" w:rsidR="008C7967" w:rsidRPr="00D56579" w:rsidRDefault="008C7967" w:rsidP="002F131C">
            <w:pPr>
              <w:jc w:val="right"/>
            </w:pPr>
            <w:r>
              <w:rPr>
                <w:rFonts w:ascii="Montserrat Medium" w:hAnsi="Montserrat Medium" w:cs="Calibri"/>
                <w:b/>
                <w:bCs/>
                <w:color w:val="000000"/>
                <w:sz w:val="18"/>
                <w:szCs w:val="18"/>
              </w:rPr>
              <w:t>186,235.50</w:t>
            </w:r>
          </w:p>
        </w:tc>
      </w:tr>
      <w:tr w:rsidR="008C7967" w:rsidRPr="00D56579" w14:paraId="5CB2CED7" w14:textId="38375215"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45BE9D6F" w14:textId="155D3D7E" w:rsidR="008C7967" w:rsidRPr="00D56579" w:rsidRDefault="008C7967"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Fondo de Inversión</w:t>
            </w:r>
          </w:p>
        </w:tc>
        <w:tc>
          <w:tcPr>
            <w:tcW w:w="1842" w:type="dxa"/>
            <w:tcBorders>
              <w:top w:val="nil"/>
              <w:left w:val="single" w:sz="4" w:space="0" w:color="auto"/>
              <w:bottom w:val="nil"/>
              <w:right w:val="single" w:sz="4" w:space="0" w:color="auto"/>
            </w:tcBorders>
            <w:shd w:val="clear" w:color="auto" w:fill="auto"/>
            <w:vAlign w:val="center"/>
          </w:tcPr>
          <w:p w14:paraId="3CAA92E0" w14:textId="509CD6B9" w:rsidR="008C7967" w:rsidRPr="00D56579" w:rsidRDefault="008C7967" w:rsidP="002F131C">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1,600,186,238.65</w:t>
            </w:r>
          </w:p>
        </w:tc>
        <w:tc>
          <w:tcPr>
            <w:tcW w:w="1730" w:type="dxa"/>
            <w:tcBorders>
              <w:top w:val="nil"/>
              <w:left w:val="single" w:sz="4" w:space="0" w:color="auto"/>
              <w:bottom w:val="nil"/>
              <w:right w:val="single" w:sz="4" w:space="0" w:color="auto"/>
            </w:tcBorders>
            <w:shd w:val="clear" w:color="auto" w:fill="auto"/>
            <w:vAlign w:val="center"/>
          </w:tcPr>
          <w:p w14:paraId="3D54D1DC" w14:textId="0FF94984" w:rsidR="008C7967" w:rsidRPr="00D56579" w:rsidRDefault="008C7967" w:rsidP="002F131C">
            <w:pPr>
              <w:jc w:val="right"/>
            </w:pPr>
            <w:r>
              <w:rPr>
                <w:rFonts w:ascii="Montserrat Medium" w:hAnsi="Montserrat Medium" w:cs="Calibri"/>
                <w:color w:val="000000"/>
                <w:sz w:val="18"/>
                <w:szCs w:val="18"/>
              </w:rPr>
              <w:t>186,235.50</w:t>
            </w:r>
          </w:p>
        </w:tc>
      </w:tr>
      <w:tr w:rsidR="008C7967" w:rsidRPr="00D56579" w14:paraId="4753859D" w14:textId="7D7AA7D8" w:rsidTr="00153CD3">
        <w:trPr>
          <w:trHeight w:val="257"/>
          <w:jc w:val="center"/>
        </w:trPr>
        <w:tc>
          <w:tcPr>
            <w:tcW w:w="4194" w:type="dxa"/>
            <w:tcBorders>
              <w:top w:val="nil"/>
              <w:left w:val="single" w:sz="4" w:space="0" w:color="auto"/>
              <w:bottom w:val="single" w:sz="4" w:space="0" w:color="auto"/>
              <w:right w:val="single" w:sz="4" w:space="0" w:color="auto"/>
            </w:tcBorders>
            <w:shd w:val="clear" w:color="auto" w:fill="auto"/>
            <w:noWrap/>
            <w:vAlign w:val="bottom"/>
          </w:tcPr>
          <w:p w14:paraId="52B5FA87" w14:textId="77777777" w:rsidR="008C7967" w:rsidRPr="00D56579" w:rsidRDefault="008C7967"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Inversiones en Fideicomisos</w:t>
            </w:r>
          </w:p>
        </w:tc>
        <w:tc>
          <w:tcPr>
            <w:tcW w:w="1842" w:type="dxa"/>
            <w:tcBorders>
              <w:top w:val="nil"/>
              <w:left w:val="single" w:sz="4" w:space="0" w:color="auto"/>
              <w:bottom w:val="single" w:sz="4" w:space="0" w:color="auto"/>
              <w:right w:val="single" w:sz="4" w:space="0" w:color="auto"/>
            </w:tcBorders>
            <w:shd w:val="clear" w:color="auto" w:fill="auto"/>
            <w:vAlign w:val="center"/>
          </w:tcPr>
          <w:p w14:paraId="2A58E084" w14:textId="3FC293E2" w:rsidR="008C7967" w:rsidRPr="00D56579" w:rsidRDefault="008C7967" w:rsidP="002F131C">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0.00</w:t>
            </w:r>
          </w:p>
        </w:tc>
        <w:tc>
          <w:tcPr>
            <w:tcW w:w="1730" w:type="dxa"/>
            <w:tcBorders>
              <w:top w:val="nil"/>
              <w:left w:val="single" w:sz="4" w:space="0" w:color="auto"/>
              <w:bottom w:val="single" w:sz="4" w:space="0" w:color="auto"/>
              <w:right w:val="single" w:sz="4" w:space="0" w:color="auto"/>
            </w:tcBorders>
            <w:shd w:val="clear" w:color="auto" w:fill="auto"/>
            <w:vAlign w:val="center"/>
          </w:tcPr>
          <w:p w14:paraId="658601BA" w14:textId="4BF94FDA" w:rsidR="008C7967" w:rsidRPr="00D56579" w:rsidRDefault="008C7967" w:rsidP="002F131C">
            <w:pPr>
              <w:jc w:val="right"/>
            </w:pPr>
            <w:r>
              <w:rPr>
                <w:rFonts w:ascii="Montserrat Medium" w:hAnsi="Montserrat Medium" w:cs="Calibri"/>
                <w:color w:val="000000"/>
                <w:sz w:val="18"/>
                <w:szCs w:val="18"/>
              </w:rPr>
              <w:t>0.00</w:t>
            </w:r>
          </w:p>
        </w:tc>
      </w:tr>
      <w:tr w:rsidR="008C7967" w:rsidRPr="00D56579" w14:paraId="379F6730" w14:textId="6B652861" w:rsidTr="00153CD3">
        <w:trPr>
          <w:trHeight w:val="257"/>
          <w:jc w:val="center"/>
        </w:trPr>
        <w:tc>
          <w:tcPr>
            <w:tcW w:w="4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9ACC7" w14:textId="77777777" w:rsidR="008C7967" w:rsidRPr="00D56579" w:rsidRDefault="008C7967" w:rsidP="002F131C">
            <w:pPr>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Total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1A638D7" w14:textId="4C3E4521" w:rsidR="008C7967" w:rsidRPr="00D56579" w:rsidRDefault="008C7967" w:rsidP="002F131C">
            <w:pPr>
              <w:ind w:left="351" w:hanging="351"/>
              <w:jc w:val="right"/>
              <w:rPr>
                <w:rFonts w:ascii="Montserrat Medium" w:eastAsia="Times New Roman" w:hAnsi="Montserrat Medium" w:cs="Tahoma"/>
                <w:b/>
                <w:sz w:val="18"/>
                <w:szCs w:val="18"/>
                <w:lang w:eastAsia="en-US"/>
              </w:rPr>
            </w:pPr>
            <w:r>
              <w:rPr>
                <w:rFonts w:ascii="Montserrat Medium" w:hAnsi="Montserrat Medium" w:cs="Calibri"/>
                <w:b/>
                <w:bCs/>
                <w:color w:val="000000"/>
                <w:sz w:val="18"/>
                <w:szCs w:val="18"/>
              </w:rPr>
              <w:t>6,970,342,831.68</w:t>
            </w:r>
          </w:p>
        </w:tc>
        <w:tc>
          <w:tcPr>
            <w:tcW w:w="1730" w:type="dxa"/>
            <w:tcBorders>
              <w:top w:val="single" w:sz="4" w:space="0" w:color="auto"/>
            </w:tcBorders>
            <w:shd w:val="clear" w:color="auto" w:fill="auto"/>
            <w:vAlign w:val="center"/>
          </w:tcPr>
          <w:p w14:paraId="22CB005C" w14:textId="47065D5C" w:rsidR="008C7967" w:rsidRPr="00D56579" w:rsidRDefault="008C7967" w:rsidP="002F131C">
            <w:pPr>
              <w:jc w:val="right"/>
            </w:pPr>
            <w:r>
              <w:rPr>
                <w:rFonts w:ascii="Montserrat Medium" w:hAnsi="Montserrat Medium" w:cs="Calibri"/>
                <w:b/>
                <w:bCs/>
                <w:color w:val="000000"/>
                <w:sz w:val="18"/>
                <w:szCs w:val="18"/>
              </w:rPr>
              <w:t>2,957,962,093.75</w:t>
            </w:r>
          </w:p>
        </w:tc>
      </w:tr>
    </w:tbl>
    <w:p w14:paraId="679E1890" w14:textId="176FBE5E" w:rsidR="00CD282A" w:rsidRPr="00D56579" w:rsidRDefault="00CD282A" w:rsidP="002F131C">
      <w:pPr>
        <w:jc w:val="both"/>
        <w:rPr>
          <w:rFonts w:ascii="Montserrat Medium" w:eastAsia="Times New Roman" w:hAnsi="Montserrat Medium" w:cs="Arial"/>
          <w:color w:val="595959"/>
          <w:sz w:val="20"/>
          <w:szCs w:val="20"/>
          <w:lang w:eastAsia="en-US"/>
        </w:rPr>
      </w:pPr>
    </w:p>
    <w:p w14:paraId="5A6148EC" w14:textId="32222469" w:rsidR="003E39D8" w:rsidRPr="00D56579" w:rsidRDefault="003E39D8" w:rsidP="002F131C">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De los saldos en bancos a</w:t>
      </w:r>
      <w:r w:rsidR="00A4586C" w:rsidRPr="00D56579">
        <w:rPr>
          <w:rFonts w:ascii="Montserrat Medium" w:eastAsia="Times New Roman" w:hAnsi="Montserrat Medium" w:cs="Arial"/>
          <w:color w:val="595959"/>
          <w:sz w:val="22"/>
          <w:lang w:eastAsia="en-US"/>
        </w:rPr>
        <w:t>l 3</w:t>
      </w:r>
      <w:r w:rsidR="008C7967">
        <w:rPr>
          <w:rFonts w:ascii="Montserrat Medium" w:eastAsia="Times New Roman" w:hAnsi="Montserrat Medium" w:cs="Arial"/>
          <w:color w:val="595959"/>
          <w:sz w:val="22"/>
          <w:lang w:eastAsia="en-US"/>
        </w:rPr>
        <w:t>0</w:t>
      </w:r>
      <w:r w:rsidR="00A4586C" w:rsidRPr="00D56579">
        <w:rPr>
          <w:rFonts w:ascii="Montserrat Medium" w:eastAsia="Times New Roman" w:hAnsi="Montserrat Medium" w:cs="Arial"/>
          <w:color w:val="595959"/>
          <w:sz w:val="22"/>
          <w:lang w:eastAsia="en-US"/>
        </w:rPr>
        <w:t xml:space="preserve"> de </w:t>
      </w:r>
      <w:r w:rsidR="008C7967">
        <w:rPr>
          <w:rFonts w:ascii="Montserrat Medium" w:eastAsia="Times New Roman" w:hAnsi="Montserrat Medium" w:cs="Arial"/>
          <w:color w:val="595959"/>
          <w:sz w:val="22"/>
          <w:lang w:eastAsia="en-US"/>
        </w:rPr>
        <w:t>junio</w:t>
      </w:r>
      <w:r w:rsidR="00A4586C" w:rsidRPr="00D56579">
        <w:rPr>
          <w:rFonts w:ascii="Montserrat Medium" w:eastAsia="Times New Roman" w:hAnsi="Montserrat Medium" w:cs="Arial"/>
          <w:color w:val="595959"/>
          <w:sz w:val="22"/>
          <w:lang w:eastAsia="en-US"/>
        </w:rPr>
        <w:t xml:space="preserve"> de 202</w:t>
      </w:r>
      <w:r w:rsidR="000E5EAD">
        <w:rPr>
          <w:rFonts w:ascii="Montserrat Medium" w:eastAsia="Times New Roman" w:hAnsi="Montserrat Medium" w:cs="Arial"/>
          <w:color w:val="595959"/>
          <w:sz w:val="22"/>
          <w:lang w:eastAsia="en-US"/>
        </w:rPr>
        <w:t>5</w:t>
      </w:r>
      <w:r w:rsidRPr="00D56579">
        <w:rPr>
          <w:rFonts w:ascii="Montserrat Medium" w:eastAsia="Times New Roman" w:hAnsi="Montserrat Medium" w:cs="Arial"/>
          <w:color w:val="595959"/>
          <w:sz w:val="22"/>
          <w:lang w:eastAsia="en-US"/>
        </w:rPr>
        <w:t xml:space="preserve">, </w:t>
      </w:r>
      <w:r w:rsidR="008C7967" w:rsidRPr="008C7967">
        <w:rPr>
          <w:rFonts w:ascii="Montserrat Medium" w:eastAsia="Times New Roman" w:hAnsi="Montserrat Medium" w:cs="Arial"/>
          <w:color w:val="595959"/>
          <w:sz w:val="22"/>
          <w:lang w:eastAsia="en-US"/>
        </w:rPr>
        <w:t>5</w:t>
      </w:r>
      <w:proofErr w:type="gramStart"/>
      <w:r w:rsidR="008C7967">
        <w:rPr>
          <w:rFonts w:ascii="Montserrat Medium" w:eastAsia="Times New Roman" w:hAnsi="Montserrat Medium" w:cs="Arial"/>
          <w:color w:val="595959"/>
          <w:sz w:val="22"/>
          <w:lang w:eastAsia="en-US"/>
        </w:rPr>
        <w:t>,</w:t>
      </w:r>
      <w:r w:rsidR="008C7967" w:rsidRPr="008C7967">
        <w:rPr>
          <w:rFonts w:ascii="Montserrat Medium" w:eastAsia="Times New Roman" w:hAnsi="Montserrat Medium" w:cs="Arial"/>
          <w:color w:val="595959"/>
          <w:sz w:val="22"/>
          <w:lang w:eastAsia="en-US"/>
        </w:rPr>
        <w:t>080</w:t>
      </w:r>
      <w:r w:rsidR="008C7967">
        <w:rPr>
          <w:rFonts w:ascii="Montserrat Medium" w:eastAsia="Times New Roman" w:hAnsi="Montserrat Medium" w:cs="Arial"/>
          <w:color w:val="595959"/>
          <w:sz w:val="22"/>
          <w:lang w:eastAsia="en-US"/>
        </w:rPr>
        <w:t>,</w:t>
      </w:r>
      <w:r w:rsidR="008C7967" w:rsidRPr="008C7967">
        <w:rPr>
          <w:rFonts w:ascii="Montserrat Medium" w:eastAsia="Times New Roman" w:hAnsi="Montserrat Medium" w:cs="Arial"/>
          <w:color w:val="595959"/>
          <w:sz w:val="22"/>
          <w:lang w:eastAsia="en-US"/>
        </w:rPr>
        <w:t>751</w:t>
      </w:r>
      <w:r w:rsidR="008C7967">
        <w:rPr>
          <w:rFonts w:ascii="Montserrat Medium" w:eastAsia="Times New Roman" w:hAnsi="Montserrat Medium" w:cs="Arial"/>
          <w:color w:val="595959"/>
          <w:sz w:val="22"/>
          <w:lang w:eastAsia="en-US"/>
        </w:rPr>
        <w:t>,</w:t>
      </w:r>
      <w:r w:rsidR="008C7967" w:rsidRPr="008C7967">
        <w:rPr>
          <w:rFonts w:ascii="Montserrat Medium" w:eastAsia="Times New Roman" w:hAnsi="Montserrat Medium" w:cs="Arial"/>
          <w:color w:val="595959"/>
          <w:sz w:val="22"/>
          <w:lang w:eastAsia="en-US"/>
        </w:rPr>
        <w:t>044.43</w:t>
      </w:r>
      <w:proofErr w:type="gramEnd"/>
      <w:r w:rsidR="008C7967">
        <w:rPr>
          <w:rFonts w:ascii="Montserrat Medium" w:eastAsia="Times New Roman" w:hAnsi="Montserrat Medium" w:cs="Arial"/>
          <w:color w:val="595959"/>
          <w:sz w:val="22"/>
          <w:lang w:eastAsia="en-US"/>
        </w:rPr>
        <w:t xml:space="preserve"> </w:t>
      </w:r>
      <w:r w:rsidR="00683161" w:rsidRPr="00D56579">
        <w:rPr>
          <w:rFonts w:ascii="Montserrat Medium" w:eastAsia="Times New Roman" w:hAnsi="Montserrat Medium" w:cs="Arial"/>
          <w:color w:val="595959"/>
          <w:sz w:val="22"/>
          <w:lang w:eastAsia="en-US"/>
        </w:rPr>
        <w:t xml:space="preserve">y </w:t>
      </w:r>
      <w:r w:rsidR="000E5EAD">
        <w:rPr>
          <w:rFonts w:ascii="Montserrat Medium" w:eastAsia="Times New Roman" w:hAnsi="Montserrat Medium" w:cs="Arial"/>
          <w:color w:val="595959"/>
          <w:sz w:val="22"/>
          <w:lang w:eastAsia="en-US"/>
        </w:rPr>
        <w:t>2,373,035,335.50 del ejercicio fiscal 2024</w:t>
      </w:r>
      <w:r w:rsidR="00683161"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representando</w:t>
      </w:r>
      <w:r w:rsidR="000F1DEC">
        <w:rPr>
          <w:rFonts w:ascii="Montserrat Medium" w:eastAsia="Times New Roman" w:hAnsi="Montserrat Medium" w:cs="Arial"/>
          <w:color w:val="595959"/>
          <w:sz w:val="22"/>
          <w:lang w:eastAsia="en-US"/>
        </w:rPr>
        <w:t xml:space="preserve"> </w:t>
      </w:r>
      <w:r w:rsidR="00C00037">
        <w:rPr>
          <w:rFonts w:ascii="Montserrat Medium" w:eastAsia="Times New Roman" w:hAnsi="Montserrat Medium" w:cs="Arial"/>
          <w:color w:val="595959"/>
          <w:sz w:val="22"/>
          <w:lang w:eastAsia="en-US"/>
        </w:rPr>
        <w:t xml:space="preserve">el </w:t>
      </w:r>
      <w:r w:rsidR="000F1DEC">
        <w:rPr>
          <w:rFonts w:ascii="Montserrat Medium" w:eastAsia="Times New Roman" w:hAnsi="Montserrat Medium" w:cs="Arial"/>
          <w:color w:val="595959"/>
          <w:sz w:val="22"/>
          <w:lang w:eastAsia="en-US"/>
        </w:rPr>
        <w:t xml:space="preserve">95% </w:t>
      </w:r>
      <w:r w:rsidR="00683161" w:rsidRPr="00D56579">
        <w:rPr>
          <w:rFonts w:ascii="Montserrat Medium" w:eastAsia="Times New Roman" w:hAnsi="Montserrat Medium" w:cs="Arial"/>
          <w:color w:val="595959"/>
          <w:sz w:val="22"/>
          <w:lang w:eastAsia="en-US"/>
        </w:rPr>
        <w:t xml:space="preserve">y </w:t>
      </w:r>
      <w:r w:rsidR="000F1DEC" w:rsidRPr="00D56579">
        <w:rPr>
          <w:rFonts w:ascii="Montserrat Medium" w:eastAsia="Times New Roman" w:hAnsi="Montserrat Medium" w:cs="Arial"/>
          <w:color w:val="595959"/>
          <w:sz w:val="22"/>
          <w:lang w:eastAsia="en-US"/>
        </w:rPr>
        <w:t>80.23%</w:t>
      </w:r>
      <w:r w:rsidR="00683161" w:rsidRPr="00D56579">
        <w:rPr>
          <w:rFonts w:ascii="Montserrat Medium" w:eastAsia="Times New Roman" w:hAnsi="Montserrat Medium" w:cs="Arial"/>
          <w:color w:val="595959"/>
          <w:sz w:val="22"/>
          <w:lang w:eastAsia="en-US"/>
        </w:rPr>
        <w:t>, respectivamente,</w:t>
      </w:r>
      <w:r w:rsidRPr="00D56579">
        <w:rPr>
          <w:rFonts w:ascii="Montserrat Medium" w:eastAsia="Times New Roman" w:hAnsi="Montserrat Medium" w:cs="Arial"/>
          <w:color w:val="595959"/>
          <w:sz w:val="22"/>
          <w:lang w:eastAsia="en-US"/>
        </w:rPr>
        <w:t xml:space="preserve"> son recursos destinados principalmente para su aplicación en inversión pública.</w:t>
      </w:r>
    </w:p>
    <w:p w14:paraId="01C5920A" w14:textId="77777777" w:rsidR="00683161" w:rsidRPr="00D56579" w:rsidRDefault="00683161" w:rsidP="002F131C">
      <w:pPr>
        <w:jc w:val="both"/>
        <w:rPr>
          <w:rFonts w:ascii="Montserrat Medium" w:eastAsia="Times New Roman" w:hAnsi="Montserrat Medium" w:cs="Arial"/>
          <w:color w:val="595959"/>
          <w:sz w:val="22"/>
          <w:lang w:eastAsia="en-US"/>
        </w:rPr>
      </w:pPr>
    </w:p>
    <w:p w14:paraId="5DAA6408" w14:textId="3BCE1ADD" w:rsidR="00683161" w:rsidRDefault="00683161" w:rsidP="002F131C">
      <w:pPr>
        <w:jc w:val="both"/>
        <w:rPr>
          <w:rFonts w:ascii="Montserrat Medium" w:eastAsia="Times New Roman" w:hAnsi="Montserrat Medium" w:cs="Arial"/>
          <w:color w:val="595959"/>
          <w:sz w:val="22"/>
          <w:lang w:eastAsia="en-US"/>
        </w:rPr>
      </w:pPr>
      <w:r w:rsidRPr="006015CD">
        <w:rPr>
          <w:rFonts w:ascii="Montserrat Medium" w:eastAsia="Times New Roman" w:hAnsi="Montserrat Medium" w:cs="Arial"/>
          <w:color w:val="595959"/>
          <w:sz w:val="22"/>
          <w:lang w:eastAsia="en-US"/>
        </w:rPr>
        <w:t>A</w:t>
      </w:r>
      <w:r w:rsidR="00A4586C" w:rsidRPr="006015CD">
        <w:rPr>
          <w:rFonts w:ascii="Montserrat Medium" w:eastAsia="Times New Roman" w:hAnsi="Montserrat Medium" w:cs="Arial"/>
          <w:color w:val="595959"/>
          <w:sz w:val="22"/>
          <w:lang w:eastAsia="en-US"/>
        </w:rPr>
        <w:t>l 3</w:t>
      </w:r>
      <w:r w:rsidR="008C7967">
        <w:rPr>
          <w:rFonts w:ascii="Montserrat Medium" w:eastAsia="Times New Roman" w:hAnsi="Montserrat Medium" w:cs="Arial"/>
          <w:color w:val="595959"/>
          <w:sz w:val="22"/>
          <w:lang w:eastAsia="en-US"/>
        </w:rPr>
        <w:t>0</w:t>
      </w:r>
      <w:r w:rsidR="00A4586C" w:rsidRPr="006015CD">
        <w:rPr>
          <w:rFonts w:ascii="Montserrat Medium" w:eastAsia="Times New Roman" w:hAnsi="Montserrat Medium" w:cs="Arial"/>
          <w:color w:val="595959"/>
          <w:sz w:val="22"/>
          <w:lang w:eastAsia="en-US"/>
        </w:rPr>
        <w:t xml:space="preserve"> de </w:t>
      </w:r>
      <w:r w:rsidR="008C7967">
        <w:rPr>
          <w:rFonts w:ascii="Montserrat Medium" w:eastAsia="Times New Roman" w:hAnsi="Montserrat Medium" w:cs="Arial"/>
          <w:color w:val="595959"/>
          <w:sz w:val="22"/>
          <w:lang w:eastAsia="en-US"/>
        </w:rPr>
        <w:t>junio</w:t>
      </w:r>
      <w:r w:rsidR="00A4586C" w:rsidRPr="006015CD">
        <w:rPr>
          <w:rFonts w:ascii="Montserrat Medium" w:eastAsia="Times New Roman" w:hAnsi="Montserrat Medium" w:cs="Arial"/>
          <w:color w:val="595959"/>
          <w:sz w:val="22"/>
          <w:lang w:eastAsia="en-US"/>
        </w:rPr>
        <w:t xml:space="preserve"> de 202</w:t>
      </w:r>
      <w:r w:rsidR="007C3362">
        <w:rPr>
          <w:rFonts w:ascii="Montserrat Medium" w:eastAsia="Times New Roman" w:hAnsi="Montserrat Medium" w:cs="Arial"/>
          <w:color w:val="595959"/>
          <w:sz w:val="22"/>
          <w:lang w:eastAsia="en-US"/>
        </w:rPr>
        <w:t>5</w:t>
      </w:r>
      <w:r w:rsidRPr="006015CD">
        <w:rPr>
          <w:rFonts w:ascii="Montserrat Medium" w:eastAsia="Times New Roman" w:hAnsi="Montserrat Medium" w:cs="Arial"/>
          <w:color w:val="595959"/>
          <w:sz w:val="22"/>
          <w:lang w:eastAsia="en-US"/>
        </w:rPr>
        <w:t xml:space="preserve"> y ejercicio fiscal 202</w:t>
      </w:r>
      <w:r w:rsidR="007C3362">
        <w:rPr>
          <w:rFonts w:ascii="Montserrat Medium" w:eastAsia="Times New Roman" w:hAnsi="Montserrat Medium" w:cs="Arial"/>
          <w:color w:val="595959"/>
          <w:sz w:val="22"/>
          <w:lang w:eastAsia="en-US"/>
        </w:rPr>
        <w:t>4</w:t>
      </w:r>
      <w:r w:rsidRPr="006015CD">
        <w:rPr>
          <w:rFonts w:ascii="Montserrat Medium" w:eastAsia="Times New Roman" w:hAnsi="Montserrat Medium" w:cs="Arial"/>
          <w:color w:val="595959"/>
          <w:sz w:val="22"/>
          <w:lang w:eastAsia="en-US"/>
        </w:rPr>
        <w:t xml:space="preserve">, de los saldos de las inversiones temporales por </w:t>
      </w:r>
      <w:r w:rsidR="007C3362">
        <w:rPr>
          <w:rFonts w:ascii="Montserrat Medium" w:eastAsia="Times New Roman" w:hAnsi="Montserrat Medium" w:cs="Arial"/>
          <w:color w:val="595959"/>
          <w:sz w:val="22"/>
          <w:lang w:eastAsia="en-US"/>
        </w:rPr>
        <w:t>1</w:t>
      </w:r>
      <w:r w:rsidR="008C7967">
        <w:rPr>
          <w:rFonts w:ascii="Montserrat Medium" w:eastAsia="Times New Roman" w:hAnsi="Montserrat Medium" w:cs="Arial"/>
          <w:color w:val="595959"/>
          <w:sz w:val="22"/>
          <w:lang w:eastAsia="en-US"/>
        </w:rPr>
        <w:t>,600,186,238.65</w:t>
      </w:r>
      <w:r w:rsidR="007C3362">
        <w:rPr>
          <w:rFonts w:ascii="Montserrat Medium" w:eastAsia="Times New Roman" w:hAnsi="Montserrat Medium" w:cs="Arial"/>
          <w:color w:val="595959"/>
          <w:sz w:val="22"/>
          <w:lang w:eastAsia="en-US"/>
        </w:rPr>
        <w:t xml:space="preserve"> y 186,235.50</w:t>
      </w:r>
      <w:r w:rsidRPr="006015CD">
        <w:rPr>
          <w:rFonts w:ascii="Montserrat Medium" w:eastAsia="Times New Roman" w:hAnsi="Montserrat Medium" w:cs="Arial"/>
          <w:color w:val="595959"/>
          <w:sz w:val="22"/>
          <w:lang w:eastAsia="en-US"/>
        </w:rPr>
        <w:t>, forman parte las inversiones en el Fondo</w:t>
      </w:r>
      <w:r w:rsidRPr="00D56579">
        <w:rPr>
          <w:rFonts w:ascii="Montserrat Medium" w:eastAsia="Times New Roman" w:hAnsi="Montserrat Medium" w:cs="Arial"/>
          <w:color w:val="595959"/>
          <w:sz w:val="22"/>
          <w:lang w:eastAsia="en-US"/>
        </w:rPr>
        <w:t xml:space="preserve"> Quintana Roo, las cuales corresponden a los organismos descentralizados y a las empresas de participación estatal mayoritaria</w:t>
      </w:r>
      <w:r w:rsidR="00A64EC7">
        <w:rPr>
          <w:rFonts w:ascii="Montserrat Medium" w:eastAsia="Times New Roman" w:hAnsi="Montserrat Medium" w:cs="Arial"/>
          <w:color w:val="595959"/>
          <w:sz w:val="22"/>
          <w:lang w:eastAsia="en-US"/>
        </w:rPr>
        <w:t>.</w:t>
      </w:r>
    </w:p>
    <w:p w14:paraId="650DEB53" w14:textId="77777777" w:rsidR="00D075ED" w:rsidRPr="00D56579" w:rsidRDefault="00D075ED" w:rsidP="002F131C">
      <w:pPr>
        <w:jc w:val="both"/>
        <w:rPr>
          <w:rFonts w:ascii="Montserrat Medium" w:eastAsia="Times New Roman" w:hAnsi="Montserrat Medium" w:cs="Arial"/>
          <w:color w:val="595959"/>
          <w:sz w:val="22"/>
          <w:lang w:eastAsia="en-US"/>
        </w:rPr>
      </w:pPr>
    </w:p>
    <w:p w14:paraId="6214DC5C" w14:textId="56C45351" w:rsidR="004D27FD" w:rsidRPr="00C81E74" w:rsidRDefault="00604589" w:rsidP="002F131C">
      <w:pPr>
        <w:keepNext/>
        <w:keepLines/>
        <w:jc w:val="both"/>
        <w:outlineLvl w:val="6"/>
        <w:rPr>
          <w:rFonts w:ascii="Montserrat Medium" w:eastAsia="Times New Roman" w:hAnsi="Montserrat Medium" w:cs="Arial"/>
          <w:b/>
          <w:iCs/>
          <w:color w:val="595959"/>
          <w:sz w:val="22"/>
        </w:rPr>
      </w:pPr>
      <w:r w:rsidRPr="00C81E74">
        <w:rPr>
          <w:rFonts w:ascii="Montserrat Medium" w:eastAsia="Times New Roman" w:hAnsi="Montserrat Medium" w:cs="Arial"/>
          <w:b/>
          <w:iCs/>
          <w:color w:val="595959"/>
          <w:sz w:val="22"/>
        </w:rPr>
        <w:t>2.</w:t>
      </w:r>
      <w:r w:rsidR="0067489C" w:rsidRPr="00C81E74">
        <w:rPr>
          <w:rFonts w:ascii="Montserrat Medium" w:eastAsia="Times New Roman" w:hAnsi="Montserrat Medium" w:cs="Arial"/>
          <w:b/>
          <w:iCs/>
          <w:color w:val="595959"/>
          <w:sz w:val="22"/>
        </w:rPr>
        <w:t xml:space="preserve"> </w:t>
      </w:r>
      <w:r w:rsidR="001E3866" w:rsidRPr="00C81E74">
        <w:rPr>
          <w:rFonts w:ascii="Montserrat Medium" w:eastAsia="Times New Roman" w:hAnsi="Montserrat Medium" w:cs="Arial"/>
          <w:b/>
          <w:iCs/>
          <w:color w:val="595959"/>
          <w:sz w:val="22"/>
        </w:rPr>
        <w:t>Derechos a Recibir Efectivo y Equivalentes</w:t>
      </w:r>
      <w:r w:rsidR="00981403" w:rsidRPr="00C81E74">
        <w:rPr>
          <w:rFonts w:ascii="Montserrat Medium" w:eastAsia="Times New Roman" w:hAnsi="Montserrat Medium" w:cs="Arial"/>
          <w:b/>
          <w:iCs/>
          <w:color w:val="595959"/>
          <w:sz w:val="22"/>
        </w:rPr>
        <w:t xml:space="preserve"> </w:t>
      </w:r>
    </w:p>
    <w:p w14:paraId="6AF51F41" w14:textId="77777777" w:rsidR="00B552D2" w:rsidRDefault="00B552D2" w:rsidP="002F131C">
      <w:pPr>
        <w:jc w:val="both"/>
        <w:rPr>
          <w:rFonts w:ascii="Montserrat Medium" w:eastAsia="Times New Roman" w:hAnsi="Montserrat Medium" w:cs="Arial"/>
          <w:color w:val="595959"/>
          <w:sz w:val="22"/>
          <w:lang w:eastAsia="en-US"/>
        </w:rPr>
      </w:pPr>
    </w:p>
    <w:p w14:paraId="7591C5B3" w14:textId="180537D0" w:rsidR="001E3866" w:rsidRDefault="001E3866" w:rsidP="002F131C">
      <w:pPr>
        <w:jc w:val="both"/>
        <w:rPr>
          <w:rFonts w:ascii="Montserrat Medium" w:eastAsia="Times New Roman" w:hAnsi="Montserrat Medium" w:cs="Arial"/>
          <w:color w:val="595959"/>
          <w:sz w:val="22"/>
          <w:lang w:eastAsia="en-US"/>
        </w:rPr>
      </w:pPr>
      <w:r w:rsidRPr="00314FB4">
        <w:rPr>
          <w:rFonts w:ascii="Montserrat Medium" w:eastAsia="Times New Roman" w:hAnsi="Montserrat Medium" w:cs="Arial"/>
          <w:color w:val="595959"/>
          <w:sz w:val="22"/>
          <w:lang w:eastAsia="en-US"/>
        </w:rPr>
        <w:t xml:space="preserve">Representan los derechos de cobro originados en el desarrollo de las actividades del ente público, de los cuales se espera recibir una contraprestación representada en recursos, bienes o servicios, </w:t>
      </w:r>
      <w:r w:rsidR="000901FA" w:rsidRPr="00314FB4">
        <w:rPr>
          <w:rFonts w:ascii="Montserrat Medium" w:eastAsia="Times New Roman" w:hAnsi="Montserrat Medium" w:cs="Arial"/>
          <w:color w:val="595959"/>
          <w:sz w:val="22"/>
          <w:lang w:eastAsia="en-US"/>
        </w:rPr>
        <w:t>a</w:t>
      </w:r>
      <w:r w:rsidR="00C93A39" w:rsidRPr="00314FB4">
        <w:rPr>
          <w:rFonts w:ascii="Montserrat Medium" w:eastAsia="Times New Roman" w:hAnsi="Montserrat Medium" w:cs="Arial"/>
          <w:color w:val="595959"/>
          <w:sz w:val="22"/>
          <w:lang w:eastAsia="en-US"/>
        </w:rPr>
        <w:t>l 30</w:t>
      </w:r>
      <w:r w:rsidR="00A4586C" w:rsidRPr="00314FB4">
        <w:rPr>
          <w:rFonts w:ascii="Montserrat Medium" w:eastAsia="Times New Roman" w:hAnsi="Montserrat Medium" w:cs="Arial"/>
          <w:color w:val="595959"/>
          <w:sz w:val="22"/>
          <w:lang w:eastAsia="en-US"/>
        </w:rPr>
        <w:t xml:space="preserve"> de </w:t>
      </w:r>
      <w:r w:rsidR="00C93A39" w:rsidRPr="00314FB4">
        <w:rPr>
          <w:rFonts w:ascii="Montserrat Medium" w:eastAsia="Times New Roman" w:hAnsi="Montserrat Medium" w:cs="Arial"/>
          <w:color w:val="595959"/>
          <w:sz w:val="22"/>
          <w:lang w:eastAsia="en-US"/>
        </w:rPr>
        <w:t>junio</w:t>
      </w:r>
      <w:r w:rsidR="00A4586C" w:rsidRPr="00314FB4">
        <w:rPr>
          <w:rFonts w:ascii="Montserrat Medium" w:eastAsia="Times New Roman" w:hAnsi="Montserrat Medium" w:cs="Arial"/>
          <w:color w:val="595959"/>
          <w:sz w:val="22"/>
          <w:lang w:eastAsia="en-US"/>
        </w:rPr>
        <w:t xml:space="preserve"> de 202</w:t>
      </w:r>
      <w:r w:rsidR="00E95656" w:rsidRPr="00314FB4">
        <w:rPr>
          <w:rFonts w:ascii="Montserrat Medium" w:eastAsia="Times New Roman" w:hAnsi="Montserrat Medium" w:cs="Arial"/>
          <w:color w:val="595959"/>
          <w:sz w:val="22"/>
          <w:lang w:eastAsia="en-US"/>
        </w:rPr>
        <w:t>5</w:t>
      </w:r>
      <w:r w:rsidRPr="00314FB4">
        <w:rPr>
          <w:rFonts w:ascii="Montserrat Medium" w:eastAsia="Times New Roman" w:hAnsi="Montserrat Medium" w:cs="Arial"/>
          <w:color w:val="595959"/>
          <w:sz w:val="22"/>
          <w:lang w:eastAsia="en-US"/>
        </w:rPr>
        <w:t xml:space="preserve"> este rubro se integra como sigue:</w:t>
      </w:r>
      <w:r w:rsidR="005C3761" w:rsidRPr="00C81E74">
        <w:rPr>
          <w:rFonts w:ascii="Montserrat Medium" w:eastAsia="Times New Roman" w:hAnsi="Montserrat Medium" w:cs="Arial"/>
          <w:color w:val="595959"/>
          <w:sz w:val="22"/>
          <w:lang w:eastAsia="en-US"/>
        </w:rPr>
        <w:t xml:space="preserve"> </w:t>
      </w:r>
    </w:p>
    <w:p w14:paraId="6B61D412" w14:textId="77777777" w:rsidR="007B6DA4" w:rsidRPr="00C81E74" w:rsidRDefault="007B6DA4" w:rsidP="002F131C">
      <w:pPr>
        <w:jc w:val="both"/>
        <w:rPr>
          <w:rFonts w:ascii="Montserrat Medium" w:eastAsia="Times New Roman" w:hAnsi="Montserrat Medium" w:cs="Arial"/>
          <w:color w:val="595959"/>
          <w:sz w:val="22"/>
          <w:lang w:eastAsia="en-US"/>
        </w:rPr>
      </w:pPr>
    </w:p>
    <w:tbl>
      <w:tblPr>
        <w:tblW w:w="4626" w:type="pct"/>
        <w:tblInd w:w="354" w:type="dxa"/>
        <w:tblLayout w:type="fixed"/>
        <w:tblCellMar>
          <w:left w:w="70" w:type="dxa"/>
          <w:right w:w="70" w:type="dxa"/>
        </w:tblCellMar>
        <w:tblLook w:val="04A0" w:firstRow="1" w:lastRow="0" w:firstColumn="1" w:lastColumn="0" w:noHBand="0" w:noVBand="1"/>
      </w:tblPr>
      <w:tblGrid>
        <w:gridCol w:w="2978"/>
        <w:gridCol w:w="1416"/>
        <w:gridCol w:w="1418"/>
        <w:gridCol w:w="850"/>
        <w:gridCol w:w="1418"/>
        <w:gridCol w:w="1276"/>
      </w:tblGrid>
      <w:tr w:rsidR="00314FB4" w:rsidRPr="00C81E74" w14:paraId="68BBBE2F" w14:textId="77777777" w:rsidTr="00314FB4">
        <w:trPr>
          <w:trHeight w:val="525"/>
        </w:trPr>
        <w:tc>
          <w:tcPr>
            <w:tcW w:w="1591" w:type="pct"/>
            <w:tcBorders>
              <w:top w:val="single" w:sz="8" w:space="0" w:color="auto"/>
              <w:left w:val="single" w:sz="8" w:space="0" w:color="auto"/>
              <w:bottom w:val="single" w:sz="8" w:space="0" w:color="auto"/>
              <w:right w:val="single" w:sz="8" w:space="0" w:color="auto"/>
            </w:tcBorders>
            <w:shd w:val="clear" w:color="000000" w:fill="BFBFBF"/>
            <w:vAlign w:val="center"/>
            <w:hideMark/>
          </w:tcPr>
          <w:p w14:paraId="51BAD231" w14:textId="77777777" w:rsidR="00C81E74" w:rsidRPr="00C81E74" w:rsidRDefault="00C81E74" w:rsidP="002F131C">
            <w:pPr>
              <w:jc w:val="center"/>
              <w:rPr>
                <w:rFonts w:ascii="Montserrat Medium" w:eastAsia="Times New Roman" w:hAnsi="Montserrat Medium" w:cs="Calibri"/>
                <w:b/>
                <w:bCs/>
                <w:color w:val="000000"/>
                <w:sz w:val="16"/>
                <w:szCs w:val="16"/>
                <w:lang w:val="es-MX" w:eastAsia="es-MX"/>
              </w:rPr>
            </w:pPr>
            <w:r w:rsidRPr="00C81E74">
              <w:rPr>
                <w:rFonts w:ascii="Montserrat Medium" w:eastAsia="Times New Roman" w:hAnsi="Montserrat Medium" w:cs="Calibri"/>
                <w:b/>
                <w:bCs/>
                <w:color w:val="000000"/>
                <w:sz w:val="16"/>
                <w:szCs w:val="16"/>
                <w:lang w:val="es-MX" w:eastAsia="es-MX"/>
              </w:rPr>
              <w:t>Concepto</w:t>
            </w:r>
          </w:p>
        </w:tc>
        <w:tc>
          <w:tcPr>
            <w:tcW w:w="757" w:type="pct"/>
            <w:tcBorders>
              <w:top w:val="single" w:sz="8" w:space="0" w:color="auto"/>
              <w:left w:val="nil"/>
              <w:bottom w:val="single" w:sz="8" w:space="0" w:color="auto"/>
              <w:right w:val="single" w:sz="8" w:space="0" w:color="auto"/>
            </w:tcBorders>
            <w:shd w:val="clear" w:color="000000" w:fill="BFBFBF"/>
            <w:vAlign w:val="center"/>
            <w:hideMark/>
          </w:tcPr>
          <w:p w14:paraId="071E8B61" w14:textId="77777777" w:rsidR="00C81E74" w:rsidRPr="00C81E74" w:rsidRDefault="00C81E74" w:rsidP="002F131C">
            <w:pPr>
              <w:jc w:val="center"/>
              <w:rPr>
                <w:rFonts w:ascii="Montserrat Medium" w:eastAsia="Times New Roman" w:hAnsi="Montserrat Medium" w:cs="Calibri"/>
                <w:b/>
                <w:bCs/>
                <w:color w:val="000000"/>
                <w:sz w:val="16"/>
                <w:szCs w:val="16"/>
                <w:lang w:val="es-MX" w:eastAsia="es-MX"/>
              </w:rPr>
            </w:pPr>
            <w:r w:rsidRPr="00C81E74">
              <w:rPr>
                <w:rFonts w:ascii="Montserrat Medium" w:eastAsia="Times New Roman" w:hAnsi="Montserrat Medium" w:cs="Calibri"/>
                <w:b/>
                <w:bCs/>
                <w:color w:val="000000"/>
                <w:sz w:val="16"/>
                <w:szCs w:val="16"/>
                <w:lang w:val="es-MX" w:eastAsia="es-MX"/>
              </w:rPr>
              <w:t>90 días</w:t>
            </w:r>
          </w:p>
        </w:tc>
        <w:tc>
          <w:tcPr>
            <w:tcW w:w="758" w:type="pct"/>
            <w:tcBorders>
              <w:top w:val="single" w:sz="8" w:space="0" w:color="auto"/>
              <w:left w:val="nil"/>
              <w:bottom w:val="single" w:sz="8" w:space="0" w:color="auto"/>
              <w:right w:val="single" w:sz="8" w:space="0" w:color="auto"/>
            </w:tcBorders>
            <w:shd w:val="clear" w:color="000000" w:fill="BFBFBF"/>
            <w:vAlign w:val="center"/>
            <w:hideMark/>
          </w:tcPr>
          <w:p w14:paraId="39D5B918" w14:textId="77777777" w:rsidR="00C81E74" w:rsidRPr="00C81E74" w:rsidRDefault="00C81E74" w:rsidP="002F131C">
            <w:pPr>
              <w:jc w:val="center"/>
              <w:rPr>
                <w:rFonts w:ascii="Montserrat Medium" w:eastAsia="Times New Roman" w:hAnsi="Montserrat Medium" w:cs="Calibri"/>
                <w:b/>
                <w:bCs/>
                <w:color w:val="000000"/>
                <w:sz w:val="16"/>
                <w:szCs w:val="16"/>
                <w:lang w:val="es-MX" w:eastAsia="es-MX"/>
              </w:rPr>
            </w:pPr>
            <w:r w:rsidRPr="00C81E74">
              <w:rPr>
                <w:rFonts w:ascii="Montserrat Medium" w:eastAsia="Times New Roman" w:hAnsi="Montserrat Medium" w:cs="Calibri"/>
                <w:b/>
                <w:bCs/>
                <w:color w:val="000000"/>
                <w:sz w:val="16"/>
                <w:szCs w:val="16"/>
                <w:lang w:val="es-MX" w:eastAsia="es-MX"/>
              </w:rPr>
              <w:t>180 días</w:t>
            </w:r>
          </w:p>
        </w:tc>
        <w:tc>
          <w:tcPr>
            <w:tcW w:w="454" w:type="pct"/>
            <w:tcBorders>
              <w:top w:val="single" w:sz="8" w:space="0" w:color="auto"/>
              <w:left w:val="nil"/>
              <w:bottom w:val="single" w:sz="8" w:space="0" w:color="auto"/>
              <w:right w:val="single" w:sz="8" w:space="0" w:color="auto"/>
            </w:tcBorders>
            <w:shd w:val="clear" w:color="000000" w:fill="BFBFBF"/>
            <w:vAlign w:val="center"/>
            <w:hideMark/>
          </w:tcPr>
          <w:p w14:paraId="572A91AD" w14:textId="77777777" w:rsidR="00C81E74" w:rsidRPr="00C81E74" w:rsidRDefault="00C81E74" w:rsidP="002F131C">
            <w:pPr>
              <w:jc w:val="center"/>
              <w:rPr>
                <w:rFonts w:ascii="Montserrat Medium" w:eastAsia="Times New Roman" w:hAnsi="Montserrat Medium" w:cs="Calibri"/>
                <w:b/>
                <w:bCs/>
                <w:color w:val="000000"/>
                <w:sz w:val="16"/>
                <w:szCs w:val="16"/>
                <w:lang w:val="es-MX" w:eastAsia="es-MX"/>
              </w:rPr>
            </w:pPr>
            <w:r w:rsidRPr="00C81E74">
              <w:rPr>
                <w:rFonts w:ascii="Montserrat Medium" w:eastAsia="Times New Roman" w:hAnsi="Montserrat Medium" w:cs="Calibri"/>
                <w:b/>
                <w:bCs/>
                <w:color w:val="000000"/>
                <w:sz w:val="16"/>
                <w:szCs w:val="16"/>
                <w:lang w:val="es-MX" w:eastAsia="es-MX"/>
              </w:rPr>
              <w:t>Menor o igual a 365 días</w:t>
            </w:r>
          </w:p>
        </w:tc>
        <w:tc>
          <w:tcPr>
            <w:tcW w:w="758" w:type="pct"/>
            <w:tcBorders>
              <w:top w:val="single" w:sz="8" w:space="0" w:color="auto"/>
              <w:left w:val="nil"/>
              <w:bottom w:val="single" w:sz="8" w:space="0" w:color="auto"/>
              <w:right w:val="single" w:sz="8" w:space="0" w:color="auto"/>
            </w:tcBorders>
            <w:shd w:val="clear" w:color="000000" w:fill="BFBFBF"/>
            <w:vAlign w:val="center"/>
            <w:hideMark/>
          </w:tcPr>
          <w:p w14:paraId="17239063" w14:textId="77777777" w:rsidR="00C81E74" w:rsidRPr="00C81E74" w:rsidRDefault="00C81E74" w:rsidP="002F131C">
            <w:pPr>
              <w:jc w:val="center"/>
              <w:rPr>
                <w:rFonts w:ascii="Montserrat Medium" w:eastAsia="Times New Roman" w:hAnsi="Montserrat Medium" w:cs="Calibri"/>
                <w:b/>
                <w:bCs/>
                <w:color w:val="000000"/>
                <w:sz w:val="16"/>
                <w:szCs w:val="16"/>
                <w:lang w:val="es-MX" w:eastAsia="es-MX"/>
              </w:rPr>
            </w:pPr>
            <w:r w:rsidRPr="00C81E74">
              <w:rPr>
                <w:rFonts w:ascii="Montserrat Medium" w:eastAsia="Times New Roman" w:hAnsi="Montserrat Medium" w:cs="Calibri"/>
                <w:b/>
                <w:bCs/>
                <w:color w:val="000000"/>
                <w:sz w:val="16"/>
                <w:szCs w:val="16"/>
                <w:lang w:val="es-MX" w:eastAsia="es-MX"/>
              </w:rPr>
              <w:t>Mayor a 365 días</w:t>
            </w:r>
          </w:p>
        </w:tc>
        <w:tc>
          <w:tcPr>
            <w:tcW w:w="682" w:type="pct"/>
            <w:tcBorders>
              <w:top w:val="single" w:sz="8" w:space="0" w:color="auto"/>
              <w:left w:val="nil"/>
              <w:bottom w:val="single" w:sz="8" w:space="0" w:color="auto"/>
              <w:right w:val="single" w:sz="8" w:space="0" w:color="auto"/>
            </w:tcBorders>
            <w:shd w:val="clear" w:color="000000" w:fill="BFBFBF"/>
            <w:noWrap/>
            <w:vAlign w:val="center"/>
            <w:hideMark/>
          </w:tcPr>
          <w:p w14:paraId="4A66E714" w14:textId="4CBA2DE9" w:rsidR="00C81E74" w:rsidRPr="00C81E74" w:rsidRDefault="00C81E74" w:rsidP="002F131C">
            <w:pPr>
              <w:jc w:val="center"/>
              <w:rPr>
                <w:rFonts w:ascii="Montserrat Medium" w:eastAsia="Times New Roman" w:hAnsi="Montserrat Medium" w:cs="Calibri"/>
                <w:b/>
                <w:bCs/>
                <w:color w:val="000000"/>
                <w:sz w:val="16"/>
                <w:szCs w:val="16"/>
                <w:lang w:val="es-MX" w:eastAsia="es-MX"/>
              </w:rPr>
            </w:pPr>
            <w:r w:rsidRPr="00C81E74">
              <w:rPr>
                <w:rFonts w:ascii="Montserrat Medium" w:eastAsia="Times New Roman" w:hAnsi="Montserrat Medium" w:cs="Calibri"/>
                <w:b/>
                <w:bCs/>
                <w:color w:val="000000"/>
                <w:sz w:val="16"/>
                <w:szCs w:val="16"/>
                <w:lang w:val="es-MX" w:eastAsia="es-MX"/>
              </w:rPr>
              <w:t>Al 3</w:t>
            </w:r>
            <w:r w:rsidR="00314FB4">
              <w:rPr>
                <w:rFonts w:ascii="Montserrat Medium" w:eastAsia="Times New Roman" w:hAnsi="Montserrat Medium" w:cs="Calibri"/>
                <w:b/>
                <w:bCs/>
                <w:color w:val="000000"/>
                <w:sz w:val="16"/>
                <w:szCs w:val="16"/>
                <w:lang w:val="es-MX" w:eastAsia="es-MX"/>
              </w:rPr>
              <w:t>0</w:t>
            </w:r>
            <w:r w:rsidRPr="00C81E74">
              <w:rPr>
                <w:rFonts w:ascii="Montserrat Medium" w:eastAsia="Times New Roman" w:hAnsi="Montserrat Medium" w:cs="Calibri"/>
                <w:b/>
                <w:bCs/>
                <w:color w:val="000000"/>
                <w:sz w:val="16"/>
                <w:szCs w:val="16"/>
                <w:lang w:val="es-MX" w:eastAsia="es-MX"/>
              </w:rPr>
              <w:t xml:space="preserve"> de </w:t>
            </w:r>
            <w:r w:rsidR="00314FB4">
              <w:rPr>
                <w:rFonts w:ascii="Montserrat Medium" w:eastAsia="Times New Roman" w:hAnsi="Montserrat Medium" w:cs="Calibri"/>
                <w:b/>
                <w:bCs/>
                <w:color w:val="000000"/>
                <w:sz w:val="16"/>
                <w:szCs w:val="16"/>
                <w:lang w:val="es-MX" w:eastAsia="es-MX"/>
              </w:rPr>
              <w:t>Junio</w:t>
            </w:r>
            <w:r w:rsidRPr="00C81E74">
              <w:rPr>
                <w:rFonts w:ascii="Montserrat Medium" w:eastAsia="Times New Roman" w:hAnsi="Montserrat Medium" w:cs="Calibri"/>
                <w:b/>
                <w:bCs/>
                <w:color w:val="000000"/>
                <w:sz w:val="16"/>
                <w:szCs w:val="16"/>
                <w:lang w:val="es-MX" w:eastAsia="es-MX"/>
              </w:rPr>
              <w:t xml:space="preserve"> de 2025</w:t>
            </w:r>
          </w:p>
        </w:tc>
      </w:tr>
      <w:tr w:rsidR="00314FB4" w:rsidRPr="00C81E74" w14:paraId="6FE0EEDB" w14:textId="77777777" w:rsidTr="00314FB4">
        <w:trPr>
          <w:trHeight w:val="360"/>
        </w:trPr>
        <w:tc>
          <w:tcPr>
            <w:tcW w:w="1591" w:type="pct"/>
            <w:tcBorders>
              <w:top w:val="nil"/>
              <w:left w:val="single" w:sz="8" w:space="0" w:color="auto"/>
              <w:bottom w:val="nil"/>
              <w:right w:val="single" w:sz="8" w:space="0" w:color="auto"/>
            </w:tcBorders>
            <w:shd w:val="clear" w:color="auto" w:fill="auto"/>
            <w:noWrap/>
            <w:vAlign w:val="center"/>
            <w:hideMark/>
          </w:tcPr>
          <w:p w14:paraId="057BFBB3" w14:textId="77777777" w:rsidR="00314FB4" w:rsidRPr="00C81E74" w:rsidRDefault="00314FB4" w:rsidP="002F131C">
            <w:pPr>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 xml:space="preserve">Deudores diversos por cobrar a corto plazo </w:t>
            </w:r>
          </w:p>
        </w:tc>
        <w:tc>
          <w:tcPr>
            <w:tcW w:w="757" w:type="pct"/>
            <w:tcBorders>
              <w:top w:val="nil"/>
              <w:left w:val="nil"/>
              <w:bottom w:val="nil"/>
              <w:right w:val="single" w:sz="8" w:space="0" w:color="auto"/>
            </w:tcBorders>
            <w:shd w:val="clear" w:color="auto" w:fill="auto"/>
            <w:noWrap/>
            <w:vAlign w:val="center"/>
            <w:hideMark/>
          </w:tcPr>
          <w:p w14:paraId="0073C7B7" w14:textId="36E17070" w:rsidR="00314FB4" w:rsidRPr="00314FB4" w:rsidRDefault="00314FB4" w:rsidP="002F131C">
            <w:pPr>
              <w:jc w:val="right"/>
              <w:rPr>
                <w:rFonts w:ascii="Montserrat Medium" w:eastAsia="Times New Roman" w:hAnsi="Montserrat Medium" w:cs="Calibri"/>
                <w:color w:val="000000"/>
                <w:sz w:val="16"/>
                <w:szCs w:val="16"/>
                <w:lang w:val="es-MX" w:eastAsia="es-MX"/>
              </w:rPr>
            </w:pPr>
            <w:r w:rsidRPr="00314FB4">
              <w:rPr>
                <w:rFonts w:ascii="Montserrat Medium" w:hAnsi="Montserrat Medium" w:cs="Calibri"/>
                <w:color w:val="000000"/>
                <w:sz w:val="16"/>
                <w:szCs w:val="16"/>
              </w:rPr>
              <w:t>2,554,433.99</w:t>
            </w:r>
          </w:p>
        </w:tc>
        <w:tc>
          <w:tcPr>
            <w:tcW w:w="758" w:type="pct"/>
            <w:tcBorders>
              <w:top w:val="nil"/>
              <w:left w:val="nil"/>
              <w:bottom w:val="nil"/>
              <w:right w:val="single" w:sz="8" w:space="0" w:color="auto"/>
            </w:tcBorders>
            <w:shd w:val="clear" w:color="auto" w:fill="auto"/>
            <w:noWrap/>
            <w:vAlign w:val="center"/>
            <w:hideMark/>
          </w:tcPr>
          <w:p w14:paraId="74C1681B" w14:textId="6F1DF3AE" w:rsidR="00314FB4" w:rsidRPr="00314FB4" w:rsidRDefault="00314FB4" w:rsidP="002F131C">
            <w:pPr>
              <w:jc w:val="right"/>
              <w:rPr>
                <w:rFonts w:ascii="Montserrat Medium" w:eastAsia="Times New Roman" w:hAnsi="Montserrat Medium" w:cs="Calibri"/>
                <w:color w:val="000000"/>
                <w:sz w:val="16"/>
                <w:szCs w:val="16"/>
                <w:lang w:val="es-MX" w:eastAsia="es-MX"/>
              </w:rPr>
            </w:pPr>
            <w:r w:rsidRPr="00314FB4">
              <w:rPr>
                <w:rFonts w:ascii="Montserrat Medium" w:hAnsi="Montserrat Medium" w:cs="Calibri"/>
                <w:color w:val="000000"/>
                <w:sz w:val="16"/>
                <w:szCs w:val="16"/>
              </w:rPr>
              <w:t>24,650,297.41</w:t>
            </w:r>
          </w:p>
        </w:tc>
        <w:tc>
          <w:tcPr>
            <w:tcW w:w="454" w:type="pct"/>
            <w:tcBorders>
              <w:top w:val="nil"/>
              <w:left w:val="nil"/>
              <w:bottom w:val="nil"/>
              <w:right w:val="single" w:sz="8" w:space="0" w:color="auto"/>
            </w:tcBorders>
            <w:shd w:val="clear" w:color="auto" w:fill="auto"/>
            <w:noWrap/>
            <w:vAlign w:val="center"/>
            <w:hideMark/>
          </w:tcPr>
          <w:p w14:paraId="3AC3CF98" w14:textId="6D562E6E" w:rsidR="00314FB4" w:rsidRPr="00314FB4" w:rsidRDefault="00314FB4" w:rsidP="002F131C">
            <w:pPr>
              <w:jc w:val="right"/>
              <w:rPr>
                <w:rFonts w:ascii="Montserrat Medium" w:eastAsia="Times New Roman" w:hAnsi="Montserrat Medium" w:cs="Calibri"/>
                <w:color w:val="000000"/>
                <w:sz w:val="16"/>
                <w:szCs w:val="16"/>
                <w:lang w:val="es-MX" w:eastAsia="es-MX"/>
              </w:rPr>
            </w:pPr>
            <w:r w:rsidRPr="00314FB4">
              <w:rPr>
                <w:rFonts w:ascii="Montserrat Medium" w:hAnsi="Montserrat Medium" w:cs="Calibri"/>
                <w:color w:val="000000"/>
                <w:sz w:val="16"/>
                <w:szCs w:val="16"/>
              </w:rPr>
              <w:t>0.00</w:t>
            </w:r>
          </w:p>
        </w:tc>
        <w:tc>
          <w:tcPr>
            <w:tcW w:w="758" w:type="pct"/>
            <w:tcBorders>
              <w:top w:val="nil"/>
              <w:left w:val="nil"/>
              <w:bottom w:val="nil"/>
              <w:right w:val="single" w:sz="8" w:space="0" w:color="auto"/>
            </w:tcBorders>
            <w:shd w:val="clear" w:color="auto" w:fill="auto"/>
            <w:noWrap/>
            <w:vAlign w:val="center"/>
            <w:hideMark/>
          </w:tcPr>
          <w:p w14:paraId="04FFBBEF" w14:textId="1C16F1F1" w:rsidR="00314FB4" w:rsidRPr="00314FB4" w:rsidRDefault="00314FB4" w:rsidP="002F131C">
            <w:pPr>
              <w:jc w:val="right"/>
              <w:rPr>
                <w:rFonts w:ascii="Montserrat Medium" w:eastAsia="Times New Roman" w:hAnsi="Montserrat Medium" w:cs="Calibri"/>
                <w:color w:val="000000"/>
                <w:sz w:val="16"/>
                <w:szCs w:val="16"/>
                <w:lang w:val="es-MX" w:eastAsia="es-MX"/>
              </w:rPr>
            </w:pPr>
            <w:r w:rsidRPr="00314FB4">
              <w:rPr>
                <w:rFonts w:ascii="Montserrat Medium" w:hAnsi="Montserrat Medium" w:cs="Calibri"/>
                <w:color w:val="000000"/>
                <w:sz w:val="16"/>
                <w:szCs w:val="16"/>
              </w:rPr>
              <w:t>0.00</w:t>
            </w:r>
          </w:p>
        </w:tc>
        <w:tc>
          <w:tcPr>
            <w:tcW w:w="682" w:type="pct"/>
            <w:tcBorders>
              <w:top w:val="nil"/>
              <w:left w:val="nil"/>
              <w:bottom w:val="nil"/>
              <w:right w:val="single" w:sz="8" w:space="0" w:color="auto"/>
            </w:tcBorders>
            <w:shd w:val="clear" w:color="auto" w:fill="auto"/>
            <w:noWrap/>
            <w:vAlign w:val="center"/>
            <w:hideMark/>
          </w:tcPr>
          <w:p w14:paraId="61D97EC3" w14:textId="0C8B6CFF" w:rsidR="00314FB4" w:rsidRPr="00314FB4" w:rsidRDefault="00314FB4" w:rsidP="002F131C">
            <w:pPr>
              <w:jc w:val="right"/>
              <w:rPr>
                <w:rFonts w:ascii="Montserrat Medium" w:eastAsia="Times New Roman" w:hAnsi="Montserrat Medium" w:cs="Calibri"/>
                <w:bCs/>
                <w:color w:val="000000"/>
                <w:sz w:val="16"/>
                <w:szCs w:val="16"/>
                <w:lang w:val="es-MX" w:eastAsia="es-MX"/>
              </w:rPr>
            </w:pPr>
            <w:r w:rsidRPr="00314FB4">
              <w:rPr>
                <w:rFonts w:ascii="Montserrat Medium" w:hAnsi="Montserrat Medium" w:cs="Calibri"/>
                <w:bCs/>
                <w:color w:val="000000"/>
                <w:sz w:val="16"/>
                <w:szCs w:val="16"/>
              </w:rPr>
              <w:t>27,204,731.40</w:t>
            </w:r>
          </w:p>
        </w:tc>
      </w:tr>
      <w:tr w:rsidR="00314FB4" w:rsidRPr="00C81E74" w14:paraId="7A2C1CBA" w14:textId="77777777" w:rsidTr="00314FB4">
        <w:trPr>
          <w:trHeight w:val="307"/>
        </w:trPr>
        <w:tc>
          <w:tcPr>
            <w:tcW w:w="1591" w:type="pct"/>
            <w:tcBorders>
              <w:top w:val="nil"/>
              <w:left w:val="single" w:sz="8" w:space="0" w:color="auto"/>
              <w:bottom w:val="nil"/>
              <w:right w:val="single" w:sz="8" w:space="0" w:color="auto"/>
            </w:tcBorders>
            <w:shd w:val="clear" w:color="auto" w:fill="auto"/>
            <w:noWrap/>
            <w:vAlign w:val="center"/>
            <w:hideMark/>
          </w:tcPr>
          <w:p w14:paraId="2338369B" w14:textId="77777777" w:rsidR="00314FB4" w:rsidRPr="00C81E74" w:rsidRDefault="00314FB4" w:rsidP="002F131C">
            <w:pPr>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Ingresos por recuperar  corto plazo</w:t>
            </w:r>
          </w:p>
        </w:tc>
        <w:tc>
          <w:tcPr>
            <w:tcW w:w="757" w:type="pct"/>
            <w:tcBorders>
              <w:top w:val="nil"/>
              <w:left w:val="nil"/>
              <w:bottom w:val="nil"/>
              <w:right w:val="single" w:sz="8" w:space="0" w:color="auto"/>
            </w:tcBorders>
            <w:shd w:val="clear" w:color="auto" w:fill="auto"/>
            <w:noWrap/>
            <w:vAlign w:val="center"/>
            <w:hideMark/>
          </w:tcPr>
          <w:p w14:paraId="3E939347" w14:textId="682F5051" w:rsidR="00314FB4" w:rsidRPr="00314FB4" w:rsidRDefault="00314FB4" w:rsidP="002F131C">
            <w:pPr>
              <w:jc w:val="right"/>
              <w:rPr>
                <w:rFonts w:ascii="Montserrat Medium" w:eastAsia="Times New Roman" w:hAnsi="Montserrat Medium" w:cs="Calibri"/>
                <w:color w:val="000000"/>
                <w:sz w:val="16"/>
                <w:szCs w:val="16"/>
                <w:lang w:val="es-MX" w:eastAsia="es-MX"/>
              </w:rPr>
            </w:pPr>
            <w:r w:rsidRPr="00314FB4">
              <w:rPr>
                <w:rFonts w:ascii="Montserrat Medium" w:hAnsi="Montserrat Medium" w:cs="Calibri"/>
                <w:color w:val="000000"/>
                <w:sz w:val="16"/>
                <w:szCs w:val="16"/>
              </w:rPr>
              <w:t>0.00</w:t>
            </w:r>
          </w:p>
        </w:tc>
        <w:tc>
          <w:tcPr>
            <w:tcW w:w="758" w:type="pct"/>
            <w:tcBorders>
              <w:top w:val="nil"/>
              <w:left w:val="nil"/>
              <w:bottom w:val="nil"/>
              <w:right w:val="single" w:sz="8" w:space="0" w:color="auto"/>
            </w:tcBorders>
            <w:shd w:val="clear" w:color="auto" w:fill="auto"/>
            <w:noWrap/>
            <w:vAlign w:val="center"/>
            <w:hideMark/>
          </w:tcPr>
          <w:p w14:paraId="3E85E2C2" w14:textId="166FBE8A" w:rsidR="00314FB4" w:rsidRPr="00314FB4" w:rsidRDefault="00314FB4" w:rsidP="002F131C">
            <w:pPr>
              <w:jc w:val="right"/>
              <w:rPr>
                <w:rFonts w:ascii="Montserrat Medium" w:eastAsia="Times New Roman" w:hAnsi="Montserrat Medium" w:cs="Calibri"/>
                <w:color w:val="000000"/>
                <w:sz w:val="16"/>
                <w:szCs w:val="16"/>
                <w:lang w:val="es-MX" w:eastAsia="es-MX"/>
              </w:rPr>
            </w:pPr>
            <w:r w:rsidRPr="00314FB4">
              <w:rPr>
                <w:rFonts w:ascii="Montserrat Medium" w:hAnsi="Montserrat Medium" w:cs="Calibri"/>
                <w:color w:val="000000"/>
                <w:sz w:val="16"/>
                <w:szCs w:val="16"/>
              </w:rPr>
              <w:t>0.00</w:t>
            </w:r>
          </w:p>
        </w:tc>
        <w:tc>
          <w:tcPr>
            <w:tcW w:w="454" w:type="pct"/>
            <w:tcBorders>
              <w:top w:val="nil"/>
              <w:left w:val="nil"/>
              <w:bottom w:val="nil"/>
              <w:right w:val="single" w:sz="8" w:space="0" w:color="auto"/>
            </w:tcBorders>
            <w:shd w:val="clear" w:color="auto" w:fill="auto"/>
            <w:noWrap/>
            <w:vAlign w:val="center"/>
            <w:hideMark/>
          </w:tcPr>
          <w:p w14:paraId="31590FC2" w14:textId="49E05B04" w:rsidR="00314FB4" w:rsidRPr="00314FB4" w:rsidRDefault="00314FB4" w:rsidP="002F131C">
            <w:pPr>
              <w:jc w:val="right"/>
              <w:rPr>
                <w:rFonts w:ascii="Montserrat Medium" w:eastAsia="Times New Roman" w:hAnsi="Montserrat Medium" w:cs="Calibri"/>
                <w:color w:val="000000"/>
                <w:sz w:val="16"/>
                <w:szCs w:val="16"/>
                <w:lang w:val="es-MX" w:eastAsia="es-MX"/>
              </w:rPr>
            </w:pPr>
            <w:r w:rsidRPr="00314FB4">
              <w:rPr>
                <w:rFonts w:ascii="Montserrat Medium" w:hAnsi="Montserrat Medium" w:cs="Calibri"/>
                <w:color w:val="000000"/>
                <w:sz w:val="16"/>
                <w:szCs w:val="16"/>
              </w:rPr>
              <w:t>0.00</w:t>
            </w:r>
          </w:p>
        </w:tc>
        <w:tc>
          <w:tcPr>
            <w:tcW w:w="758" w:type="pct"/>
            <w:tcBorders>
              <w:top w:val="nil"/>
              <w:left w:val="nil"/>
              <w:bottom w:val="nil"/>
              <w:right w:val="single" w:sz="8" w:space="0" w:color="auto"/>
            </w:tcBorders>
            <w:shd w:val="clear" w:color="auto" w:fill="auto"/>
            <w:noWrap/>
            <w:vAlign w:val="center"/>
            <w:hideMark/>
          </w:tcPr>
          <w:p w14:paraId="40BE52CE" w14:textId="77B3C54B" w:rsidR="00314FB4" w:rsidRPr="00314FB4" w:rsidRDefault="00314FB4" w:rsidP="002F131C">
            <w:pPr>
              <w:jc w:val="right"/>
              <w:rPr>
                <w:rFonts w:ascii="Montserrat Medium" w:eastAsia="Times New Roman" w:hAnsi="Montserrat Medium" w:cs="Calibri"/>
                <w:color w:val="000000"/>
                <w:sz w:val="16"/>
                <w:szCs w:val="16"/>
                <w:lang w:val="es-MX" w:eastAsia="es-MX"/>
              </w:rPr>
            </w:pPr>
            <w:r w:rsidRPr="00314FB4">
              <w:rPr>
                <w:rFonts w:ascii="Montserrat Medium" w:hAnsi="Montserrat Medium" w:cs="Calibri"/>
                <w:color w:val="000000"/>
                <w:sz w:val="16"/>
                <w:szCs w:val="16"/>
              </w:rPr>
              <w:t>0.00</w:t>
            </w:r>
          </w:p>
        </w:tc>
        <w:tc>
          <w:tcPr>
            <w:tcW w:w="682" w:type="pct"/>
            <w:tcBorders>
              <w:top w:val="nil"/>
              <w:left w:val="nil"/>
              <w:bottom w:val="nil"/>
              <w:right w:val="single" w:sz="8" w:space="0" w:color="auto"/>
            </w:tcBorders>
            <w:shd w:val="clear" w:color="auto" w:fill="auto"/>
            <w:noWrap/>
            <w:vAlign w:val="center"/>
            <w:hideMark/>
          </w:tcPr>
          <w:p w14:paraId="607B6DB2" w14:textId="3B7424D1" w:rsidR="00314FB4" w:rsidRPr="00314FB4" w:rsidRDefault="00314FB4" w:rsidP="002F131C">
            <w:pPr>
              <w:jc w:val="right"/>
              <w:rPr>
                <w:rFonts w:ascii="Montserrat Medium" w:eastAsia="Times New Roman" w:hAnsi="Montserrat Medium" w:cs="Calibri"/>
                <w:bCs/>
                <w:color w:val="000000"/>
                <w:sz w:val="16"/>
                <w:szCs w:val="16"/>
                <w:lang w:val="es-MX" w:eastAsia="es-MX"/>
              </w:rPr>
            </w:pPr>
            <w:r w:rsidRPr="00314FB4">
              <w:rPr>
                <w:rFonts w:ascii="Montserrat Medium" w:hAnsi="Montserrat Medium" w:cs="Calibri"/>
                <w:bCs/>
                <w:color w:val="000000"/>
                <w:sz w:val="16"/>
                <w:szCs w:val="16"/>
              </w:rPr>
              <w:t>0.00</w:t>
            </w:r>
          </w:p>
        </w:tc>
      </w:tr>
      <w:tr w:rsidR="00314FB4" w:rsidRPr="00C81E74" w14:paraId="55E9D6BD" w14:textId="77777777" w:rsidTr="00314FB4">
        <w:trPr>
          <w:trHeight w:val="360"/>
        </w:trPr>
        <w:tc>
          <w:tcPr>
            <w:tcW w:w="1591" w:type="pct"/>
            <w:tcBorders>
              <w:top w:val="nil"/>
              <w:left w:val="single" w:sz="8" w:space="0" w:color="auto"/>
              <w:bottom w:val="nil"/>
              <w:right w:val="single" w:sz="8" w:space="0" w:color="auto"/>
            </w:tcBorders>
            <w:shd w:val="clear" w:color="auto" w:fill="auto"/>
            <w:noWrap/>
            <w:vAlign w:val="center"/>
            <w:hideMark/>
          </w:tcPr>
          <w:p w14:paraId="09570E53" w14:textId="77777777" w:rsidR="00314FB4" w:rsidRPr="00C81E74" w:rsidRDefault="00314FB4" w:rsidP="002F131C">
            <w:pPr>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Deudores por Anticipos de la Tesorería a corto plazo</w:t>
            </w:r>
          </w:p>
        </w:tc>
        <w:tc>
          <w:tcPr>
            <w:tcW w:w="757" w:type="pct"/>
            <w:tcBorders>
              <w:top w:val="nil"/>
              <w:left w:val="nil"/>
              <w:bottom w:val="nil"/>
              <w:right w:val="single" w:sz="8" w:space="0" w:color="auto"/>
            </w:tcBorders>
            <w:shd w:val="clear" w:color="auto" w:fill="auto"/>
            <w:noWrap/>
            <w:vAlign w:val="center"/>
            <w:hideMark/>
          </w:tcPr>
          <w:p w14:paraId="6BCD3847" w14:textId="52C363B5" w:rsidR="00314FB4" w:rsidRPr="00314FB4" w:rsidRDefault="00314FB4" w:rsidP="002F131C">
            <w:pPr>
              <w:jc w:val="right"/>
              <w:rPr>
                <w:rFonts w:ascii="Montserrat Medium" w:eastAsia="Times New Roman" w:hAnsi="Montserrat Medium" w:cs="Calibri"/>
                <w:color w:val="000000"/>
                <w:sz w:val="16"/>
                <w:szCs w:val="16"/>
                <w:lang w:val="es-MX" w:eastAsia="es-MX"/>
              </w:rPr>
            </w:pPr>
            <w:r w:rsidRPr="00314FB4">
              <w:rPr>
                <w:rFonts w:ascii="Montserrat Medium" w:hAnsi="Montserrat Medium" w:cs="Calibri"/>
                <w:color w:val="000000"/>
                <w:sz w:val="16"/>
                <w:szCs w:val="16"/>
              </w:rPr>
              <w:t>6,591,392.48</w:t>
            </w:r>
          </w:p>
        </w:tc>
        <w:tc>
          <w:tcPr>
            <w:tcW w:w="758" w:type="pct"/>
            <w:tcBorders>
              <w:top w:val="nil"/>
              <w:left w:val="nil"/>
              <w:bottom w:val="nil"/>
              <w:right w:val="single" w:sz="8" w:space="0" w:color="auto"/>
            </w:tcBorders>
            <w:shd w:val="clear" w:color="auto" w:fill="auto"/>
            <w:noWrap/>
            <w:vAlign w:val="center"/>
            <w:hideMark/>
          </w:tcPr>
          <w:p w14:paraId="3AF4E97D" w14:textId="035AA3A6" w:rsidR="00314FB4" w:rsidRPr="00314FB4" w:rsidRDefault="00314FB4" w:rsidP="002F131C">
            <w:pPr>
              <w:jc w:val="right"/>
              <w:rPr>
                <w:rFonts w:ascii="Montserrat Medium" w:eastAsia="Times New Roman" w:hAnsi="Montserrat Medium" w:cs="Calibri"/>
                <w:color w:val="000000"/>
                <w:sz w:val="16"/>
                <w:szCs w:val="16"/>
                <w:lang w:val="es-MX" w:eastAsia="es-MX"/>
              </w:rPr>
            </w:pPr>
            <w:r w:rsidRPr="00314FB4">
              <w:rPr>
                <w:rFonts w:ascii="Montserrat Medium" w:hAnsi="Montserrat Medium" w:cs="Calibri"/>
                <w:color w:val="000000"/>
                <w:sz w:val="16"/>
                <w:szCs w:val="16"/>
              </w:rPr>
              <w:t>0.00</w:t>
            </w:r>
          </w:p>
        </w:tc>
        <w:tc>
          <w:tcPr>
            <w:tcW w:w="454" w:type="pct"/>
            <w:tcBorders>
              <w:top w:val="nil"/>
              <w:left w:val="nil"/>
              <w:bottom w:val="nil"/>
              <w:right w:val="single" w:sz="8" w:space="0" w:color="auto"/>
            </w:tcBorders>
            <w:shd w:val="clear" w:color="auto" w:fill="auto"/>
            <w:noWrap/>
            <w:vAlign w:val="center"/>
            <w:hideMark/>
          </w:tcPr>
          <w:p w14:paraId="60AE3740" w14:textId="356EE8F7" w:rsidR="00314FB4" w:rsidRPr="00314FB4" w:rsidRDefault="00314FB4" w:rsidP="002F131C">
            <w:pPr>
              <w:jc w:val="right"/>
              <w:rPr>
                <w:rFonts w:ascii="Montserrat Medium" w:eastAsia="Times New Roman" w:hAnsi="Montserrat Medium" w:cs="Calibri"/>
                <w:color w:val="000000"/>
                <w:sz w:val="16"/>
                <w:szCs w:val="16"/>
                <w:lang w:val="es-MX" w:eastAsia="es-MX"/>
              </w:rPr>
            </w:pPr>
            <w:r w:rsidRPr="00314FB4">
              <w:rPr>
                <w:rFonts w:ascii="Montserrat Medium" w:hAnsi="Montserrat Medium" w:cs="Calibri"/>
                <w:color w:val="000000"/>
                <w:sz w:val="16"/>
                <w:szCs w:val="16"/>
              </w:rPr>
              <w:t>0.00</w:t>
            </w:r>
          </w:p>
        </w:tc>
        <w:tc>
          <w:tcPr>
            <w:tcW w:w="758" w:type="pct"/>
            <w:tcBorders>
              <w:top w:val="nil"/>
              <w:left w:val="nil"/>
              <w:bottom w:val="nil"/>
              <w:right w:val="single" w:sz="8" w:space="0" w:color="auto"/>
            </w:tcBorders>
            <w:shd w:val="clear" w:color="auto" w:fill="auto"/>
            <w:noWrap/>
            <w:vAlign w:val="center"/>
            <w:hideMark/>
          </w:tcPr>
          <w:p w14:paraId="168A8019" w14:textId="518996C7" w:rsidR="00314FB4" w:rsidRPr="00314FB4" w:rsidRDefault="00314FB4" w:rsidP="002F131C">
            <w:pPr>
              <w:jc w:val="right"/>
              <w:rPr>
                <w:rFonts w:ascii="Montserrat Medium" w:eastAsia="Times New Roman" w:hAnsi="Montserrat Medium" w:cs="Calibri"/>
                <w:color w:val="000000"/>
                <w:sz w:val="16"/>
                <w:szCs w:val="16"/>
                <w:lang w:val="es-MX" w:eastAsia="es-MX"/>
              </w:rPr>
            </w:pPr>
            <w:r w:rsidRPr="00314FB4">
              <w:rPr>
                <w:rFonts w:ascii="Montserrat Medium" w:hAnsi="Montserrat Medium" w:cs="Calibri"/>
                <w:color w:val="000000"/>
                <w:sz w:val="16"/>
                <w:szCs w:val="16"/>
              </w:rPr>
              <w:t>0.00</w:t>
            </w:r>
          </w:p>
        </w:tc>
        <w:tc>
          <w:tcPr>
            <w:tcW w:w="682" w:type="pct"/>
            <w:tcBorders>
              <w:top w:val="nil"/>
              <w:left w:val="nil"/>
              <w:bottom w:val="nil"/>
              <w:right w:val="single" w:sz="8" w:space="0" w:color="auto"/>
            </w:tcBorders>
            <w:shd w:val="clear" w:color="auto" w:fill="auto"/>
            <w:noWrap/>
            <w:vAlign w:val="center"/>
            <w:hideMark/>
          </w:tcPr>
          <w:p w14:paraId="5A60FD7F" w14:textId="534F1B78" w:rsidR="00314FB4" w:rsidRPr="00314FB4" w:rsidRDefault="00314FB4" w:rsidP="002F131C">
            <w:pPr>
              <w:jc w:val="right"/>
              <w:rPr>
                <w:rFonts w:ascii="Montserrat Medium" w:eastAsia="Times New Roman" w:hAnsi="Montserrat Medium" w:cs="Calibri"/>
                <w:bCs/>
                <w:color w:val="000000"/>
                <w:sz w:val="16"/>
                <w:szCs w:val="16"/>
                <w:lang w:val="es-MX" w:eastAsia="es-MX"/>
              </w:rPr>
            </w:pPr>
            <w:r w:rsidRPr="00314FB4">
              <w:rPr>
                <w:rFonts w:ascii="Montserrat Medium" w:hAnsi="Montserrat Medium" w:cs="Calibri"/>
                <w:bCs/>
                <w:color w:val="000000"/>
                <w:sz w:val="16"/>
                <w:szCs w:val="16"/>
              </w:rPr>
              <w:t>6,591,392.48</w:t>
            </w:r>
          </w:p>
        </w:tc>
      </w:tr>
      <w:tr w:rsidR="00314FB4" w:rsidRPr="00C81E74" w14:paraId="1B5E06FE" w14:textId="77777777" w:rsidTr="00314FB4">
        <w:trPr>
          <w:trHeight w:val="175"/>
        </w:trPr>
        <w:tc>
          <w:tcPr>
            <w:tcW w:w="1591" w:type="pct"/>
            <w:tcBorders>
              <w:top w:val="nil"/>
              <w:left w:val="single" w:sz="8" w:space="0" w:color="auto"/>
              <w:bottom w:val="nil"/>
              <w:right w:val="single" w:sz="8" w:space="0" w:color="auto"/>
            </w:tcBorders>
            <w:shd w:val="clear" w:color="auto" w:fill="auto"/>
            <w:noWrap/>
            <w:vAlign w:val="center"/>
            <w:hideMark/>
          </w:tcPr>
          <w:p w14:paraId="06DFF631" w14:textId="77777777" w:rsidR="00314FB4" w:rsidRPr="00C81E74" w:rsidRDefault="00314FB4" w:rsidP="002F131C">
            <w:pPr>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Préstamos otorgados a corto plazo</w:t>
            </w:r>
          </w:p>
        </w:tc>
        <w:tc>
          <w:tcPr>
            <w:tcW w:w="757" w:type="pct"/>
            <w:tcBorders>
              <w:top w:val="nil"/>
              <w:left w:val="nil"/>
              <w:bottom w:val="nil"/>
              <w:right w:val="single" w:sz="8" w:space="0" w:color="auto"/>
            </w:tcBorders>
            <w:shd w:val="clear" w:color="auto" w:fill="auto"/>
            <w:noWrap/>
            <w:vAlign w:val="center"/>
            <w:hideMark/>
          </w:tcPr>
          <w:p w14:paraId="58F46DFF" w14:textId="7F58B837" w:rsidR="00314FB4" w:rsidRPr="00314FB4" w:rsidRDefault="00314FB4" w:rsidP="002F131C">
            <w:pPr>
              <w:jc w:val="right"/>
              <w:rPr>
                <w:rFonts w:ascii="Montserrat Medium" w:eastAsia="Times New Roman" w:hAnsi="Montserrat Medium" w:cs="Calibri"/>
                <w:color w:val="000000"/>
                <w:sz w:val="16"/>
                <w:szCs w:val="16"/>
                <w:lang w:val="es-MX" w:eastAsia="es-MX"/>
              </w:rPr>
            </w:pPr>
            <w:r w:rsidRPr="00314FB4">
              <w:rPr>
                <w:rFonts w:ascii="Montserrat Medium" w:hAnsi="Montserrat Medium" w:cs="Calibri"/>
                <w:color w:val="000000"/>
                <w:sz w:val="16"/>
                <w:szCs w:val="16"/>
              </w:rPr>
              <w:t>0.00</w:t>
            </w:r>
          </w:p>
        </w:tc>
        <w:tc>
          <w:tcPr>
            <w:tcW w:w="758" w:type="pct"/>
            <w:tcBorders>
              <w:top w:val="nil"/>
              <w:left w:val="nil"/>
              <w:bottom w:val="nil"/>
              <w:right w:val="single" w:sz="8" w:space="0" w:color="auto"/>
            </w:tcBorders>
            <w:shd w:val="clear" w:color="auto" w:fill="auto"/>
            <w:noWrap/>
            <w:vAlign w:val="center"/>
            <w:hideMark/>
          </w:tcPr>
          <w:p w14:paraId="342CB251" w14:textId="5CD36294" w:rsidR="00314FB4" w:rsidRPr="00314FB4" w:rsidRDefault="00314FB4" w:rsidP="002F131C">
            <w:pPr>
              <w:jc w:val="right"/>
              <w:rPr>
                <w:rFonts w:ascii="Montserrat Medium" w:eastAsia="Times New Roman" w:hAnsi="Montserrat Medium" w:cs="Calibri"/>
                <w:color w:val="000000"/>
                <w:sz w:val="16"/>
                <w:szCs w:val="16"/>
                <w:lang w:val="es-MX" w:eastAsia="es-MX"/>
              </w:rPr>
            </w:pPr>
            <w:r w:rsidRPr="00314FB4">
              <w:rPr>
                <w:rFonts w:ascii="Montserrat Medium" w:hAnsi="Montserrat Medium" w:cs="Calibri"/>
                <w:color w:val="000000"/>
                <w:sz w:val="16"/>
                <w:szCs w:val="16"/>
              </w:rPr>
              <w:t>0.00</w:t>
            </w:r>
          </w:p>
        </w:tc>
        <w:tc>
          <w:tcPr>
            <w:tcW w:w="454" w:type="pct"/>
            <w:tcBorders>
              <w:top w:val="nil"/>
              <w:left w:val="nil"/>
              <w:bottom w:val="nil"/>
              <w:right w:val="single" w:sz="8" w:space="0" w:color="auto"/>
            </w:tcBorders>
            <w:shd w:val="clear" w:color="auto" w:fill="auto"/>
            <w:noWrap/>
            <w:vAlign w:val="center"/>
            <w:hideMark/>
          </w:tcPr>
          <w:p w14:paraId="31C1AFBC" w14:textId="3CC3003E" w:rsidR="00314FB4" w:rsidRPr="00314FB4" w:rsidRDefault="00314FB4" w:rsidP="002F131C">
            <w:pPr>
              <w:jc w:val="right"/>
              <w:rPr>
                <w:rFonts w:ascii="Montserrat Medium" w:eastAsia="Times New Roman" w:hAnsi="Montserrat Medium" w:cs="Calibri"/>
                <w:color w:val="000000"/>
                <w:sz w:val="16"/>
                <w:szCs w:val="16"/>
                <w:lang w:val="es-MX" w:eastAsia="es-MX"/>
              </w:rPr>
            </w:pPr>
            <w:r w:rsidRPr="00314FB4">
              <w:rPr>
                <w:rFonts w:ascii="Montserrat Medium" w:hAnsi="Montserrat Medium" w:cs="Calibri"/>
                <w:color w:val="000000"/>
                <w:sz w:val="16"/>
                <w:szCs w:val="16"/>
              </w:rPr>
              <w:t>0.00</w:t>
            </w:r>
          </w:p>
        </w:tc>
        <w:tc>
          <w:tcPr>
            <w:tcW w:w="758" w:type="pct"/>
            <w:tcBorders>
              <w:top w:val="nil"/>
              <w:left w:val="nil"/>
              <w:bottom w:val="nil"/>
              <w:right w:val="single" w:sz="8" w:space="0" w:color="auto"/>
            </w:tcBorders>
            <w:shd w:val="clear" w:color="auto" w:fill="auto"/>
            <w:noWrap/>
            <w:vAlign w:val="center"/>
            <w:hideMark/>
          </w:tcPr>
          <w:p w14:paraId="6E7F7EC2" w14:textId="68762B7F" w:rsidR="00314FB4" w:rsidRPr="00314FB4" w:rsidRDefault="00314FB4" w:rsidP="002F131C">
            <w:pPr>
              <w:jc w:val="right"/>
              <w:rPr>
                <w:rFonts w:ascii="Montserrat Medium" w:eastAsia="Times New Roman" w:hAnsi="Montserrat Medium" w:cs="Calibri"/>
                <w:color w:val="000000"/>
                <w:sz w:val="16"/>
                <w:szCs w:val="16"/>
                <w:lang w:val="es-MX" w:eastAsia="es-MX"/>
              </w:rPr>
            </w:pPr>
            <w:r w:rsidRPr="00314FB4">
              <w:rPr>
                <w:rFonts w:ascii="Montserrat Medium" w:hAnsi="Montserrat Medium" w:cs="Calibri"/>
                <w:color w:val="000000"/>
                <w:sz w:val="16"/>
                <w:szCs w:val="16"/>
              </w:rPr>
              <w:t>43,424,258.39</w:t>
            </w:r>
          </w:p>
        </w:tc>
        <w:tc>
          <w:tcPr>
            <w:tcW w:w="682" w:type="pct"/>
            <w:tcBorders>
              <w:top w:val="nil"/>
              <w:left w:val="nil"/>
              <w:bottom w:val="nil"/>
              <w:right w:val="single" w:sz="8" w:space="0" w:color="auto"/>
            </w:tcBorders>
            <w:shd w:val="clear" w:color="auto" w:fill="auto"/>
            <w:noWrap/>
            <w:vAlign w:val="center"/>
            <w:hideMark/>
          </w:tcPr>
          <w:p w14:paraId="2C2ED2E9" w14:textId="0CD2B908" w:rsidR="00314FB4" w:rsidRPr="00314FB4" w:rsidRDefault="00314FB4" w:rsidP="002F131C">
            <w:pPr>
              <w:jc w:val="right"/>
              <w:rPr>
                <w:rFonts w:ascii="Montserrat Medium" w:eastAsia="Times New Roman" w:hAnsi="Montserrat Medium" w:cs="Calibri"/>
                <w:bCs/>
                <w:color w:val="000000"/>
                <w:sz w:val="16"/>
                <w:szCs w:val="16"/>
                <w:lang w:val="es-MX" w:eastAsia="es-MX"/>
              </w:rPr>
            </w:pPr>
            <w:r w:rsidRPr="00314FB4">
              <w:rPr>
                <w:rFonts w:ascii="Montserrat Medium" w:hAnsi="Montserrat Medium" w:cs="Calibri"/>
                <w:bCs/>
                <w:color w:val="000000"/>
                <w:sz w:val="16"/>
                <w:szCs w:val="16"/>
              </w:rPr>
              <w:t>43,424,258.39</w:t>
            </w:r>
          </w:p>
        </w:tc>
      </w:tr>
      <w:tr w:rsidR="00314FB4" w:rsidRPr="00C81E74" w14:paraId="5F9C044A" w14:textId="77777777" w:rsidTr="00314FB4">
        <w:trPr>
          <w:trHeight w:val="375"/>
        </w:trPr>
        <w:tc>
          <w:tcPr>
            <w:tcW w:w="1591" w:type="pct"/>
            <w:tcBorders>
              <w:top w:val="nil"/>
              <w:left w:val="single" w:sz="8" w:space="0" w:color="auto"/>
              <w:bottom w:val="single" w:sz="4" w:space="0" w:color="auto"/>
              <w:right w:val="single" w:sz="8" w:space="0" w:color="auto"/>
            </w:tcBorders>
            <w:shd w:val="clear" w:color="auto" w:fill="auto"/>
            <w:noWrap/>
            <w:vAlign w:val="center"/>
            <w:hideMark/>
          </w:tcPr>
          <w:p w14:paraId="013F09A8" w14:textId="77777777" w:rsidR="00314FB4" w:rsidRPr="00C81E74" w:rsidRDefault="00314FB4" w:rsidP="002F131C">
            <w:pPr>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 xml:space="preserve">Otros derechos a recibir efectivo o equivalentes a corto plazo </w:t>
            </w:r>
          </w:p>
        </w:tc>
        <w:tc>
          <w:tcPr>
            <w:tcW w:w="757" w:type="pct"/>
            <w:tcBorders>
              <w:top w:val="nil"/>
              <w:left w:val="nil"/>
              <w:bottom w:val="single" w:sz="4" w:space="0" w:color="auto"/>
              <w:right w:val="single" w:sz="8" w:space="0" w:color="auto"/>
            </w:tcBorders>
            <w:shd w:val="clear" w:color="auto" w:fill="auto"/>
            <w:noWrap/>
            <w:vAlign w:val="center"/>
            <w:hideMark/>
          </w:tcPr>
          <w:p w14:paraId="6A621B2A" w14:textId="2D930AE6" w:rsidR="00314FB4" w:rsidRPr="00314FB4" w:rsidRDefault="00314FB4" w:rsidP="002F131C">
            <w:pPr>
              <w:jc w:val="right"/>
              <w:rPr>
                <w:rFonts w:ascii="Montserrat Medium" w:eastAsia="Times New Roman" w:hAnsi="Montserrat Medium" w:cs="Calibri"/>
                <w:color w:val="000000"/>
                <w:sz w:val="16"/>
                <w:szCs w:val="16"/>
                <w:lang w:val="es-MX" w:eastAsia="es-MX"/>
              </w:rPr>
            </w:pPr>
            <w:r w:rsidRPr="00314FB4">
              <w:rPr>
                <w:rFonts w:ascii="Montserrat Medium" w:hAnsi="Montserrat Medium" w:cs="Calibri"/>
                <w:color w:val="000000"/>
                <w:sz w:val="16"/>
                <w:szCs w:val="16"/>
              </w:rPr>
              <w:t>887,016.90</w:t>
            </w:r>
          </w:p>
        </w:tc>
        <w:tc>
          <w:tcPr>
            <w:tcW w:w="758" w:type="pct"/>
            <w:tcBorders>
              <w:top w:val="nil"/>
              <w:left w:val="nil"/>
              <w:bottom w:val="single" w:sz="4" w:space="0" w:color="auto"/>
              <w:right w:val="single" w:sz="8" w:space="0" w:color="auto"/>
            </w:tcBorders>
            <w:shd w:val="clear" w:color="auto" w:fill="auto"/>
            <w:noWrap/>
            <w:vAlign w:val="center"/>
            <w:hideMark/>
          </w:tcPr>
          <w:p w14:paraId="50B90FBF" w14:textId="4DD3DF1D" w:rsidR="00314FB4" w:rsidRPr="00314FB4" w:rsidRDefault="00314FB4" w:rsidP="002F131C">
            <w:pPr>
              <w:jc w:val="right"/>
              <w:rPr>
                <w:rFonts w:ascii="Montserrat Medium" w:eastAsia="Times New Roman" w:hAnsi="Montserrat Medium" w:cs="Calibri"/>
                <w:color w:val="000000"/>
                <w:sz w:val="16"/>
                <w:szCs w:val="16"/>
                <w:lang w:val="es-MX" w:eastAsia="es-MX"/>
              </w:rPr>
            </w:pPr>
            <w:r w:rsidRPr="00314FB4">
              <w:rPr>
                <w:rFonts w:ascii="Montserrat Medium" w:hAnsi="Montserrat Medium" w:cs="Calibri"/>
                <w:color w:val="000000"/>
                <w:sz w:val="16"/>
                <w:szCs w:val="16"/>
              </w:rPr>
              <w:t>0.00</w:t>
            </w:r>
          </w:p>
        </w:tc>
        <w:tc>
          <w:tcPr>
            <w:tcW w:w="454" w:type="pct"/>
            <w:tcBorders>
              <w:top w:val="nil"/>
              <w:left w:val="nil"/>
              <w:bottom w:val="single" w:sz="4" w:space="0" w:color="auto"/>
              <w:right w:val="single" w:sz="8" w:space="0" w:color="auto"/>
            </w:tcBorders>
            <w:shd w:val="clear" w:color="auto" w:fill="auto"/>
            <w:noWrap/>
            <w:vAlign w:val="center"/>
            <w:hideMark/>
          </w:tcPr>
          <w:p w14:paraId="669DF07F" w14:textId="665EAE90" w:rsidR="00314FB4" w:rsidRPr="00314FB4" w:rsidRDefault="00314FB4" w:rsidP="002F131C">
            <w:pPr>
              <w:jc w:val="right"/>
              <w:rPr>
                <w:rFonts w:ascii="Montserrat Medium" w:eastAsia="Times New Roman" w:hAnsi="Montserrat Medium" w:cs="Calibri"/>
                <w:color w:val="000000"/>
                <w:sz w:val="16"/>
                <w:szCs w:val="16"/>
                <w:lang w:val="es-MX" w:eastAsia="es-MX"/>
              </w:rPr>
            </w:pPr>
            <w:r w:rsidRPr="00314FB4">
              <w:rPr>
                <w:rFonts w:ascii="Montserrat Medium" w:hAnsi="Montserrat Medium" w:cs="Calibri"/>
                <w:color w:val="000000"/>
                <w:sz w:val="16"/>
                <w:szCs w:val="16"/>
              </w:rPr>
              <w:t>0.00</w:t>
            </w:r>
          </w:p>
        </w:tc>
        <w:tc>
          <w:tcPr>
            <w:tcW w:w="758" w:type="pct"/>
            <w:tcBorders>
              <w:top w:val="nil"/>
              <w:left w:val="nil"/>
              <w:bottom w:val="single" w:sz="4" w:space="0" w:color="auto"/>
              <w:right w:val="single" w:sz="8" w:space="0" w:color="auto"/>
            </w:tcBorders>
            <w:shd w:val="clear" w:color="auto" w:fill="auto"/>
            <w:noWrap/>
            <w:vAlign w:val="center"/>
            <w:hideMark/>
          </w:tcPr>
          <w:p w14:paraId="5420175F" w14:textId="2CC9316D" w:rsidR="00314FB4" w:rsidRPr="00314FB4" w:rsidRDefault="00314FB4" w:rsidP="002F131C">
            <w:pPr>
              <w:jc w:val="right"/>
              <w:rPr>
                <w:rFonts w:ascii="Montserrat Medium" w:eastAsia="Times New Roman" w:hAnsi="Montserrat Medium" w:cs="Calibri"/>
                <w:color w:val="000000"/>
                <w:sz w:val="16"/>
                <w:szCs w:val="16"/>
                <w:lang w:val="es-MX" w:eastAsia="es-MX"/>
              </w:rPr>
            </w:pPr>
            <w:r w:rsidRPr="00314FB4">
              <w:rPr>
                <w:rFonts w:ascii="Montserrat Medium" w:hAnsi="Montserrat Medium" w:cs="Calibri"/>
                <w:color w:val="000000"/>
                <w:sz w:val="16"/>
                <w:szCs w:val="16"/>
              </w:rPr>
              <w:t>61,246,181.99</w:t>
            </w:r>
          </w:p>
        </w:tc>
        <w:tc>
          <w:tcPr>
            <w:tcW w:w="682" w:type="pct"/>
            <w:tcBorders>
              <w:top w:val="nil"/>
              <w:left w:val="nil"/>
              <w:bottom w:val="single" w:sz="4" w:space="0" w:color="auto"/>
              <w:right w:val="single" w:sz="8" w:space="0" w:color="auto"/>
            </w:tcBorders>
            <w:shd w:val="clear" w:color="auto" w:fill="auto"/>
            <w:noWrap/>
            <w:vAlign w:val="center"/>
            <w:hideMark/>
          </w:tcPr>
          <w:p w14:paraId="6E2D6C2E" w14:textId="09F8FBD5" w:rsidR="00314FB4" w:rsidRPr="00314FB4" w:rsidRDefault="00314FB4" w:rsidP="002F131C">
            <w:pPr>
              <w:jc w:val="right"/>
              <w:rPr>
                <w:rFonts w:ascii="Montserrat Medium" w:eastAsia="Times New Roman" w:hAnsi="Montserrat Medium" w:cs="Calibri"/>
                <w:color w:val="000000"/>
                <w:sz w:val="16"/>
                <w:szCs w:val="16"/>
                <w:lang w:val="es-MX" w:eastAsia="es-MX"/>
              </w:rPr>
            </w:pPr>
            <w:r w:rsidRPr="00314FB4">
              <w:rPr>
                <w:rFonts w:ascii="Montserrat Medium" w:hAnsi="Montserrat Medium" w:cs="Calibri"/>
                <w:color w:val="000000"/>
                <w:sz w:val="16"/>
                <w:szCs w:val="16"/>
              </w:rPr>
              <w:t>62,133,198.89</w:t>
            </w:r>
          </w:p>
        </w:tc>
      </w:tr>
      <w:tr w:rsidR="00314FB4" w:rsidRPr="00C81E74" w14:paraId="4897CE21" w14:textId="77777777" w:rsidTr="00314FB4">
        <w:trPr>
          <w:trHeight w:val="189"/>
        </w:trPr>
        <w:tc>
          <w:tcPr>
            <w:tcW w:w="1591"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F5D7427" w14:textId="77777777" w:rsidR="00314FB4" w:rsidRPr="00C81E74" w:rsidRDefault="00314FB4" w:rsidP="002F131C">
            <w:pPr>
              <w:jc w:val="right"/>
              <w:rPr>
                <w:rFonts w:ascii="Montserrat Medium" w:eastAsia="Times New Roman" w:hAnsi="Montserrat Medium" w:cs="Calibri"/>
                <w:b/>
                <w:bCs/>
                <w:color w:val="000000"/>
                <w:sz w:val="16"/>
                <w:szCs w:val="16"/>
                <w:lang w:val="es-MX" w:eastAsia="es-MX"/>
              </w:rPr>
            </w:pPr>
            <w:r w:rsidRPr="00C81E74">
              <w:rPr>
                <w:rFonts w:ascii="Montserrat Medium" w:eastAsia="Times New Roman" w:hAnsi="Montserrat Medium" w:cs="Calibri"/>
                <w:b/>
                <w:bCs/>
                <w:color w:val="000000"/>
                <w:sz w:val="16"/>
                <w:szCs w:val="16"/>
                <w:lang w:val="es-MX" w:eastAsia="es-MX"/>
              </w:rPr>
              <w:t>Total</w:t>
            </w:r>
          </w:p>
        </w:tc>
        <w:tc>
          <w:tcPr>
            <w:tcW w:w="757" w:type="pct"/>
            <w:tcBorders>
              <w:top w:val="single" w:sz="4" w:space="0" w:color="auto"/>
              <w:left w:val="nil"/>
              <w:bottom w:val="single" w:sz="8" w:space="0" w:color="auto"/>
              <w:right w:val="single" w:sz="8" w:space="0" w:color="auto"/>
            </w:tcBorders>
            <w:shd w:val="clear" w:color="auto" w:fill="auto"/>
            <w:noWrap/>
            <w:vAlign w:val="center"/>
            <w:hideMark/>
          </w:tcPr>
          <w:p w14:paraId="3F3E043D" w14:textId="039AA822" w:rsidR="00314FB4" w:rsidRPr="00314FB4" w:rsidRDefault="00314FB4" w:rsidP="002F131C">
            <w:pPr>
              <w:jc w:val="right"/>
              <w:rPr>
                <w:rFonts w:ascii="Montserrat Medium" w:eastAsia="Times New Roman" w:hAnsi="Montserrat Medium" w:cs="Calibri"/>
                <w:b/>
                <w:bCs/>
                <w:color w:val="000000"/>
                <w:sz w:val="16"/>
                <w:szCs w:val="16"/>
                <w:lang w:val="es-MX" w:eastAsia="es-MX"/>
              </w:rPr>
            </w:pPr>
            <w:r w:rsidRPr="00314FB4">
              <w:rPr>
                <w:rFonts w:ascii="Montserrat Medium" w:hAnsi="Montserrat Medium" w:cs="Calibri"/>
                <w:b/>
                <w:bCs/>
                <w:color w:val="000000"/>
                <w:sz w:val="16"/>
                <w:szCs w:val="16"/>
              </w:rPr>
              <w:t>10,032,843.37</w:t>
            </w:r>
          </w:p>
        </w:tc>
        <w:tc>
          <w:tcPr>
            <w:tcW w:w="758" w:type="pct"/>
            <w:tcBorders>
              <w:top w:val="single" w:sz="4" w:space="0" w:color="auto"/>
              <w:left w:val="nil"/>
              <w:bottom w:val="single" w:sz="8" w:space="0" w:color="auto"/>
              <w:right w:val="single" w:sz="8" w:space="0" w:color="auto"/>
            </w:tcBorders>
            <w:shd w:val="clear" w:color="auto" w:fill="auto"/>
            <w:noWrap/>
            <w:vAlign w:val="center"/>
            <w:hideMark/>
          </w:tcPr>
          <w:p w14:paraId="49356C9B" w14:textId="6E7D8638" w:rsidR="00314FB4" w:rsidRPr="00314FB4" w:rsidRDefault="00314FB4" w:rsidP="002F131C">
            <w:pPr>
              <w:jc w:val="right"/>
              <w:rPr>
                <w:rFonts w:ascii="Montserrat Medium" w:eastAsia="Times New Roman" w:hAnsi="Montserrat Medium" w:cs="Calibri"/>
                <w:b/>
                <w:bCs/>
                <w:color w:val="000000"/>
                <w:sz w:val="16"/>
                <w:szCs w:val="16"/>
                <w:lang w:val="es-MX" w:eastAsia="es-MX"/>
              </w:rPr>
            </w:pPr>
            <w:r w:rsidRPr="00314FB4">
              <w:rPr>
                <w:rFonts w:ascii="Montserrat Medium" w:hAnsi="Montserrat Medium" w:cs="Calibri"/>
                <w:b/>
                <w:bCs/>
                <w:color w:val="000000"/>
                <w:sz w:val="16"/>
                <w:szCs w:val="16"/>
              </w:rPr>
              <w:t>24,650,297.41</w:t>
            </w:r>
          </w:p>
        </w:tc>
        <w:tc>
          <w:tcPr>
            <w:tcW w:w="454" w:type="pct"/>
            <w:tcBorders>
              <w:top w:val="single" w:sz="4" w:space="0" w:color="auto"/>
              <w:left w:val="nil"/>
              <w:bottom w:val="single" w:sz="8" w:space="0" w:color="auto"/>
              <w:right w:val="single" w:sz="8" w:space="0" w:color="auto"/>
            </w:tcBorders>
            <w:shd w:val="clear" w:color="auto" w:fill="auto"/>
            <w:noWrap/>
            <w:vAlign w:val="center"/>
            <w:hideMark/>
          </w:tcPr>
          <w:p w14:paraId="219444FC" w14:textId="05AE5170" w:rsidR="00314FB4" w:rsidRPr="00314FB4" w:rsidRDefault="00314FB4" w:rsidP="002F131C">
            <w:pPr>
              <w:jc w:val="right"/>
              <w:rPr>
                <w:rFonts w:ascii="Montserrat Medium" w:eastAsia="Times New Roman" w:hAnsi="Montserrat Medium" w:cs="Calibri"/>
                <w:b/>
                <w:bCs/>
                <w:color w:val="000000"/>
                <w:sz w:val="16"/>
                <w:szCs w:val="16"/>
                <w:lang w:val="es-MX" w:eastAsia="es-MX"/>
              </w:rPr>
            </w:pPr>
            <w:r w:rsidRPr="00314FB4">
              <w:rPr>
                <w:rFonts w:ascii="Montserrat Medium" w:hAnsi="Montserrat Medium" w:cs="Calibri"/>
                <w:b/>
                <w:bCs/>
                <w:color w:val="000000"/>
                <w:sz w:val="16"/>
                <w:szCs w:val="16"/>
              </w:rPr>
              <w:t>0.00</w:t>
            </w:r>
          </w:p>
        </w:tc>
        <w:tc>
          <w:tcPr>
            <w:tcW w:w="758" w:type="pct"/>
            <w:tcBorders>
              <w:top w:val="single" w:sz="4" w:space="0" w:color="auto"/>
              <w:left w:val="nil"/>
              <w:bottom w:val="single" w:sz="8" w:space="0" w:color="auto"/>
              <w:right w:val="single" w:sz="8" w:space="0" w:color="auto"/>
            </w:tcBorders>
            <w:shd w:val="clear" w:color="auto" w:fill="auto"/>
            <w:noWrap/>
            <w:vAlign w:val="center"/>
            <w:hideMark/>
          </w:tcPr>
          <w:p w14:paraId="502746BF" w14:textId="6B20EA55" w:rsidR="00314FB4" w:rsidRPr="00314FB4" w:rsidRDefault="00314FB4" w:rsidP="002F131C">
            <w:pPr>
              <w:jc w:val="right"/>
              <w:rPr>
                <w:rFonts w:ascii="Montserrat Medium" w:eastAsia="Times New Roman" w:hAnsi="Montserrat Medium" w:cs="Calibri"/>
                <w:b/>
                <w:bCs/>
                <w:color w:val="000000"/>
                <w:sz w:val="16"/>
                <w:szCs w:val="16"/>
                <w:lang w:val="es-MX" w:eastAsia="es-MX"/>
              </w:rPr>
            </w:pPr>
            <w:r w:rsidRPr="00314FB4">
              <w:rPr>
                <w:rFonts w:ascii="Montserrat Medium" w:hAnsi="Montserrat Medium" w:cs="Calibri"/>
                <w:b/>
                <w:bCs/>
                <w:color w:val="000000"/>
                <w:sz w:val="16"/>
                <w:szCs w:val="16"/>
              </w:rPr>
              <w:t>104,670,440.38</w:t>
            </w:r>
          </w:p>
        </w:tc>
        <w:tc>
          <w:tcPr>
            <w:tcW w:w="682" w:type="pct"/>
            <w:tcBorders>
              <w:top w:val="single" w:sz="4" w:space="0" w:color="auto"/>
              <w:left w:val="nil"/>
              <w:bottom w:val="single" w:sz="8" w:space="0" w:color="auto"/>
              <w:right w:val="single" w:sz="8" w:space="0" w:color="auto"/>
            </w:tcBorders>
            <w:shd w:val="clear" w:color="auto" w:fill="auto"/>
            <w:noWrap/>
            <w:vAlign w:val="center"/>
            <w:hideMark/>
          </w:tcPr>
          <w:p w14:paraId="0DD1E701" w14:textId="44E63C3E" w:rsidR="00314FB4" w:rsidRPr="00314FB4" w:rsidRDefault="00314FB4" w:rsidP="002F131C">
            <w:pPr>
              <w:jc w:val="right"/>
              <w:rPr>
                <w:rFonts w:ascii="Montserrat Medium" w:eastAsia="Times New Roman" w:hAnsi="Montserrat Medium" w:cs="Calibri"/>
                <w:b/>
                <w:bCs/>
                <w:color w:val="000000"/>
                <w:sz w:val="16"/>
                <w:szCs w:val="16"/>
                <w:lang w:val="es-MX" w:eastAsia="es-MX"/>
              </w:rPr>
            </w:pPr>
            <w:r w:rsidRPr="00314FB4">
              <w:rPr>
                <w:rFonts w:ascii="Montserrat Medium" w:hAnsi="Montserrat Medium" w:cs="Calibri"/>
                <w:b/>
                <w:bCs/>
                <w:color w:val="000000"/>
                <w:sz w:val="16"/>
                <w:szCs w:val="16"/>
              </w:rPr>
              <w:t>139,353,581.16</w:t>
            </w:r>
          </w:p>
        </w:tc>
      </w:tr>
    </w:tbl>
    <w:p w14:paraId="47416F66" w14:textId="77777777" w:rsidR="00636952" w:rsidRDefault="00636952" w:rsidP="002F131C">
      <w:pPr>
        <w:jc w:val="both"/>
        <w:rPr>
          <w:rFonts w:ascii="Montserrat Medium" w:eastAsia="Times New Roman" w:hAnsi="Montserrat Medium" w:cs="Arial"/>
          <w:b/>
          <w:color w:val="595959"/>
          <w:sz w:val="22"/>
          <w:lang w:eastAsia="en-US"/>
        </w:rPr>
      </w:pPr>
    </w:p>
    <w:p w14:paraId="345B804F" w14:textId="77777777" w:rsidR="00636952" w:rsidRDefault="00636952" w:rsidP="002F131C">
      <w:pPr>
        <w:jc w:val="both"/>
        <w:rPr>
          <w:rFonts w:ascii="Montserrat Medium" w:eastAsia="Times New Roman" w:hAnsi="Montserrat Medium" w:cs="Arial"/>
          <w:b/>
          <w:color w:val="595959"/>
          <w:sz w:val="22"/>
          <w:lang w:eastAsia="en-US"/>
        </w:rPr>
      </w:pPr>
    </w:p>
    <w:p w14:paraId="355631E3" w14:textId="77777777" w:rsidR="00636952" w:rsidRDefault="00636952" w:rsidP="002F131C">
      <w:pPr>
        <w:jc w:val="both"/>
        <w:rPr>
          <w:rFonts w:ascii="Montserrat Medium" w:eastAsia="Times New Roman" w:hAnsi="Montserrat Medium" w:cs="Arial"/>
          <w:b/>
          <w:color w:val="595959"/>
          <w:sz w:val="22"/>
          <w:lang w:eastAsia="en-US"/>
        </w:rPr>
      </w:pPr>
    </w:p>
    <w:p w14:paraId="32D12E26" w14:textId="6025D409" w:rsidR="004D27FD" w:rsidRPr="00D56579" w:rsidRDefault="004D27FD" w:rsidP="002F131C">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lastRenderedPageBreak/>
        <w:t>Deudores diversos</w:t>
      </w:r>
      <w:r w:rsidR="003F1832" w:rsidRPr="00D56579">
        <w:rPr>
          <w:rFonts w:ascii="Montserrat Medium" w:eastAsia="Times New Roman" w:hAnsi="Montserrat Medium" w:cs="Arial"/>
          <w:b/>
          <w:color w:val="595959"/>
          <w:sz w:val="22"/>
          <w:lang w:eastAsia="en-US"/>
        </w:rPr>
        <w:t xml:space="preserve"> </w:t>
      </w:r>
      <w:r w:rsidR="00E13F90" w:rsidRPr="00D56579">
        <w:rPr>
          <w:rFonts w:ascii="Montserrat Medium" w:eastAsia="Times New Roman" w:hAnsi="Montserrat Medium" w:cs="Arial"/>
          <w:b/>
          <w:color w:val="595959"/>
          <w:sz w:val="22"/>
          <w:lang w:eastAsia="en-US"/>
        </w:rPr>
        <w:t>por cobrar a corto plazo</w:t>
      </w:r>
    </w:p>
    <w:p w14:paraId="1DE43D13" w14:textId="77777777" w:rsidR="004D27FD" w:rsidRPr="00D56579" w:rsidRDefault="004D27FD" w:rsidP="002F131C">
      <w:pPr>
        <w:ind w:firstLine="567"/>
        <w:jc w:val="both"/>
        <w:rPr>
          <w:rFonts w:ascii="Montserrat Medium" w:eastAsia="Times New Roman" w:hAnsi="Montserrat Medium" w:cs="Arial"/>
          <w:color w:val="595959"/>
          <w:sz w:val="22"/>
          <w:lang w:eastAsia="en-US"/>
        </w:rPr>
      </w:pPr>
    </w:p>
    <w:p w14:paraId="5807D080" w14:textId="77777777" w:rsidR="004D27FD" w:rsidRPr="00D56579" w:rsidRDefault="004D27FD" w:rsidP="002F131C">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La cuenta de deudores diversos se integra principalmente de gastos por comprobar que se refieren a ministraciones de efectivo hechas a diversos funcionarios de las dependencias de la Administración Pública Central, para atender necesidades o actividades de carácter prioritario. La afectación al presupuesto está sujeta a la comprobación que realizan los funcionarios responsables del ejercicio del gasto. </w:t>
      </w:r>
    </w:p>
    <w:p w14:paraId="3ED6AD18" w14:textId="77777777" w:rsidR="004D717E" w:rsidRPr="00D56579" w:rsidRDefault="004D717E" w:rsidP="002F131C">
      <w:pPr>
        <w:jc w:val="both"/>
        <w:rPr>
          <w:rFonts w:ascii="Montserrat Medium" w:eastAsia="Times New Roman" w:hAnsi="Montserrat Medium" w:cs="Arial"/>
          <w:color w:val="595959"/>
          <w:sz w:val="22"/>
          <w:lang w:eastAsia="en-US"/>
        </w:rPr>
      </w:pPr>
    </w:p>
    <w:p w14:paraId="4CBB4F74" w14:textId="77777777" w:rsidR="004D27FD" w:rsidRPr="00D56579" w:rsidRDefault="004D27FD" w:rsidP="002F131C">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Préstamos otorgados</w:t>
      </w:r>
      <w:r w:rsidR="00E13F90" w:rsidRPr="00D56579">
        <w:rPr>
          <w:rFonts w:ascii="Montserrat Medium" w:eastAsia="Times New Roman" w:hAnsi="Montserrat Medium" w:cs="Arial"/>
          <w:b/>
          <w:color w:val="595959"/>
          <w:sz w:val="22"/>
          <w:lang w:eastAsia="en-US"/>
        </w:rPr>
        <w:t xml:space="preserve"> a corto plazo</w:t>
      </w:r>
    </w:p>
    <w:p w14:paraId="48E3F7E5" w14:textId="77777777" w:rsidR="004D27FD" w:rsidRPr="00D56579" w:rsidRDefault="004D27FD" w:rsidP="002F131C">
      <w:pPr>
        <w:jc w:val="both"/>
        <w:rPr>
          <w:rFonts w:ascii="Montserrat Medium" w:eastAsia="Times New Roman" w:hAnsi="Montserrat Medium" w:cs="Tahoma"/>
          <w:color w:val="595959"/>
          <w:sz w:val="22"/>
          <w:lang w:eastAsia="en-US"/>
        </w:rPr>
      </w:pPr>
    </w:p>
    <w:p w14:paraId="6CA9F577" w14:textId="071E7312" w:rsidR="004D27FD" w:rsidRPr="00D56579" w:rsidRDefault="004D27FD" w:rsidP="002F131C">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w:t>
      </w:r>
      <w:r w:rsidR="00314FB4">
        <w:rPr>
          <w:rFonts w:ascii="Montserrat Medium" w:eastAsia="Times New Roman" w:hAnsi="Montserrat Medium" w:cs="Arial"/>
          <w:color w:val="595959"/>
          <w:sz w:val="22"/>
          <w:lang w:eastAsia="en-US"/>
        </w:rPr>
        <w:t>0</w:t>
      </w:r>
      <w:r w:rsidR="00A4586C" w:rsidRPr="00D56579">
        <w:rPr>
          <w:rFonts w:ascii="Montserrat Medium" w:eastAsia="Times New Roman" w:hAnsi="Montserrat Medium" w:cs="Arial"/>
          <w:color w:val="595959"/>
          <w:sz w:val="22"/>
          <w:lang w:eastAsia="en-US"/>
        </w:rPr>
        <w:t xml:space="preserve"> de </w:t>
      </w:r>
      <w:r w:rsidR="00314FB4">
        <w:rPr>
          <w:rFonts w:ascii="Montserrat Medium" w:eastAsia="Times New Roman" w:hAnsi="Montserrat Medium" w:cs="Arial"/>
          <w:color w:val="595959"/>
          <w:sz w:val="22"/>
          <w:lang w:eastAsia="en-US"/>
        </w:rPr>
        <w:t>junio</w:t>
      </w:r>
      <w:r w:rsidR="00A4586C" w:rsidRPr="00D56579">
        <w:rPr>
          <w:rFonts w:ascii="Montserrat Medium" w:eastAsia="Times New Roman" w:hAnsi="Montserrat Medium" w:cs="Arial"/>
          <w:color w:val="595959"/>
          <w:sz w:val="22"/>
          <w:lang w:eastAsia="en-US"/>
        </w:rPr>
        <w:t xml:space="preserve"> de 202</w:t>
      </w:r>
      <w:r w:rsidR="00DF1493">
        <w:rPr>
          <w:rFonts w:ascii="Montserrat Medium" w:eastAsia="Times New Roman" w:hAnsi="Montserrat Medium" w:cs="Arial"/>
          <w:color w:val="595959"/>
          <w:sz w:val="22"/>
          <w:lang w:eastAsia="en-US"/>
        </w:rPr>
        <w:t>5</w:t>
      </w:r>
      <w:r w:rsidRPr="00D56579">
        <w:rPr>
          <w:rFonts w:ascii="Montserrat Medium" w:eastAsia="Times New Roman" w:hAnsi="Montserrat Medium" w:cs="Arial"/>
          <w:color w:val="595959"/>
          <w:sz w:val="22"/>
          <w:lang w:eastAsia="en-US"/>
        </w:rPr>
        <w:t xml:space="preserve">, esta cuenta se encuentra integrada principalmente por el saldo de créditos </w:t>
      </w:r>
      <w:r w:rsidR="0067489C" w:rsidRPr="00D56579">
        <w:rPr>
          <w:rFonts w:ascii="Montserrat Medium" w:eastAsia="Times New Roman" w:hAnsi="Montserrat Medium" w:cs="Arial"/>
          <w:color w:val="595959"/>
          <w:sz w:val="22"/>
          <w:lang w:eastAsia="en-US"/>
        </w:rPr>
        <w:t xml:space="preserve">educativos </w:t>
      </w:r>
      <w:r w:rsidRPr="00D56579">
        <w:rPr>
          <w:rFonts w:ascii="Montserrat Medium" w:eastAsia="Times New Roman" w:hAnsi="Montserrat Medium" w:cs="Arial"/>
          <w:color w:val="595959"/>
          <w:sz w:val="22"/>
          <w:lang w:eastAsia="en-US"/>
        </w:rPr>
        <w:t>otorgados a organismos.</w:t>
      </w:r>
    </w:p>
    <w:p w14:paraId="4F3AB7F0" w14:textId="4AE5D7BD" w:rsidR="002A6721" w:rsidRPr="00D56579" w:rsidRDefault="002A6721" w:rsidP="002F131C">
      <w:pPr>
        <w:rPr>
          <w:rFonts w:ascii="Montserrat Medium" w:eastAsia="Times New Roman" w:hAnsi="Montserrat Medium" w:cs="Arial"/>
          <w:color w:val="595959"/>
          <w:sz w:val="22"/>
          <w:lang w:eastAsia="en-US"/>
        </w:rPr>
      </w:pPr>
    </w:p>
    <w:p w14:paraId="1AAF46A2" w14:textId="77777777" w:rsidR="001E3866" w:rsidRPr="00D56579" w:rsidRDefault="001E3866" w:rsidP="002F131C">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Otr</w:t>
      </w:r>
      <w:r w:rsidR="00E13F90" w:rsidRPr="00D56579">
        <w:rPr>
          <w:rFonts w:ascii="Montserrat Medium" w:eastAsia="Times New Roman" w:hAnsi="Montserrat Medium" w:cs="Arial"/>
          <w:b/>
          <w:color w:val="595959"/>
          <w:sz w:val="22"/>
          <w:lang w:eastAsia="en-US"/>
        </w:rPr>
        <w:t xml:space="preserve">os derechos a recibir efectivo o </w:t>
      </w:r>
      <w:r w:rsidRPr="00D56579">
        <w:rPr>
          <w:rFonts w:ascii="Montserrat Medium" w:eastAsia="Times New Roman" w:hAnsi="Montserrat Medium" w:cs="Arial"/>
          <w:b/>
          <w:color w:val="595959"/>
          <w:sz w:val="22"/>
          <w:lang w:eastAsia="en-US"/>
        </w:rPr>
        <w:t>equivalentes</w:t>
      </w:r>
      <w:r w:rsidR="00E13F90" w:rsidRPr="00D56579">
        <w:rPr>
          <w:rFonts w:ascii="Montserrat Medium" w:eastAsia="Times New Roman" w:hAnsi="Montserrat Medium" w:cs="Arial"/>
          <w:b/>
          <w:color w:val="595959"/>
          <w:sz w:val="22"/>
          <w:lang w:eastAsia="en-US"/>
        </w:rPr>
        <w:t xml:space="preserve"> a corto plazo</w:t>
      </w:r>
    </w:p>
    <w:p w14:paraId="51358387" w14:textId="77777777" w:rsidR="001E3866" w:rsidRPr="00D56579" w:rsidRDefault="001E3866" w:rsidP="002F131C">
      <w:pPr>
        <w:ind w:firstLine="567"/>
        <w:jc w:val="both"/>
        <w:rPr>
          <w:rFonts w:ascii="Montserrat Medium" w:eastAsia="Times New Roman" w:hAnsi="Montserrat Medium" w:cs="Arial"/>
          <w:color w:val="595959"/>
          <w:sz w:val="22"/>
          <w:lang w:eastAsia="en-US"/>
        </w:rPr>
      </w:pPr>
    </w:p>
    <w:p w14:paraId="0D03A13F" w14:textId="0CF60AF6" w:rsidR="001E3866" w:rsidRPr="00D56579" w:rsidRDefault="001E3866" w:rsidP="002F131C">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La cuenta de otr</w:t>
      </w:r>
      <w:r w:rsidR="00E13F90" w:rsidRPr="00D56579">
        <w:rPr>
          <w:rFonts w:ascii="Montserrat Medium" w:eastAsia="Times New Roman" w:hAnsi="Montserrat Medium" w:cs="Arial"/>
          <w:color w:val="595959"/>
          <w:sz w:val="22"/>
          <w:lang w:eastAsia="en-US"/>
        </w:rPr>
        <w:t>os derechos a recibir efectivo o</w:t>
      </w:r>
      <w:r w:rsidRPr="00D56579">
        <w:rPr>
          <w:rFonts w:ascii="Montserrat Medium" w:eastAsia="Times New Roman" w:hAnsi="Montserrat Medium" w:cs="Arial"/>
          <w:color w:val="595959"/>
          <w:sz w:val="22"/>
          <w:lang w:eastAsia="en-US"/>
        </w:rPr>
        <w:t xml:space="preserve"> equivalentes se integra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w:t>
      </w:r>
      <w:r w:rsidR="00323FD1">
        <w:rPr>
          <w:rFonts w:ascii="Montserrat Medium" w:eastAsia="Times New Roman" w:hAnsi="Montserrat Medium" w:cs="Arial"/>
          <w:color w:val="595959"/>
          <w:sz w:val="22"/>
          <w:lang w:eastAsia="en-US"/>
        </w:rPr>
        <w:t>0</w:t>
      </w:r>
      <w:r w:rsidR="00A4586C" w:rsidRPr="00D56579">
        <w:rPr>
          <w:rFonts w:ascii="Montserrat Medium" w:eastAsia="Times New Roman" w:hAnsi="Montserrat Medium" w:cs="Arial"/>
          <w:color w:val="595959"/>
          <w:sz w:val="22"/>
          <w:lang w:eastAsia="en-US"/>
        </w:rPr>
        <w:t xml:space="preserve"> de </w:t>
      </w:r>
      <w:r w:rsidR="00323FD1">
        <w:rPr>
          <w:rFonts w:ascii="Montserrat Medium" w:eastAsia="Times New Roman" w:hAnsi="Montserrat Medium" w:cs="Arial"/>
          <w:color w:val="595959"/>
          <w:sz w:val="22"/>
          <w:lang w:eastAsia="en-US"/>
        </w:rPr>
        <w:t>junio</w:t>
      </w:r>
      <w:r w:rsidR="00A4586C" w:rsidRPr="00D56579">
        <w:rPr>
          <w:rFonts w:ascii="Montserrat Medium" w:eastAsia="Times New Roman" w:hAnsi="Montserrat Medium" w:cs="Arial"/>
          <w:color w:val="595959"/>
          <w:sz w:val="22"/>
          <w:lang w:eastAsia="en-US"/>
        </w:rPr>
        <w:t xml:space="preserve"> de 202</w:t>
      </w:r>
      <w:r w:rsidR="00DF1493">
        <w:rPr>
          <w:rFonts w:ascii="Montserrat Medium" w:eastAsia="Times New Roman" w:hAnsi="Montserrat Medium" w:cs="Arial"/>
          <w:color w:val="595959"/>
          <w:sz w:val="22"/>
          <w:lang w:eastAsia="en-US"/>
        </w:rPr>
        <w:t>5</w:t>
      </w:r>
      <w:r w:rsidR="00D73B96"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como sigue:</w:t>
      </w:r>
    </w:p>
    <w:p w14:paraId="6A5EFA6E" w14:textId="77777777" w:rsidR="00BE5091" w:rsidRPr="00D56579" w:rsidRDefault="00BE5091" w:rsidP="002F131C">
      <w:pPr>
        <w:jc w:val="both"/>
        <w:rPr>
          <w:rFonts w:ascii="Montserrat Medium" w:eastAsia="Times New Roman" w:hAnsi="Montserrat Medium" w:cs="Arial"/>
          <w:color w:val="595959"/>
          <w:sz w:val="22"/>
          <w:lang w:eastAsia="en-US"/>
        </w:rPr>
      </w:pPr>
    </w:p>
    <w:tbl>
      <w:tblPr>
        <w:tblW w:w="8530" w:type="dxa"/>
        <w:jc w:val="center"/>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
      <w:tblGrid>
        <w:gridCol w:w="5212"/>
        <w:gridCol w:w="1659"/>
        <w:gridCol w:w="1659"/>
      </w:tblGrid>
      <w:tr w:rsidR="00CE3169" w:rsidRPr="00D56579" w14:paraId="4EFEB87A" w14:textId="77777777" w:rsidTr="006015CD">
        <w:trPr>
          <w:trHeight w:hRule="exact" w:val="436"/>
          <w:tblHeader/>
          <w:jc w:val="center"/>
        </w:trPr>
        <w:tc>
          <w:tcPr>
            <w:tcW w:w="5212" w:type="dxa"/>
            <w:tcBorders>
              <w:top w:val="single" w:sz="4" w:space="0" w:color="auto"/>
              <w:bottom w:val="single" w:sz="4" w:space="0" w:color="auto"/>
            </w:tcBorders>
            <w:shd w:val="clear" w:color="auto" w:fill="BFBFBF" w:themeFill="background1" w:themeFillShade="BF"/>
            <w:noWrap/>
            <w:vAlign w:val="center"/>
            <w:hideMark/>
          </w:tcPr>
          <w:p w14:paraId="5C79E5B5" w14:textId="77777777" w:rsidR="00CE3169" w:rsidRPr="00D56579" w:rsidRDefault="00CE3169" w:rsidP="002F131C">
            <w:pPr>
              <w:jc w:val="center"/>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Concepto</w:t>
            </w:r>
          </w:p>
        </w:tc>
        <w:tc>
          <w:tcPr>
            <w:tcW w:w="1659" w:type="dxa"/>
            <w:tcBorders>
              <w:top w:val="single" w:sz="4" w:space="0" w:color="auto"/>
              <w:bottom w:val="single" w:sz="4" w:space="0" w:color="auto"/>
            </w:tcBorders>
            <w:shd w:val="clear" w:color="auto" w:fill="BFBFBF" w:themeFill="background1" w:themeFillShade="BF"/>
            <w:vAlign w:val="center"/>
          </w:tcPr>
          <w:p w14:paraId="4B6E3EF9" w14:textId="71C78EB1" w:rsidR="00CE3169" w:rsidRPr="00D56579" w:rsidRDefault="00CE3169" w:rsidP="002F131C">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Al 3</w:t>
            </w:r>
            <w:r w:rsidR="00323FD1">
              <w:rPr>
                <w:rFonts w:ascii="Montserrat Medium" w:hAnsi="Montserrat Medium" w:cs="Calibri"/>
                <w:b/>
                <w:bCs/>
                <w:color w:val="000000"/>
                <w:sz w:val="18"/>
                <w:szCs w:val="18"/>
              </w:rPr>
              <w:t>0</w:t>
            </w:r>
            <w:r>
              <w:rPr>
                <w:rFonts w:ascii="Montserrat Medium" w:hAnsi="Montserrat Medium" w:cs="Calibri"/>
                <w:b/>
                <w:bCs/>
                <w:color w:val="000000"/>
                <w:sz w:val="18"/>
                <w:szCs w:val="18"/>
              </w:rPr>
              <w:t xml:space="preserve"> de </w:t>
            </w:r>
            <w:r w:rsidR="00323FD1">
              <w:rPr>
                <w:rFonts w:ascii="Montserrat Medium" w:hAnsi="Montserrat Medium" w:cs="Calibri"/>
                <w:b/>
                <w:bCs/>
                <w:color w:val="000000"/>
                <w:sz w:val="18"/>
                <w:szCs w:val="18"/>
              </w:rPr>
              <w:t>Junio</w:t>
            </w:r>
            <w:r>
              <w:rPr>
                <w:rFonts w:ascii="Montserrat Medium" w:hAnsi="Montserrat Medium" w:cs="Calibri"/>
                <w:b/>
                <w:bCs/>
                <w:color w:val="000000"/>
                <w:sz w:val="18"/>
                <w:szCs w:val="18"/>
              </w:rPr>
              <w:t xml:space="preserve"> de 2025</w:t>
            </w:r>
          </w:p>
        </w:tc>
        <w:tc>
          <w:tcPr>
            <w:tcW w:w="1659" w:type="dxa"/>
            <w:tcBorders>
              <w:top w:val="single" w:sz="4" w:space="0" w:color="auto"/>
              <w:bottom w:val="single" w:sz="4" w:space="0" w:color="auto"/>
            </w:tcBorders>
            <w:shd w:val="clear" w:color="auto" w:fill="BFBFBF" w:themeFill="background1" w:themeFillShade="BF"/>
            <w:vAlign w:val="center"/>
          </w:tcPr>
          <w:p w14:paraId="5F72B7B6" w14:textId="6DAF6458" w:rsidR="00CE3169" w:rsidRPr="00D56579" w:rsidRDefault="00CE3169" w:rsidP="002F131C">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2024</w:t>
            </w:r>
          </w:p>
        </w:tc>
      </w:tr>
      <w:tr w:rsidR="00314FB4" w:rsidRPr="00D56579" w14:paraId="6DCC0EB3" w14:textId="77777777" w:rsidTr="00153CD3">
        <w:trPr>
          <w:trHeight w:hRule="exact" w:val="227"/>
          <w:jc w:val="center"/>
        </w:trPr>
        <w:tc>
          <w:tcPr>
            <w:tcW w:w="5212" w:type="dxa"/>
            <w:tcBorders>
              <w:top w:val="single" w:sz="4" w:space="0" w:color="auto"/>
            </w:tcBorders>
            <w:shd w:val="clear" w:color="auto" w:fill="auto"/>
            <w:noWrap/>
            <w:vAlign w:val="bottom"/>
            <w:hideMark/>
          </w:tcPr>
          <w:p w14:paraId="1CF807B9" w14:textId="77777777" w:rsidR="00314FB4" w:rsidRPr="00D56579" w:rsidRDefault="00314FB4" w:rsidP="002F131C">
            <w:pPr>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Otros deudores</w:t>
            </w:r>
          </w:p>
        </w:tc>
        <w:tc>
          <w:tcPr>
            <w:tcW w:w="1659" w:type="dxa"/>
            <w:tcBorders>
              <w:top w:val="single" w:sz="4" w:space="0" w:color="auto"/>
            </w:tcBorders>
            <w:shd w:val="clear" w:color="auto" w:fill="auto"/>
            <w:vAlign w:val="center"/>
          </w:tcPr>
          <w:p w14:paraId="11981A47" w14:textId="04D920A8" w:rsidR="00314FB4" w:rsidRPr="00D56579" w:rsidRDefault="00314FB4" w:rsidP="002F131C">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34,779,773.16</w:t>
            </w:r>
          </w:p>
        </w:tc>
        <w:tc>
          <w:tcPr>
            <w:tcW w:w="1659" w:type="dxa"/>
            <w:tcBorders>
              <w:top w:val="single" w:sz="4" w:space="0" w:color="auto"/>
            </w:tcBorders>
            <w:shd w:val="clear" w:color="auto" w:fill="auto"/>
            <w:vAlign w:val="center"/>
          </w:tcPr>
          <w:p w14:paraId="1334DB41" w14:textId="27DC61F5" w:rsidR="00314FB4" w:rsidRPr="00D56579" w:rsidRDefault="00314FB4" w:rsidP="002F131C">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39,412,497.08</w:t>
            </w:r>
          </w:p>
        </w:tc>
      </w:tr>
      <w:tr w:rsidR="00314FB4" w:rsidRPr="00D56579" w14:paraId="09141953" w14:textId="77777777" w:rsidTr="00153CD3">
        <w:trPr>
          <w:trHeight w:hRule="exact" w:val="227"/>
          <w:jc w:val="center"/>
        </w:trPr>
        <w:tc>
          <w:tcPr>
            <w:tcW w:w="5212" w:type="dxa"/>
            <w:shd w:val="clear" w:color="auto" w:fill="auto"/>
            <w:noWrap/>
            <w:vAlign w:val="bottom"/>
            <w:hideMark/>
          </w:tcPr>
          <w:p w14:paraId="485CCACF" w14:textId="77777777" w:rsidR="00314FB4" w:rsidRPr="00D56579" w:rsidRDefault="00314FB4" w:rsidP="002F131C">
            <w:pPr>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Anticipos de participaciones a municipios</w:t>
            </w:r>
          </w:p>
        </w:tc>
        <w:tc>
          <w:tcPr>
            <w:tcW w:w="1659" w:type="dxa"/>
            <w:shd w:val="clear" w:color="auto" w:fill="auto"/>
            <w:vAlign w:val="center"/>
          </w:tcPr>
          <w:p w14:paraId="2ADD42B0" w14:textId="13DABA47" w:rsidR="00314FB4" w:rsidRPr="00D56579" w:rsidRDefault="00314FB4" w:rsidP="002F131C">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15,363,638.00</w:t>
            </w:r>
          </w:p>
        </w:tc>
        <w:tc>
          <w:tcPr>
            <w:tcW w:w="1659" w:type="dxa"/>
            <w:shd w:val="clear" w:color="auto" w:fill="auto"/>
            <w:vAlign w:val="center"/>
          </w:tcPr>
          <w:p w14:paraId="05542B77" w14:textId="41E70E8D" w:rsidR="00314FB4" w:rsidRPr="00D56579" w:rsidRDefault="00314FB4" w:rsidP="002F131C">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40,000,020.00</w:t>
            </w:r>
          </w:p>
        </w:tc>
      </w:tr>
      <w:tr w:rsidR="00314FB4" w:rsidRPr="00D56579" w14:paraId="7641059E" w14:textId="77777777" w:rsidTr="00153CD3">
        <w:trPr>
          <w:trHeight w:hRule="exact" w:val="227"/>
          <w:jc w:val="center"/>
        </w:trPr>
        <w:tc>
          <w:tcPr>
            <w:tcW w:w="5212" w:type="dxa"/>
            <w:shd w:val="clear" w:color="auto" w:fill="auto"/>
            <w:noWrap/>
            <w:vAlign w:val="bottom"/>
          </w:tcPr>
          <w:p w14:paraId="631C3541" w14:textId="56E7CE63" w:rsidR="00314FB4" w:rsidRPr="00D56579" w:rsidRDefault="00314FB4" w:rsidP="002F131C">
            <w:pPr>
              <w:rPr>
                <w:rFonts w:ascii="Montserrat Medium" w:eastAsia="Times New Roman" w:hAnsi="Montserrat Medium" w:cs="Tahoma"/>
                <w:sz w:val="18"/>
                <w:szCs w:val="18"/>
                <w:lang w:eastAsia="en-US"/>
              </w:rPr>
            </w:pPr>
            <w:r w:rsidRPr="00CE3169">
              <w:rPr>
                <w:rFonts w:ascii="Montserrat Medium" w:eastAsia="Times New Roman" w:hAnsi="Montserrat Medium" w:cs="Tahoma"/>
                <w:sz w:val="18"/>
                <w:szCs w:val="18"/>
                <w:lang w:eastAsia="en-US"/>
              </w:rPr>
              <w:t>Viáticos a reserva de comprobar (Anticipados)</w:t>
            </w:r>
          </w:p>
        </w:tc>
        <w:tc>
          <w:tcPr>
            <w:tcW w:w="1659" w:type="dxa"/>
            <w:shd w:val="clear" w:color="auto" w:fill="auto"/>
            <w:vAlign w:val="center"/>
          </w:tcPr>
          <w:p w14:paraId="4C33EFFB" w14:textId="44866B56" w:rsidR="00314FB4" w:rsidRPr="00D56579" w:rsidRDefault="00314FB4" w:rsidP="002F131C">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479,454.30</w:t>
            </w:r>
          </w:p>
        </w:tc>
        <w:tc>
          <w:tcPr>
            <w:tcW w:w="1659" w:type="dxa"/>
            <w:shd w:val="clear" w:color="auto" w:fill="auto"/>
            <w:vAlign w:val="center"/>
          </w:tcPr>
          <w:p w14:paraId="7F8A4333" w14:textId="13CB9020" w:rsidR="00314FB4" w:rsidRPr="00D56579" w:rsidRDefault="00314FB4" w:rsidP="002F131C">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2,279.97</w:t>
            </w:r>
          </w:p>
        </w:tc>
      </w:tr>
      <w:tr w:rsidR="00314FB4" w:rsidRPr="00D56579" w14:paraId="0A0BD652" w14:textId="77777777" w:rsidTr="00153CD3">
        <w:trPr>
          <w:trHeight w:hRule="exact" w:val="187"/>
          <w:jc w:val="center"/>
        </w:trPr>
        <w:tc>
          <w:tcPr>
            <w:tcW w:w="5212" w:type="dxa"/>
            <w:shd w:val="clear" w:color="auto" w:fill="auto"/>
            <w:noWrap/>
            <w:vAlign w:val="bottom"/>
            <w:hideMark/>
          </w:tcPr>
          <w:p w14:paraId="3781759C" w14:textId="77777777" w:rsidR="00314FB4" w:rsidRPr="00D56579" w:rsidRDefault="00314FB4" w:rsidP="002F131C">
            <w:pPr>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Adeudos de dependencias y unidades administrativas</w:t>
            </w:r>
          </w:p>
        </w:tc>
        <w:tc>
          <w:tcPr>
            <w:tcW w:w="1659" w:type="dxa"/>
            <w:shd w:val="clear" w:color="auto" w:fill="auto"/>
            <w:vAlign w:val="center"/>
          </w:tcPr>
          <w:p w14:paraId="7C89BB35" w14:textId="276207E3" w:rsidR="00314FB4" w:rsidRPr="00D56579" w:rsidRDefault="00314FB4" w:rsidP="002F131C">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74,837.69</w:t>
            </w:r>
          </w:p>
        </w:tc>
        <w:tc>
          <w:tcPr>
            <w:tcW w:w="1659" w:type="dxa"/>
            <w:shd w:val="clear" w:color="auto" w:fill="auto"/>
            <w:vAlign w:val="center"/>
          </w:tcPr>
          <w:p w14:paraId="4ADFE2C7" w14:textId="6D377D27" w:rsidR="00314FB4" w:rsidRPr="00D56579" w:rsidRDefault="00314FB4" w:rsidP="002F131C">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1,119,901.69</w:t>
            </w:r>
          </w:p>
        </w:tc>
      </w:tr>
      <w:tr w:rsidR="00314FB4" w:rsidRPr="00D56579" w14:paraId="369D2671" w14:textId="77777777" w:rsidTr="00153CD3">
        <w:trPr>
          <w:trHeight w:hRule="exact" w:val="227"/>
          <w:jc w:val="center"/>
        </w:trPr>
        <w:tc>
          <w:tcPr>
            <w:tcW w:w="5212" w:type="dxa"/>
            <w:tcBorders>
              <w:bottom w:val="nil"/>
            </w:tcBorders>
            <w:shd w:val="clear" w:color="auto" w:fill="auto"/>
            <w:noWrap/>
            <w:vAlign w:val="bottom"/>
            <w:hideMark/>
          </w:tcPr>
          <w:p w14:paraId="0329BC18" w14:textId="77777777" w:rsidR="00314FB4" w:rsidRPr="00D56579" w:rsidRDefault="00314FB4" w:rsidP="002F131C">
            <w:pPr>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Depósitos en garantía</w:t>
            </w:r>
          </w:p>
        </w:tc>
        <w:tc>
          <w:tcPr>
            <w:tcW w:w="1659" w:type="dxa"/>
            <w:tcBorders>
              <w:bottom w:val="nil"/>
            </w:tcBorders>
            <w:shd w:val="clear" w:color="auto" w:fill="auto"/>
            <w:vAlign w:val="center"/>
          </w:tcPr>
          <w:p w14:paraId="73218FF3" w14:textId="6FB7DABC" w:rsidR="00314FB4" w:rsidRPr="00D56579" w:rsidRDefault="00314FB4" w:rsidP="002F131C">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11,468,124.90</w:t>
            </w:r>
          </w:p>
        </w:tc>
        <w:tc>
          <w:tcPr>
            <w:tcW w:w="1659" w:type="dxa"/>
            <w:tcBorders>
              <w:bottom w:val="nil"/>
            </w:tcBorders>
            <w:shd w:val="clear" w:color="auto" w:fill="auto"/>
            <w:vAlign w:val="center"/>
          </w:tcPr>
          <w:p w14:paraId="2D9E8D3D" w14:textId="5A8E2445" w:rsidR="00314FB4" w:rsidRPr="00D56579" w:rsidRDefault="00314FB4" w:rsidP="002F131C">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15,563,052.44</w:t>
            </w:r>
          </w:p>
        </w:tc>
      </w:tr>
      <w:tr w:rsidR="00314FB4" w:rsidRPr="00D56579" w14:paraId="1EF54927" w14:textId="77777777" w:rsidTr="00153CD3">
        <w:trPr>
          <w:trHeight w:hRule="exact" w:val="227"/>
          <w:jc w:val="center"/>
        </w:trPr>
        <w:tc>
          <w:tcPr>
            <w:tcW w:w="5212" w:type="dxa"/>
            <w:tcBorders>
              <w:top w:val="nil"/>
              <w:bottom w:val="nil"/>
            </w:tcBorders>
            <w:shd w:val="clear" w:color="auto" w:fill="auto"/>
            <w:noWrap/>
            <w:vAlign w:val="bottom"/>
            <w:hideMark/>
          </w:tcPr>
          <w:p w14:paraId="45D88941" w14:textId="77777777" w:rsidR="00314FB4" w:rsidRPr="00D56579" w:rsidRDefault="00314FB4" w:rsidP="002F131C">
            <w:pPr>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Subsidio al empleo</w:t>
            </w:r>
          </w:p>
        </w:tc>
        <w:tc>
          <w:tcPr>
            <w:tcW w:w="1659" w:type="dxa"/>
            <w:tcBorders>
              <w:top w:val="nil"/>
              <w:bottom w:val="nil"/>
            </w:tcBorders>
            <w:shd w:val="clear" w:color="auto" w:fill="auto"/>
            <w:vAlign w:val="center"/>
          </w:tcPr>
          <w:p w14:paraId="1F16520A" w14:textId="2EAFA8D6" w:rsidR="00314FB4" w:rsidRPr="00D56579" w:rsidRDefault="00314FB4" w:rsidP="002F131C">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-32,629.16</w:t>
            </w:r>
          </w:p>
        </w:tc>
        <w:tc>
          <w:tcPr>
            <w:tcW w:w="1659" w:type="dxa"/>
            <w:tcBorders>
              <w:top w:val="nil"/>
              <w:bottom w:val="nil"/>
            </w:tcBorders>
            <w:shd w:val="clear" w:color="auto" w:fill="auto"/>
            <w:vAlign w:val="center"/>
          </w:tcPr>
          <w:p w14:paraId="365611CA" w14:textId="13DA27A8" w:rsidR="00314FB4" w:rsidRPr="00D56579" w:rsidRDefault="00314FB4" w:rsidP="002F131C">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-32,629.16</w:t>
            </w:r>
          </w:p>
        </w:tc>
      </w:tr>
      <w:tr w:rsidR="00314FB4" w:rsidRPr="00D56579" w14:paraId="041FFA1C" w14:textId="77777777" w:rsidTr="00153CD3">
        <w:trPr>
          <w:trHeight w:hRule="exact" w:val="227"/>
          <w:jc w:val="center"/>
        </w:trPr>
        <w:tc>
          <w:tcPr>
            <w:tcW w:w="5212" w:type="dxa"/>
            <w:tcBorders>
              <w:top w:val="single" w:sz="4" w:space="0" w:color="auto"/>
              <w:bottom w:val="single" w:sz="4" w:space="0" w:color="auto"/>
            </w:tcBorders>
            <w:shd w:val="clear" w:color="auto" w:fill="auto"/>
            <w:noWrap/>
            <w:vAlign w:val="bottom"/>
            <w:hideMark/>
          </w:tcPr>
          <w:p w14:paraId="43041DAE" w14:textId="77777777" w:rsidR="00314FB4" w:rsidRPr="00D56579" w:rsidRDefault="00314FB4" w:rsidP="002F131C">
            <w:pPr>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Total</w:t>
            </w:r>
          </w:p>
        </w:tc>
        <w:tc>
          <w:tcPr>
            <w:tcW w:w="1659" w:type="dxa"/>
            <w:tcBorders>
              <w:top w:val="single" w:sz="4" w:space="0" w:color="auto"/>
              <w:bottom w:val="single" w:sz="4" w:space="0" w:color="auto"/>
            </w:tcBorders>
            <w:shd w:val="clear" w:color="auto" w:fill="auto"/>
            <w:vAlign w:val="center"/>
          </w:tcPr>
          <w:p w14:paraId="0FF3851D" w14:textId="506119CE" w:rsidR="00314FB4" w:rsidRPr="00D56579" w:rsidRDefault="00314FB4" w:rsidP="002F131C">
            <w:pPr>
              <w:jc w:val="right"/>
              <w:rPr>
                <w:rFonts w:ascii="Montserrat Medium" w:eastAsia="Times New Roman" w:hAnsi="Montserrat Medium" w:cs="Tahoma"/>
                <w:b/>
                <w:sz w:val="18"/>
                <w:szCs w:val="18"/>
                <w:lang w:eastAsia="en-US"/>
              </w:rPr>
            </w:pPr>
            <w:r>
              <w:rPr>
                <w:rFonts w:ascii="Montserrat Medium" w:hAnsi="Montserrat Medium" w:cs="Calibri"/>
                <w:b/>
                <w:bCs/>
                <w:color w:val="000000"/>
                <w:sz w:val="18"/>
                <w:szCs w:val="18"/>
              </w:rPr>
              <w:t>62,133,198.89</w:t>
            </w:r>
          </w:p>
        </w:tc>
        <w:tc>
          <w:tcPr>
            <w:tcW w:w="1659" w:type="dxa"/>
            <w:tcBorders>
              <w:top w:val="single" w:sz="4" w:space="0" w:color="auto"/>
              <w:bottom w:val="single" w:sz="4" w:space="0" w:color="auto"/>
            </w:tcBorders>
            <w:shd w:val="clear" w:color="auto" w:fill="auto"/>
            <w:vAlign w:val="center"/>
          </w:tcPr>
          <w:p w14:paraId="0C466867" w14:textId="60175BD4" w:rsidR="00314FB4" w:rsidRPr="00D56579" w:rsidRDefault="00314FB4" w:rsidP="002F131C">
            <w:pPr>
              <w:jc w:val="right"/>
              <w:rPr>
                <w:rFonts w:ascii="Montserrat Medium" w:eastAsia="Times New Roman" w:hAnsi="Montserrat Medium" w:cs="Tahoma"/>
                <w:b/>
                <w:sz w:val="18"/>
                <w:szCs w:val="18"/>
                <w:lang w:eastAsia="en-US"/>
              </w:rPr>
            </w:pPr>
            <w:r>
              <w:rPr>
                <w:rFonts w:ascii="Montserrat Medium" w:hAnsi="Montserrat Medium" w:cs="Calibri"/>
                <w:b/>
                <w:bCs/>
                <w:color w:val="000000"/>
                <w:sz w:val="18"/>
                <w:szCs w:val="18"/>
              </w:rPr>
              <w:t>96,065,122.02</w:t>
            </w:r>
          </w:p>
        </w:tc>
      </w:tr>
    </w:tbl>
    <w:p w14:paraId="7E249520" w14:textId="77777777" w:rsidR="00BE5091" w:rsidRPr="00D56579" w:rsidRDefault="00BE5091" w:rsidP="002F131C">
      <w:pPr>
        <w:jc w:val="both"/>
        <w:rPr>
          <w:rFonts w:ascii="Montserrat Medium" w:eastAsia="Times New Roman" w:hAnsi="Montserrat Medium" w:cs="Arial"/>
          <w:color w:val="595959"/>
          <w:sz w:val="22"/>
          <w:lang w:eastAsia="en-US"/>
        </w:rPr>
      </w:pPr>
    </w:p>
    <w:p w14:paraId="08B671BE" w14:textId="2D369FD4" w:rsidR="001E3866" w:rsidRPr="007B6DA4" w:rsidRDefault="00D97982" w:rsidP="002F131C">
      <w:pPr>
        <w:rPr>
          <w:rFonts w:ascii="Montserrat Medium" w:eastAsia="Times New Roman" w:hAnsi="Montserrat Medium" w:cs="Arial"/>
          <w:b/>
          <w:iCs/>
          <w:color w:val="595959"/>
          <w:sz w:val="22"/>
        </w:rPr>
      </w:pPr>
      <w:r w:rsidRPr="007B6DA4">
        <w:rPr>
          <w:rFonts w:ascii="Montserrat Medium" w:eastAsia="Times New Roman" w:hAnsi="Montserrat Medium" w:cs="Arial"/>
          <w:b/>
          <w:iCs/>
          <w:color w:val="595959"/>
          <w:sz w:val="22"/>
        </w:rPr>
        <w:t>3</w:t>
      </w:r>
      <w:r w:rsidR="00604589" w:rsidRPr="007B6DA4">
        <w:rPr>
          <w:rFonts w:ascii="Montserrat Medium" w:eastAsia="Times New Roman" w:hAnsi="Montserrat Medium" w:cs="Arial"/>
          <w:b/>
          <w:iCs/>
          <w:color w:val="595959"/>
          <w:sz w:val="22"/>
        </w:rPr>
        <w:t>.</w:t>
      </w:r>
      <w:r w:rsidR="00317E55" w:rsidRPr="007B6DA4">
        <w:rPr>
          <w:rFonts w:ascii="Montserrat Medium" w:eastAsia="Times New Roman" w:hAnsi="Montserrat Medium" w:cs="Arial"/>
          <w:b/>
          <w:iCs/>
          <w:color w:val="595959"/>
          <w:sz w:val="22"/>
        </w:rPr>
        <w:t xml:space="preserve"> </w:t>
      </w:r>
      <w:r w:rsidR="00466D7E" w:rsidRPr="007B6DA4">
        <w:rPr>
          <w:rFonts w:ascii="Montserrat Medium" w:eastAsia="Times New Roman" w:hAnsi="Montserrat Medium" w:cs="Arial"/>
          <w:b/>
          <w:iCs/>
          <w:color w:val="595959"/>
          <w:sz w:val="22"/>
        </w:rPr>
        <w:t>Derechos</w:t>
      </w:r>
      <w:r w:rsidR="001E3866" w:rsidRPr="007B6DA4">
        <w:rPr>
          <w:rFonts w:ascii="Montserrat Medium" w:eastAsia="Times New Roman" w:hAnsi="Montserrat Medium" w:cs="Arial"/>
          <w:b/>
          <w:iCs/>
          <w:color w:val="595959"/>
          <w:sz w:val="22"/>
        </w:rPr>
        <w:t xml:space="preserve"> a Recibir Bienes o Servicios </w:t>
      </w:r>
    </w:p>
    <w:p w14:paraId="5A362B09" w14:textId="77777777" w:rsidR="001E3866" w:rsidRPr="007B6DA4" w:rsidRDefault="001E3866" w:rsidP="002F131C">
      <w:pPr>
        <w:jc w:val="both"/>
        <w:rPr>
          <w:rFonts w:ascii="Montserrat Medium" w:eastAsia="Times New Roman" w:hAnsi="Montserrat Medium" w:cs="Tahoma"/>
          <w:color w:val="595959"/>
          <w:sz w:val="22"/>
          <w:lang w:eastAsia="en-US"/>
        </w:rPr>
      </w:pPr>
    </w:p>
    <w:p w14:paraId="6B1DEE21" w14:textId="77777777" w:rsidR="001E3866" w:rsidRPr="007B6DA4" w:rsidRDefault="001E3866" w:rsidP="002F131C">
      <w:pPr>
        <w:jc w:val="both"/>
        <w:rPr>
          <w:rFonts w:ascii="Montserrat Medium" w:eastAsia="Times New Roman" w:hAnsi="Montserrat Medium" w:cs="Arial"/>
          <w:color w:val="595959"/>
          <w:sz w:val="22"/>
          <w:lang w:eastAsia="en-US"/>
        </w:rPr>
      </w:pPr>
      <w:r w:rsidRPr="007B6DA4">
        <w:rPr>
          <w:rFonts w:ascii="Montserrat Medium" w:eastAsia="Times New Roman" w:hAnsi="Montserrat Medium" w:cs="Arial"/>
          <w:color w:val="595959"/>
          <w:sz w:val="22"/>
          <w:lang w:eastAsia="en-US"/>
        </w:rPr>
        <w:t xml:space="preserve">Representa los anticipos entregados previos a la recepción parcial o total de bienes o prestación de servicios, que serán exigibles en un plazo menor o igual a doce meses. </w:t>
      </w:r>
    </w:p>
    <w:p w14:paraId="76455D79" w14:textId="77777777" w:rsidR="000C3F27" w:rsidRPr="007B6DA4" w:rsidRDefault="000C3F27" w:rsidP="002F131C">
      <w:pPr>
        <w:jc w:val="both"/>
        <w:rPr>
          <w:rFonts w:ascii="Montserrat Medium" w:eastAsia="Times New Roman" w:hAnsi="Montserrat Medium" w:cs="Arial"/>
          <w:color w:val="595959"/>
          <w:sz w:val="22"/>
          <w:lang w:eastAsia="en-US"/>
        </w:rPr>
      </w:pPr>
    </w:p>
    <w:p w14:paraId="5E1FE3F7" w14:textId="0CF7BD13" w:rsidR="00FF0C2E" w:rsidRPr="007B6DA4" w:rsidRDefault="001E3866" w:rsidP="002F131C">
      <w:pPr>
        <w:jc w:val="both"/>
        <w:rPr>
          <w:rFonts w:ascii="Montserrat Medium" w:eastAsia="Times New Roman" w:hAnsi="Montserrat Medium" w:cs="Arial"/>
          <w:color w:val="595959"/>
          <w:sz w:val="22"/>
          <w:lang w:eastAsia="en-US"/>
        </w:rPr>
      </w:pPr>
      <w:r w:rsidRPr="007B6DA4">
        <w:rPr>
          <w:rFonts w:ascii="Montserrat Medium" w:eastAsia="Times New Roman" w:hAnsi="Montserrat Medium" w:cs="Arial"/>
          <w:color w:val="595959"/>
          <w:sz w:val="22"/>
          <w:lang w:eastAsia="en-US"/>
        </w:rPr>
        <w:t xml:space="preserve">Su composición </w:t>
      </w:r>
      <w:r w:rsidR="000901FA" w:rsidRPr="007B6DA4">
        <w:rPr>
          <w:rFonts w:ascii="Montserrat Medium" w:eastAsia="Times New Roman" w:hAnsi="Montserrat Medium" w:cs="Arial"/>
          <w:color w:val="595959"/>
          <w:sz w:val="22"/>
          <w:lang w:eastAsia="en-US"/>
        </w:rPr>
        <w:t>a</w:t>
      </w:r>
      <w:r w:rsidR="00A4586C" w:rsidRPr="007B6DA4">
        <w:rPr>
          <w:rFonts w:ascii="Montserrat Medium" w:eastAsia="Times New Roman" w:hAnsi="Montserrat Medium" w:cs="Arial"/>
          <w:color w:val="595959"/>
          <w:sz w:val="22"/>
          <w:lang w:eastAsia="en-US"/>
        </w:rPr>
        <w:t>l 3</w:t>
      </w:r>
      <w:r w:rsidR="0037070D">
        <w:rPr>
          <w:rFonts w:ascii="Montserrat Medium" w:eastAsia="Times New Roman" w:hAnsi="Montserrat Medium" w:cs="Arial"/>
          <w:color w:val="595959"/>
          <w:sz w:val="22"/>
          <w:lang w:eastAsia="en-US"/>
        </w:rPr>
        <w:t>0</w:t>
      </w:r>
      <w:r w:rsidR="00A4586C" w:rsidRPr="007B6DA4">
        <w:rPr>
          <w:rFonts w:ascii="Montserrat Medium" w:eastAsia="Times New Roman" w:hAnsi="Montserrat Medium" w:cs="Arial"/>
          <w:color w:val="595959"/>
          <w:sz w:val="22"/>
          <w:lang w:eastAsia="en-US"/>
        </w:rPr>
        <w:t xml:space="preserve"> de </w:t>
      </w:r>
      <w:r w:rsidR="0037070D">
        <w:rPr>
          <w:rFonts w:ascii="Montserrat Medium" w:eastAsia="Times New Roman" w:hAnsi="Montserrat Medium" w:cs="Arial"/>
          <w:color w:val="595959"/>
          <w:sz w:val="22"/>
          <w:lang w:eastAsia="en-US"/>
        </w:rPr>
        <w:t>junio</w:t>
      </w:r>
      <w:r w:rsidR="00A4586C" w:rsidRPr="007B6DA4">
        <w:rPr>
          <w:rFonts w:ascii="Montserrat Medium" w:eastAsia="Times New Roman" w:hAnsi="Montserrat Medium" w:cs="Arial"/>
          <w:color w:val="595959"/>
          <w:sz w:val="22"/>
          <w:lang w:eastAsia="en-US"/>
        </w:rPr>
        <w:t xml:space="preserve"> de 202</w:t>
      </w:r>
      <w:r w:rsidR="00CE3169" w:rsidRPr="007B6DA4">
        <w:rPr>
          <w:rFonts w:ascii="Montserrat Medium" w:eastAsia="Times New Roman" w:hAnsi="Montserrat Medium" w:cs="Arial"/>
          <w:color w:val="595959"/>
          <w:sz w:val="22"/>
          <w:lang w:eastAsia="en-US"/>
        </w:rPr>
        <w:t>5</w:t>
      </w:r>
      <w:r w:rsidR="00D73B96" w:rsidRPr="007B6DA4">
        <w:rPr>
          <w:rFonts w:ascii="Montserrat Medium" w:eastAsia="Times New Roman" w:hAnsi="Montserrat Medium" w:cs="Arial"/>
          <w:color w:val="595959"/>
          <w:sz w:val="22"/>
          <w:lang w:eastAsia="en-US"/>
        </w:rPr>
        <w:t xml:space="preserve">, </w:t>
      </w:r>
      <w:r w:rsidRPr="007B6DA4">
        <w:rPr>
          <w:rFonts w:ascii="Montserrat Medium" w:eastAsia="Times New Roman" w:hAnsi="Montserrat Medium" w:cs="Arial"/>
          <w:color w:val="595959"/>
          <w:sz w:val="22"/>
          <w:lang w:eastAsia="en-US"/>
        </w:rPr>
        <w:t xml:space="preserve">corresponde a anticipos a proveedores de bienes y prestación de servicios, así como a contratistas de obras públicas como sigue: </w:t>
      </w:r>
    </w:p>
    <w:p w14:paraId="4B009C43" w14:textId="77777777" w:rsidR="006015CD" w:rsidRPr="007B6DA4" w:rsidRDefault="006015CD" w:rsidP="002F131C">
      <w:pPr>
        <w:jc w:val="both"/>
        <w:rPr>
          <w:rFonts w:ascii="Montserrat Medium" w:eastAsia="Times New Roman" w:hAnsi="Montserrat Medium" w:cs="Arial"/>
          <w:color w:val="595959"/>
          <w:sz w:val="22"/>
          <w:lang w:eastAsia="en-US"/>
        </w:rPr>
      </w:pPr>
    </w:p>
    <w:tbl>
      <w:tblPr>
        <w:tblpPr w:leftFromText="141" w:rightFromText="141" w:vertAnchor="text" w:horzAnchor="margin" w:tblpXSpec="center" w:tblpY="86"/>
        <w:tblW w:w="970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27"/>
        <w:gridCol w:w="1310"/>
        <w:gridCol w:w="823"/>
        <w:gridCol w:w="1276"/>
        <w:gridCol w:w="1276"/>
        <w:gridCol w:w="1697"/>
      </w:tblGrid>
      <w:tr w:rsidR="000A66EE" w:rsidRPr="007B6DA4" w14:paraId="12AC50FD" w14:textId="77777777" w:rsidTr="00DC2F14">
        <w:trPr>
          <w:trHeight w:hRule="exact" w:val="454"/>
        </w:trPr>
        <w:tc>
          <w:tcPr>
            <w:tcW w:w="3327" w:type="dxa"/>
            <w:tcBorders>
              <w:bottom w:val="single" w:sz="4" w:space="0" w:color="auto"/>
            </w:tcBorders>
            <w:shd w:val="clear" w:color="auto" w:fill="BFBFBF" w:themeFill="background1" w:themeFillShade="BF"/>
            <w:vAlign w:val="center"/>
            <w:hideMark/>
          </w:tcPr>
          <w:p w14:paraId="25FA5538" w14:textId="77777777" w:rsidR="000A66EE" w:rsidRPr="007B6DA4" w:rsidRDefault="000A66EE" w:rsidP="002F131C">
            <w:pPr>
              <w:jc w:val="center"/>
              <w:rPr>
                <w:rFonts w:ascii="Montserrat Medium" w:hAnsi="Montserrat Medium" w:cs="Calibri"/>
                <w:b/>
                <w:bCs/>
                <w:sz w:val="16"/>
                <w:szCs w:val="18"/>
                <w:lang w:eastAsia="es-MX"/>
              </w:rPr>
            </w:pPr>
            <w:r w:rsidRPr="007B6DA4">
              <w:rPr>
                <w:rFonts w:ascii="Montserrat Medium" w:hAnsi="Montserrat Medium" w:cs="Calibri"/>
                <w:b/>
                <w:bCs/>
                <w:sz w:val="16"/>
                <w:szCs w:val="18"/>
                <w:lang w:eastAsia="es-MX"/>
              </w:rPr>
              <w:t>Concepto</w:t>
            </w:r>
          </w:p>
        </w:tc>
        <w:tc>
          <w:tcPr>
            <w:tcW w:w="1310" w:type="dxa"/>
            <w:tcBorders>
              <w:bottom w:val="single" w:sz="4" w:space="0" w:color="auto"/>
            </w:tcBorders>
            <w:shd w:val="clear" w:color="auto" w:fill="BFBFBF" w:themeFill="background1" w:themeFillShade="BF"/>
            <w:vAlign w:val="center"/>
            <w:hideMark/>
          </w:tcPr>
          <w:p w14:paraId="0FA3FA52" w14:textId="77777777" w:rsidR="000A66EE" w:rsidRPr="007B6DA4" w:rsidRDefault="000A66EE" w:rsidP="002F131C">
            <w:pPr>
              <w:jc w:val="center"/>
              <w:rPr>
                <w:rFonts w:ascii="Montserrat Medium" w:hAnsi="Montserrat Medium" w:cs="Calibri"/>
                <w:b/>
                <w:bCs/>
                <w:sz w:val="16"/>
                <w:szCs w:val="18"/>
                <w:lang w:eastAsia="es-MX"/>
              </w:rPr>
            </w:pPr>
            <w:r w:rsidRPr="007B6DA4">
              <w:rPr>
                <w:rFonts w:ascii="Montserrat Medium" w:hAnsi="Montserrat Medium" w:cs="Calibri"/>
                <w:b/>
                <w:bCs/>
                <w:sz w:val="16"/>
                <w:szCs w:val="18"/>
                <w:lang w:eastAsia="es-MX"/>
              </w:rPr>
              <w:t>90 días</w:t>
            </w:r>
          </w:p>
        </w:tc>
        <w:tc>
          <w:tcPr>
            <w:tcW w:w="823" w:type="dxa"/>
            <w:tcBorders>
              <w:bottom w:val="single" w:sz="4" w:space="0" w:color="auto"/>
            </w:tcBorders>
            <w:shd w:val="clear" w:color="auto" w:fill="BFBFBF" w:themeFill="background1" w:themeFillShade="BF"/>
            <w:vAlign w:val="center"/>
            <w:hideMark/>
          </w:tcPr>
          <w:p w14:paraId="20C6DF60" w14:textId="77777777" w:rsidR="000A66EE" w:rsidRPr="007B6DA4" w:rsidRDefault="000A66EE" w:rsidP="002F131C">
            <w:pPr>
              <w:jc w:val="center"/>
              <w:rPr>
                <w:rFonts w:ascii="Montserrat Medium" w:hAnsi="Montserrat Medium" w:cs="Calibri"/>
                <w:b/>
                <w:bCs/>
                <w:sz w:val="16"/>
                <w:szCs w:val="18"/>
                <w:lang w:eastAsia="es-MX"/>
              </w:rPr>
            </w:pPr>
            <w:r w:rsidRPr="007B6DA4">
              <w:rPr>
                <w:rFonts w:ascii="Montserrat Medium" w:hAnsi="Montserrat Medium" w:cs="Calibri"/>
                <w:b/>
                <w:bCs/>
                <w:sz w:val="16"/>
                <w:szCs w:val="18"/>
                <w:lang w:eastAsia="es-MX"/>
              </w:rPr>
              <w:t>180 días</w:t>
            </w:r>
          </w:p>
        </w:tc>
        <w:tc>
          <w:tcPr>
            <w:tcW w:w="1276" w:type="dxa"/>
            <w:tcBorders>
              <w:bottom w:val="single" w:sz="4" w:space="0" w:color="auto"/>
            </w:tcBorders>
            <w:shd w:val="clear" w:color="auto" w:fill="BFBFBF" w:themeFill="background1" w:themeFillShade="BF"/>
            <w:vAlign w:val="center"/>
            <w:hideMark/>
          </w:tcPr>
          <w:p w14:paraId="08743993" w14:textId="77777777" w:rsidR="000A66EE" w:rsidRPr="007B6DA4" w:rsidRDefault="000A66EE" w:rsidP="002F131C">
            <w:pPr>
              <w:jc w:val="center"/>
              <w:rPr>
                <w:rFonts w:ascii="Montserrat Medium" w:hAnsi="Montserrat Medium" w:cs="Calibri"/>
                <w:b/>
                <w:bCs/>
                <w:sz w:val="16"/>
                <w:szCs w:val="18"/>
                <w:lang w:eastAsia="es-MX"/>
              </w:rPr>
            </w:pPr>
            <w:r w:rsidRPr="007B6DA4">
              <w:rPr>
                <w:rFonts w:ascii="Montserrat Medium" w:hAnsi="Montserrat Medium" w:cs="Calibri"/>
                <w:b/>
                <w:bCs/>
                <w:sz w:val="16"/>
                <w:szCs w:val="18"/>
                <w:lang w:eastAsia="es-MX"/>
              </w:rPr>
              <w:t>Menor o igual a 365 días</w:t>
            </w:r>
          </w:p>
        </w:tc>
        <w:tc>
          <w:tcPr>
            <w:tcW w:w="1276" w:type="dxa"/>
            <w:tcBorders>
              <w:bottom w:val="single" w:sz="4" w:space="0" w:color="auto"/>
            </w:tcBorders>
            <w:shd w:val="clear" w:color="auto" w:fill="BFBFBF" w:themeFill="background1" w:themeFillShade="BF"/>
            <w:vAlign w:val="center"/>
            <w:hideMark/>
          </w:tcPr>
          <w:p w14:paraId="6DD16BC1" w14:textId="77777777" w:rsidR="000A66EE" w:rsidRPr="007B6DA4" w:rsidRDefault="000A66EE" w:rsidP="002F131C">
            <w:pPr>
              <w:jc w:val="center"/>
              <w:rPr>
                <w:rFonts w:ascii="Montserrat Medium" w:hAnsi="Montserrat Medium" w:cs="Calibri"/>
                <w:b/>
                <w:bCs/>
                <w:sz w:val="16"/>
                <w:szCs w:val="18"/>
                <w:lang w:eastAsia="es-MX"/>
              </w:rPr>
            </w:pPr>
            <w:r w:rsidRPr="007B6DA4">
              <w:rPr>
                <w:rFonts w:ascii="Montserrat Medium" w:hAnsi="Montserrat Medium" w:cs="Calibri"/>
                <w:b/>
                <w:bCs/>
                <w:sz w:val="16"/>
                <w:szCs w:val="18"/>
                <w:lang w:eastAsia="es-MX"/>
              </w:rPr>
              <w:t xml:space="preserve">Mayor a </w:t>
            </w:r>
          </w:p>
          <w:p w14:paraId="161FC387" w14:textId="77777777" w:rsidR="000A66EE" w:rsidRPr="007B6DA4" w:rsidRDefault="000A66EE" w:rsidP="002F131C">
            <w:pPr>
              <w:jc w:val="center"/>
              <w:rPr>
                <w:rFonts w:ascii="Montserrat Medium" w:hAnsi="Montserrat Medium" w:cs="Calibri"/>
                <w:b/>
                <w:bCs/>
                <w:sz w:val="16"/>
                <w:szCs w:val="18"/>
                <w:lang w:eastAsia="es-MX"/>
              </w:rPr>
            </w:pPr>
            <w:r w:rsidRPr="007B6DA4">
              <w:rPr>
                <w:rFonts w:ascii="Montserrat Medium" w:hAnsi="Montserrat Medium" w:cs="Calibri"/>
                <w:b/>
                <w:bCs/>
                <w:sz w:val="16"/>
                <w:szCs w:val="18"/>
                <w:lang w:eastAsia="es-MX"/>
              </w:rPr>
              <w:t>365 días</w:t>
            </w:r>
          </w:p>
        </w:tc>
        <w:tc>
          <w:tcPr>
            <w:tcW w:w="1697" w:type="dxa"/>
            <w:tcBorders>
              <w:bottom w:val="single" w:sz="4" w:space="0" w:color="auto"/>
            </w:tcBorders>
            <w:shd w:val="clear" w:color="auto" w:fill="BFBFBF" w:themeFill="background1" w:themeFillShade="BF"/>
            <w:vAlign w:val="center"/>
            <w:hideMark/>
          </w:tcPr>
          <w:p w14:paraId="27BCD7B7" w14:textId="6B0B9A00" w:rsidR="000A66EE" w:rsidRPr="007B6DA4" w:rsidRDefault="0037070D" w:rsidP="002F131C">
            <w:pPr>
              <w:jc w:val="center"/>
              <w:rPr>
                <w:rFonts w:ascii="Montserrat Medium" w:hAnsi="Montserrat Medium" w:cs="Calibri"/>
                <w:b/>
                <w:bCs/>
                <w:sz w:val="16"/>
                <w:szCs w:val="18"/>
                <w:lang w:eastAsia="es-MX"/>
              </w:rPr>
            </w:pPr>
            <w:r>
              <w:rPr>
                <w:rFonts w:ascii="Montserrat Medium" w:eastAsia="Times New Roman" w:hAnsi="Montserrat Medium" w:cs="Calibri"/>
                <w:b/>
                <w:bCs/>
                <w:color w:val="000000"/>
                <w:sz w:val="16"/>
                <w:szCs w:val="16"/>
                <w:lang w:val="es-MX" w:eastAsia="es-MX"/>
              </w:rPr>
              <w:t>Al 30</w:t>
            </w:r>
            <w:r w:rsidR="000A66EE" w:rsidRPr="00C81E74">
              <w:rPr>
                <w:rFonts w:ascii="Montserrat Medium" w:eastAsia="Times New Roman" w:hAnsi="Montserrat Medium" w:cs="Calibri"/>
                <w:b/>
                <w:bCs/>
                <w:color w:val="000000"/>
                <w:sz w:val="16"/>
                <w:szCs w:val="16"/>
                <w:lang w:val="es-MX" w:eastAsia="es-MX"/>
              </w:rPr>
              <w:t xml:space="preserve"> de </w:t>
            </w:r>
            <w:r>
              <w:rPr>
                <w:rFonts w:ascii="Montserrat Medium" w:eastAsia="Times New Roman" w:hAnsi="Montserrat Medium" w:cs="Calibri"/>
                <w:b/>
                <w:bCs/>
                <w:color w:val="000000"/>
                <w:sz w:val="16"/>
                <w:szCs w:val="16"/>
                <w:lang w:val="es-MX" w:eastAsia="es-MX"/>
              </w:rPr>
              <w:t>Junio</w:t>
            </w:r>
            <w:r w:rsidR="000A66EE" w:rsidRPr="00C81E74">
              <w:rPr>
                <w:rFonts w:ascii="Montserrat Medium" w:eastAsia="Times New Roman" w:hAnsi="Montserrat Medium" w:cs="Calibri"/>
                <w:b/>
                <w:bCs/>
                <w:color w:val="000000"/>
                <w:sz w:val="16"/>
                <w:szCs w:val="16"/>
                <w:lang w:val="es-MX" w:eastAsia="es-MX"/>
              </w:rPr>
              <w:t xml:space="preserve"> de 2025</w:t>
            </w:r>
          </w:p>
        </w:tc>
      </w:tr>
      <w:tr w:rsidR="00E967C2" w:rsidRPr="007B6DA4" w14:paraId="7A640D43" w14:textId="77777777" w:rsidTr="00E967C2">
        <w:trPr>
          <w:trHeight w:hRule="exact" w:val="624"/>
        </w:trPr>
        <w:tc>
          <w:tcPr>
            <w:tcW w:w="3327" w:type="dxa"/>
            <w:tcBorders>
              <w:top w:val="single" w:sz="4" w:space="0" w:color="auto"/>
              <w:bottom w:val="nil"/>
            </w:tcBorders>
            <w:shd w:val="clear" w:color="auto" w:fill="auto"/>
            <w:noWrap/>
            <w:vAlign w:val="bottom"/>
            <w:hideMark/>
          </w:tcPr>
          <w:p w14:paraId="77ABB4A7" w14:textId="77777777" w:rsidR="00E967C2" w:rsidRPr="007B6DA4" w:rsidRDefault="00E967C2" w:rsidP="002F131C">
            <w:pPr>
              <w:rPr>
                <w:rFonts w:ascii="Montserrat Medium" w:hAnsi="Montserrat Medium" w:cs="Calibri"/>
                <w:color w:val="000000"/>
                <w:sz w:val="16"/>
                <w:szCs w:val="18"/>
                <w:lang w:eastAsia="es-MX"/>
              </w:rPr>
            </w:pPr>
            <w:r w:rsidRPr="007B6DA4">
              <w:rPr>
                <w:rFonts w:ascii="Montserrat Medium" w:eastAsia="Times New Roman" w:hAnsi="Montserrat Medium" w:cs="Arial"/>
                <w:sz w:val="16"/>
                <w:szCs w:val="18"/>
                <w:lang w:eastAsia="en-US"/>
              </w:rPr>
              <w:t>Anticipo a proveedores por adquisición de bienes y prestación de servicios a corto plazo</w:t>
            </w:r>
          </w:p>
        </w:tc>
        <w:tc>
          <w:tcPr>
            <w:tcW w:w="1310" w:type="dxa"/>
            <w:tcBorders>
              <w:top w:val="single" w:sz="4" w:space="0" w:color="auto"/>
              <w:bottom w:val="nil"/>
            </w:tcBorders>
            <w:shd w:val="clear" w:color="auto" w:fill="auto"/>
            <w:noWrap/>
            <w:vAlign w:val="center"/>
          </w:tcPr>
          <w:p w14:paraId="113E5418" w14:textId="53A4C6AE" w:rsidR="00E967C2" w:rsidRPr="00E967C2" w:rsidRDefault="00E967C2" w:rsidP="002F131C">
            <w:pPr>
              <w:jc w:val="right"/>
              <w:rPr>
                <w:rFonts w:ascii="Montserrat Medium" w:eastAsia="Times New Roman" w:hAnsi="Montserrat Medium" w:cs="Arial"/>
                <w:sz w:val="16"/>
                <w:szCs w:val="18"/>
                <w:lang w:eastAsia="en-US"/>
              </w:rPr>
            </w:pPr>
            <w:r w:rsidRPr="00E967C2">
              <w:rPr>
                <w:rFonts w:ascii="Montserrat Medium" w:eastAsia="Times New Roman" w:hAnsi="Montserrat Medium" w:cs="Arial"/>
                <w:sz w:val="16"/>
                <w:szCs w:val="18"/>
                <w:lang w:eastAsia="en-US"/>
              </w:rPr>
              <w:t>0.00</w:t>
            </w:r>
          </w:p>
        </w:tc>
        <w:tc>
          <w:tcPr>
            <w:tcW w:w="823" w:type="dxa"/>
            <w:tcBorders>
              <w:top w:val="single" w:sz="4" w:space="0" w:color="auto"/>
              <w:bottom w:val="nil"/>
            </w:tcBorders>
            <w:shd w:val="clear" w:color="auto" w:fill="auto"/>
            <w:noWrap/>
            <w:vAlign w:val="center"/>
          </w:tcPr>
          <w:p w14:paraId="1F2CE613" w14:textId="4ECE3249" w:rsidR="00E967C2" w:rsidRPr="00E967C2" w:rsidRDefault="00E967C2" w:rsidP="002F131C">
            <w:pPr>
              <w:jc w:val="right"/>
              <w:rPr>
                <w:rFonts w:ascii="Montserrat Medium" w:eastAsia="Times New Roman" w:hAnsi="Montserrat Medium" w:cs="Arial"/>
                <w:sz w:val="16"/>
                <w:szCs w:val="18"/>
                <w:lang w:eastAsia="en-US"/>
              </w:rPr>
            </w:pPr>
            <w:r w:rsidRPr="00E967C2">
              <w:rPr>
                <w:rFonts w:ascii="Montserrat Medium" w:eastAsia="Times New Roman" w:hAnsi="Montserrat Medium" w:cs="Arial"/>
                <w:sz w:val="16"/>
                <w:szCs w:val="18"/>
                <w:lang w:eastAsia="en-US"/>
              </w:rPr>
              <w:t>0.00</w:t>
            </w:r>
          </w:p>
        </w:tc>
        <w:tc>
          <w:tcPr>
            <w:tcW w:w="1276" w:type="dxa"/>
            <w:tcBorders>
              <w:top w:val="single" w:sz="4" w:space="0" w:color="auto"/>
              <w:bottom w:val="nil"/>
            </w:tcBorders>
            <w:shd w:val="clear" w:color="auto" w:fill="auto"/>
            <w:noWrap/>
            <w:vAlign w:val="center"/>
          </w:tcPr>
          <w:p w14:paraId="18833A13" w14:textId="665E9E80" w:rsidR="00E967C2" w:rsidRPr="00E967C2" w:rsidRDefault="00E967C2" w:rsidP="002F131C">
            <w:pPr>
              <w:jc w:val="right"/>
              <w:rPr>
                <w:rFonts w:ascii="Montserrat Medium" w:eastAsia="Times New Roman" w:hAnsi="Montserrat Medium" w:cs="Arial"/>
                <w:sz w:val="16"/>
                <w:szCs w:val="18"/>
                <w:lang w:eastAsia="en-US"/>
              </w:rPr>
            </w:pPr>
            <w:r w:rsidRPr="00E967C2">
              <w:rPr>
                <w:rFonts w:ascii="Montserrat Medium" w:eastAsia="Times New Roman" w:hAnsi="Montserrat Medium" w:cs="Arial"/>
                <w:sz w:val="16"/>
                <w:szCs w:val="18"/>
                <w:lang w:eastAsia="en-US"/>
              </w:rPr>
              <w:t>0.00</w:t>
            </w:r>
          </w:p>
        </w:tc>
        <w:tc>
          <w:tcPr>
            <w:tcW w:w="1276" w:type="dxa"/>
            <w:tcBorders>
              <w:top w:val="single" w:sz="4" w:space="0" w:color="auto"/>
              <w:bottom w:val="nil"/>
            </w:tcBorders>
            <w:shd w:val="clear" w:color="auto" w:fill="auto"/>
            <w:noWrap/>
            <w:vAlign w:val="center"/>
          </w:tcPr>
          <w:p w14:paraId="7D57B634" w14:textId="5923D47E" w:rsidR="00E967C2" w:rsidRPr="00E967C2" w:rsidRDefault="00E967C2" w:rsidP="002F131C">
            <w:pPr>
              <w:jc w:val="right"/>
              <w:rPr>
                <w:rFonts w:ascii="Montserrat Medium" w:eastAsia="Times New Roman" w:hAnsi="Montserrat Medium" w:cs="Arial"/>
                <w:sz w:val="16"/>
                <w:szCs w:val="18"/>
                <w:lang w:eastAsia="en-US"/>
              </w:rPr>
            </w:pPr>
            <w:r w:rsidRPr="00E967C2">
              <w:rPr>
                <w:rFonts w:ascii="Montserrat Medium" w:eastAsia="Times New Roman" w:hAnsi="Montserrat Medium" w:cs="Arial"/>
                <w:sz w:val="16"/>
                <w:szCs w:val="18"/>
                <w:lang w:eastAsia="en-US"/>
              </w:rPr>
              <w:t>2,703,686.38</w:t>
            </w:r>
          </w:p>
        </w:tc>
        <w:tc>
          <w:tcPr>
            <w:tcW w:w="1697" w:type="dxa"/>
            <w:tcBorders>
              <w:top w:val="single" w:sz="4" w:space="0" w:color="auto"/>
              <w:bottom w:val="nil"/>
            </w:tcBorders>
            <w:shd w:val="clear" w:color="auto" w:fill="auto"/>
            <w:noWrap/>
            <w:vAlign w:val="center"/>
            <w:hideMark/>
          </w:tcPr>
          <w:p w14:paraId="28F5D7C9" w14:textId="4AF29A99" w:rsidR="00E967C2" w:rsidRPr="00E967C2" w:rsidRDefault="00E967C2" w:rsidP="002F131C">
            <w:pPr>
              <w:jc w:val="right"/>
              <w:rPr>
                <w:rFonts w:ascii="Montserrat Medium" w:eastAsia="Times New Roman" w:hAnsi="Montserrat Medium" w:cs="Arial"/>
                <w:sz w:val="16"/>
                <w:szCs w:val="18"/>
                <w:lang w:eastAsia="en-US"/>
              </w:rPr>
            </w:pPr>
            <w:r w:rsidRPr="00E967C2">
              <w:rPr>
                <w:rFonts w:ascii="Montserrat Medium" w:eastAsia="Times New Roman" w:hAnsi="Montserrat Medium" w:cs="Arial"/>
                <w:sz w:val="16"/>
                <w:szCs w:val="18"/>
                <w:lang w:eastAsia="en-US"/>
              </w:rPr>
              <w:t>2,703,686.38</w:t>
            </w:r>
          </w:p>
        </w:tc>
      </w:tr>
      <w:tr w:rsidR="00E967C2" w:rsidRPr="007B6DA4" w14:paraId="16E0520E" w14:textId="77777777" w:rsidTr="00E967C2">
        <w:trPr>
          <w:trHeight w:hRule="exact" w:val="405"/>
        </w:trPr>
        <w:tc>
          <w:tcPr>
            <w:tcW w:w="3327" w:type="dxa"/>
            <w:tcBorders>
              <w:top w:val="nil"/>
              <w:bottom w:val="nil"/>
            </w:tcBorders>
            <w:shd w:val="clear" w:color="auto" w:fill="auto"/>
            <w:noWrap/>
            <w:vAlign w:val="bottom"/>
            <w:hideMark/>
          </w:tcPr>
          <w:p w14:paraId="6B5DBBF9" w14:textId="77777777" w:rsidR="00E967C2" w:rsidRPr="007B6DA4" w:rsidRDefault="00E967C2" w:rsidP="002F131C">
            <w:pPr>
              <w:rPr>
                <w:rFonts w:ascii="Montserrat Medium" w:hAnsi="Montserrat Medium" w:cs="Calibri"/>
                <w:color w:val="000000"/>
                <w:sz w:val="16"/>
                <w:szCs w:val="18"/>
                <w:lang w:eastAsia="es-MX"/>
              </w:rPr>
            </w:pPr>
            <w:r w:rsidRPr="007B6DA4">
              <w:rPr>
                <w:rFonts w:ascii="Montserrat Medium" w:eastAsia="Times New Roman" w:hAnsi="Montserrat Medium" w:cs="Arial"/>
                <w:sz w:val="16"/>
                <w:szCs w:val="18"/>
                <w:lang w:eastAsia="en-US"/>
              </w:rPr>
              <w:t>Anticipo a proveedores por adquisición de bienes inmuebles y muebles a corto plazo</w:t>
            </w:r>
          </w:p>
        </w:tc>
        <w:tc>
          <w:tcPr>
            <w:tcW w:w="1310" w:type="dxa"/>
            <w:tcBorders>
              <w:top w:val="nil"/>
              <w:bottom w:val="nil"/>
            </w:tcBorders>
            <w:shd w:val="clear" w:color="auto" w:fill="auto"/>
            <w:noWrap/>
            <w:vAlign w:val="center"/>
          </w:tcPr>
          <w:p w14:paraId="06012A62" w14:textId="23A1D594" w:rsidR="00E967C2" w:rsidRPr="00E967C2" w:rsidRDefault="00E967C2" w:rsidP="002F131C">
            <w:pPr>
              <w:jc w:val="right"/>
              <w:rPr>
                <w:rFonts w:ascii="Montserrat Medium" w:eastAsia="Times New Roman" w:hAnsi="Montserrat Medium" w:cs="Arial"/>
                <w:sz w:val="16"/>
                <w:szCs w:val="18"/>
                <w:lang w:eastAsia="en-US"/>
              </w:rPr>
            </w:pPr>
            <w:r w:rsidRPr="00E967C2">
              <w:rPr>
                <w:rFonts w:ascii="Montserrat Medium" w:eastAsia="Times New Roman" w:hAnsi="Montserrat Medium" w:cs="Arial"/>
                <w:sz w:val="16"/>
                <w:szCs w:val="18"/>
                <w:lang w:eastAsia="en-US"/>
              </w:rPr>
              <w:t>0.00</w:t>
            </w:r>
          </w:p>
        </w:tc>
        <w:tc>
          <w:tcPr>
            <w:tcW w:w="823" w:type="dxa"/>
            <w:tcBorders>
              <w:top w:val="nil"/>
              <w:bottom w:val="nil"/>
            </w:tcBorders>
            <w:shd w:val="clear" w:color="auto" w:fill="auto"/>
            <w:noWrap/>
            <w:vAlign w:val="center"/>
          </w:tcPr>
          <w:p w14:paraId="75C3ACDE" w14:textId="043C8D68" w:rsidR="00E967C2" w:rsidRPr="00E967C2" w:rsidRDefault="00E967C2" w:rsidP="002F131C">
            <w:pPr>
              <w:jc w:val="right"/>
              <w:rPr>
                <w:rFonts w:ascii="Montserrat Medium" w:eastAsia="Times New Roman" w:hAnsi="Montserrat Medium" w:cs="Arial"/>
                <w:sz w:val="16"/>
                <w:szCs w:val="18"/>
                <w:lang w:eastAsia="en-US"/>
              </w:rPr>
            </w:pPr>
            <w:r w:rsidRPr="00E967C2">
              <w:rPr>
                <w:rFonts w:ascii="Montserrat Medium" w:eastAsia="Times New Roman" w:hAnsi="Montserrat Medium" w:cs="Arial"/>
                <w:sz w:val="16"/>
                <w:szCs w:val="18"/>
                <w:lang w:eastAsia="en-US"/>
              </w:rPr>
              <w:t>0.00</w:t>
            </w:r>
          </w:p>
        </w:tc>
        <w:tc>
          <w:tcPr>
            <w:tcW w:w="1276" w:type="dxa"/>
            <w:tcBorders>
              <w:top w:val="nil"/>
              <w:bottom w:val="nil"/>
            </w:tcBorders>
            <w:shd w:val="clear" w:color="auto" w:fill="auto"/>
            <w:noWrap/>
            <w:vAlign w:val="center"/>
          </w:tcPr>
          <w:p w14:paraId="6ECBB47C" w14:textId="60054499" w:rsidR="00E967C2" w:rsidRPr="00E967C2" w:rsidRDefault="00E967C2" w:rsidP="002F131C">
            <w:pPr>
              <w:jc w:val="right"/>
              <w:rPr>
                <w:rFonts w:ascii="Montserrat Medium" w:eastAsia="Times New Roman" w:hAnsi="Montserrat Medium" w:cs="Arial"/>
                <w:sz w:val="16"/>
                <w:szCs w:val="18"/>
                <w:lang w:eastAsia="en-US"/>
              </w:rPr>
            </w:pPr>
            <w:r w:rsidRPr="00E967C2">
              <w:rPr>
                <w:rFonts w:ascii="Montserrat Medium" w:eastAsia="Times New Roman" w:hAnsi="Montserrat Medium" w:cs="Arial"/>
                <w:sz w:val="16"/>
                <w:szCs w:val="18"/>
                <w:lang w:eastAsia="en-US"/>
              </w:rPr>
              <w:t>0.00</w:t>
            </w:r>
          </w:p>
        </w:tc>
        <w:tc>
          <w:tcPr>
            <w:tcW w:w="1276" w:type="dxa"/>
            <w:tcBorders>
              <w:top w:val="nil"/>
              <w:bottom w:val="nil"/>
            </w:tcBorders>
            <w:shd w:val="clear" w:color="auto" w:fill="auto"/>
            <w:noWrap/>
            <w:vAlign w:val="center"/>
          </w:tcPr>
          <w:p w14:paraId="17D7F25C" w14:textId="4C3B960A" w:rsidR="00E967C2" w:rsidRPr="00E967C2" w:rsidRDefault="00E967C2" w:rsidP="002F131C">
            <w:pPr>
              <w:jc w:val="right"/>
              <w:rPr>
                <w:rFonts w:ascii="Montserrat Medium" w:eastAsia="Times New Roman" w:hAnsi="Montserrat Medium" w:cs="Arial"/>
                <w:sz w:val="16"/>
                <w:szCs w:val="18"/>
                <w:lang w:eastAsia="en-US"/>
              </w:rPr>
            </w:pPr>
            <w:r w:rsidRPr="00E967C2">
              <w:rPr>
                <w:rFonts w:ascii="Montserrat Medium" w:eastAsia="Times New Roman" w:hAnsi="Montserrat Medium" w:cs="Arial"/>
                <w:sz w:val="16"/>
                <w:szCs w:val="18"/>
                <w:lang w:eastAsia="en-US"/>
              </w:rPr>
              <w:t>2,821,212.71</w:t>
            </w:r>
          </w:p>
        </w:tc>
        <w:tc>
          <w:tcPr>
            <w:tcW w:w="1697" w:type="dxa"/>
            <w:tcBorders>
              <w:top w:val="nil"/>
              <w:bottom w:val="nil"/>
            </w:tcBorders>
            <w:shd w:val="clear" w:color="auto" w:fill="auto"/>
            <w:noWrap/>
            <w:vAlign w:val="center"/>
            <w:hideMark/>
          </w:tcPr>
          <w:p w14:paraId="527969E5" w14:textId="55F7AD43" w:rsidR="00E967C2" w:rsidRPr="00E967C2" w:rsidRDefault="00E967C2" w:rsidP="002F131C">
            <w:pPr>
              <w:jc w:val="right"/>
              <w:rPr>
                <w:rFonts w:ascii="Montserrat Medium" w:eastAsia="Times New Roman" w:hAnsi="Montserrat Medium" w:cs="Arial"/>
                <w:sz w:val="16"/>
                <w:szCs w:val="18"/>
                <w:lang w:eastAsia="en-US"/>
              </w:rPr>
            </w:pPr>
            <w:r w:rsidRPr="00E967C2">
              <w:rPr>
                <w:rFonts w:ascii="Montserrat Medium" w:eastAsia="Times New Roman" w:hAnsi="Montserrat Medium" w:cs="Arial"/>
                <w:sz w:val="16"/>
                <w:szCs w:val="18"/>
                <w:lang w:eastAsia="en-US"/>
              </w:rPr>
              <w:t>2,821,212.71</w:t>
            </w:r>
          </w:p>
        </w:tc>
      </w:tr>
      <w:tr w:rsidR="00E967C2" w:rsidRPr="007B6DA4" w14:paraId="29B072FD" w14:textId="77777777" w:rsidTr="00E967C2">
        <w:trPr>
          <w:trHeight w:hRule="exact" w:val="454"/>
        </w:trPr>
        <w:tc>
          <w:tcPr>
            <w:tcW w:w="3327" w:type="dxa"/>
            <w:tcBorders>
              <w:top w:val="nil"/>
              <w:bottom w:val="single" w:sz="4" w:space="0" w:color="auto"/>
            </w:tcBorders>
            <w:shd w:val="clear" w:color="auto" w:fill="auto"/>
            <w:noWrap/>
            <w:vAlign w:val="bottom"/>
            <w:hideMark/>
          </w:tcPr>
          <w:p w14:paraId="36B8B116" w14:textId="77777777" w:rsidR="00E967C2" w:rsidRPr="007B6DA4" w:rsidRDefault="00E967C2" w:rsidP="002F131C">
            <w:pPr>
              <w:rPr>
                <w:rFonts w:ascii="Montserrat Medium" w:hAnsi="Montserrat Medium" w:cs="Calibri"/>
                <w:color w:val="000000"/>
                <w:sz w:val="16"/>
                <w:szCs w:val="18"/>
                <w:lang w:eastAsia="es-MX"/>
              </w:rPr>
            </w:pPr>
            <w:r w:rsidRPr="007B6DA4">
              <w:rPr>
                <w:rFonts w:ascii="Montserrat Medium" w:hAnsi="Montserrat Medium" w:cs="Calibri"/>
                <w:color w:val="000000"/>
                <w:sz w:val="16"/>
                <w:szCs w:val="18"/>
                <w:lang w:eastAsia="es-MX"/>
              </w:rPr>
              <w:t xml:space="preserve">Anticipo a contratistas por obras públicas a corto plazo </w:t>
            </w:r>
          </w:p>
        </w:tc>
        <w:tc>
          <w:tcPr>
            <w:tcW w:w="1310" w:type="dxa"/>
            <w:tcBorders>
              <w:top w:val="nil"/>
              <w:bottom w:val="single" w:sz="4" w:space="0" w:color="auto"/>
            </w:tcBorders>
            <w:shd w:val="clear" w:color="auto" w:fill="auto"/>
            <w:noWrap/>
            <w:vAlign w:val="center"/>
          </w:tcPr>
          <w:p w14:paraId="666E7633" w14:textId="46FECD47" w:rsidR="00E967C2" w:rsidRPr="00E967C2" w:rsidRDefault="00E967C2" w:rsidP="002F131C">
            <w:pPr>
              <w:jc w:val="right"/>
              <w:rPr>
                <w:rFonts w:ascii="Montserrat Medium" w:eastAsia="Times New Roman" w:hAnsi="Montserrat Medium" w:cs="Arial"/>
                <w:sz w:val="16"/>
                <w:szCs w:val="18"/>
                <w:lang w:eastAsia="en-US"/>
              </w:rPr>
            </w:pPr>
            <w:r w:rsidRPr="00E967C2">
              <w:rPr>
                <w:rFonts w:ascii="Montserrat Medium" w:eastAsia="Times New Roman" w:hAnsi="Montserrat Medium" w:cs="Arial"/>
                <w:sz w:val="16"/>
                <w:szCs w:val="18"/>
                <w:lang w:eastAsia="en-US"/>
              </w:rPr>
              <w:t>41,337,539.42</w:t>
            </w:r>
          </w:p>
        </w:tc>
        <w:tc>
          <w:tcPr>
            <w:tcW w:w="823" w:type="dxa"/>
            <w:tcBorders>
              <w:top w:val="nil"/>
              <w:bottom w:val="single" w:sz="4" w:space="0" w:color="auto"/>
            </w:tcBorders>
            <w:shd w:val="clear" w:color="auto" w:fill="auto"/>
            <w:noWrap/>
            <w:vAlign w:val="center"/>
          </w:tcPr>
          <w:p w14:paraId="36B9813B" w14:textId="3D58B9E3" w:rsidR="00E967C2" w:rsidRPr="00E967C2" w:rsidRDefault="00E967C2" w:rsidP="002F131C">
            <w:pPr>
              <w:jc w:val="right"/>
              <w:rPr>
                <w:rFonts w:ascii="Montserrat Medium" w:eastAsia="Times New Roman" w:hAnsi="Montserrat Medium" w:cs="Arial"/>
                <w:sz w:val="16"/>
                <w:szCs w:val="18"/>
                <w:lang w:eastAsia="en-US"/>
              </w:rPr>
            </w:pPr>
            <w:r w:rsidRPr="00E967C2">
              <w:rPr>
                <w:rFonts w:ascii="Montserrat Medium" w:eastAsia="Times New Roman" w:hAnsi="Montserrat Medium" w:cs="Arial"/>
                <w:sz w:val="16"/>
                <w:szCs w:val="18"/>
                <w:lang w:eastAsia="en-US"/>
              </w:rPr>
              <w:t>0.00</w:t>
            </w:r>
          </w:p>
        </w:tc>
        <w:tc>
          <w:tcPr>
            <w:tcW w:w="1276" w:type="dxa"/>
            <w:tcBorders>
              <w:top w:val="nil"/>
              <w:bottom w:val="single" w:sz="4" w:space="0" w:color="auto"/>
            </w:tcBorders>
            <w:shd w:val="clear" w:color="auto" w:fill="auto"/>
            <w:noWrap/>
            <w:vAlign w:val="center"/>
          </w:tcPr>
          <w:p w14:paraId="059F9432" w14:textId="210F777F" w:rsidR="00E967C2" w:rsidRPr="00E967C2" w:rsidRDefault="00E967C2" w:rsidP="002F131C">
            <w:pPr>
              <w:jc w:val="right"/>
              <w:rPr>
                <w:rFonts w:ascii="Montserrat Medium" w:eastAsia="Times New Roman" w:hAnsi="Montserrat Medium" w:cs="Arial"/>
                <w:sz w:val="16"/>
                <w:szCs w:val="18"/>
                <w:lang w:eastAsia="en-US"/>
              </w:rPr>
            </w:pPr>
            <w:r w:rsidRPr="00E967C2">
              <w:rPr>
                <w:rFonts w:ascii="Montserrat Medium" w:eastAsia="Times New Roman" w:hAnsi="Montserrat Medium" w:cs="Arial"/>
                <w:sz w:val="16"/>
                <w:szCs w:val="18"/>
                <w:lang w:eastAsia="en-US"/>
              </w:rPr>
              <w:t>0.00</w:t>
            </w:r>
          </w:p>
        </w:tc>
        <w:tc>
          <w:tcPr>
            <w:tcW w:w="1276" w:type="dxa"/>
            <w:tcBorders>
              <w:top w:val="nil"/>
              <w:bottom w:val="single" w:sz="4" w:space="0" w:color="auto"/>
            </w:tcBorders>
            <w:shd w:val="clear" w:color="auto" w:fill="auto"/>
            <w:noWrap/>
            <w:vAlign w:val="center"/>
          </w:tcPr>
          <w:p w14:paraId="5604FAE2" w14:textId="5489756A" w:rsidR="00E967C2" w:rsidRPr="00E967C2" w:rsidRDefault="00E967C2" w:rsidP="002F131C">
            <w:pPr>
              <w:jc w:val="right"/>
              <w:rPr>
                <w:rFonts w:ascii="Montserrat Medium" w:eastAsia="Times New Roman" w:hAnsi="Montserrat Medium" w:cs="Arial"/>
                <w:sz w:val="16"/>
                <w:szCs w:val="18"/>
                <w:lang w:eastAsia="en-US"/>
              </w:rPr>
            </w:pPr>
            <w:r w:rsidRPr="00E967C2">
              <w:rPr>
                <w:rFonts w:ascii="Montserrat Medium" w:eastAsia="Times New Roman" w:hAnsi="Montserrat Medium" w:cs="Arial"/>
                <w:sz w:val="16"/>
                <w:szCs w:val="18"/>
                <w:lang w:eastAsia="en-US"/>
              </w:rPr>
              <w:t>85,081,132.10</w:t>
            </w:r>
          </w:p>
        </w:tc>
        <w:tc>
          <w:tcPr>
            <w:tcW w:w="1697" w:type="dxa"/>
            <w:tcBorders>
              <w:top w:val="nil"/>
              <w:bottom w:val="single" w:sz="4" w:space="0" w:color="auto"/>
            </w:tcBorders>
            <w:shd w:val="clear" w:color="auto" w:fill="auto"/>
            <w:noWrap/>
            <w:vAlign w:val="center"/>
            <w:hideMark/>
          </w:tcPr>
          <w:p w14:paraId="18199D33" w14:textId="5E41D6B1" w:rsidR="00E967C2" w:rsidRPr="00E967C2" w:rsidRDefault="00E967C2" w:rsidP="002F131C">
            <w:pPr>
              <w:jc w:val="right"/>
              <w:rPr>
                <w:rFonts w:ascii="Montserrat Medium" w:eastAsia="Times New Roman" w:hAnsi="Montserrat Medium" w:cs="Arial"/>
                <w:sz w:val="16"/>
                <w:szCs w:val="18"/>
                <w:lang w:eastAsia="en-US"/>
              </w:rPr>
            </w:pPr>
            <w:r w:rsidRPr="00E967C2">
              <w:rPr>
                <w:rFonts w:ascii="Montserrat Medium" w:eastAsia="Times New Roman" w:hAnsi="Montserrat Medium" w:cs="Arial"/>
                <w:sz w:val="16"/>
                <w:szCs w:val="18"/>
                <w:lang w:eastAsia="en-US"/>
              </w:rPr>
              <w:t>126,418,671.52</w:t>
            </w:r>
          </w:p>
        </w:tc>
      </w:tr>
      <w:tr w:rsidR="00E967C2" w:rsidRPr="00D56579" w14:paraId="422A668D" w14:textId="77777777" w:rsidTr="00E967C2">
        <w:trPr>
          <w:trHeight w:hRule="exact" w:val="255"/>
        </w:trPr>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815FF" w14:textId="77777777" w:rsidR="00E967C2" w:rsidRPr="007B6DA4" w:rsidRDefault="00E967C2" w:rsidP="002F131C">
            <w:pPr>
              <w:rPr>
                <w:rFonts w:ascii="Montserrat Medium" w:hAnsi="Montserrat Medium" w:cs="Calibri"/>
                <w:b/>
                <w:bCs/>
                <w:color w:val="000000"/>
                <w:sz w:val="16"/>
                <w:szCs w:val="18"/>
                <w:lang w:eastAsia="es-MX"/>
              </w:rPr>
            </w:pPr>
            <w:r w:rsidRPr="007B6DA4">
              <w:rPr>
                <w:rFonts w:ascii="Montserrat Medium" w:eastAsia="Times New Roman" w:hAnsi="Montserrat Medium" w:cs="Tahoma"/>
                <w:b/>
                <w:bCs/>
                <w:sz w:val="16"/>
                <w:szCs w:val="18"/>
                <w:lang w:eastAsia="en-US"/>
              </w:rPr>
              <w:t>Total</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0B96C" w14:textId="1B6B2D6B" w:rsidR="00E967C2" w:rsidRPr="007B6DA4" w:rsidRDefault="00E967C2" w:rsidP="002F131C">
            <w:pPr>
              <w:jc w:val="right"/>
              <w:rPr>
                <w:rFonts w:ascii="Montserrat Medium" w:hAnsi="Montserrat Medium" w:cs="Calibri"/>
                <w:b/>
                <w:bCs/>
                <w:color w:val="000000"/>
                <w:sz w:val="16"/>
                <w:szCs w:val="18"/>
                <w:lang w:eastAsia="es-MX"/>
              </w:rPr>
            </w:pPr>
            <w:r>
              <w:rPr>
                <w:rFonts w:ascii="Montserrat Medium" w:hAnsi="Montserrat Medium" w:cs="Calibri"/>
                <w:b/>
                <w:bCs/>
                <w:color w:val="000000"/>
                <w:sz w:val="16"/>
                <w:szCs w:val="16"/>
              </w:rPr>
              <w:t>41,337,539.42</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6195D" w14:textId="76AE9C83" w:rsidR="00E967C2" w:rsidRPr="007B6DA4" w:rsidRDefault="00E967C2" w:rsidP="002F131C">
            <w:pPr>
              <w:jc w:val="right"/>
              <w:rPr>
                <w:rFonts w:ascii="Montserrat Medium" w:hAnsi="Montserrat Medium" w:cs="Calibri"/>
                <w:b/>
                <w:bCs/>
                <w:color w:val="000000"/>
                <w:sz w:val="16"/>
                <w:szCs w:val="18"/>
                <w:lang w:eastAsia="es-MX"/>
              </w:rPr>
            </w:pPr>
            <w:r>
              <w:rPr>
                <w:rFonts w:ascii="Montserrat Medium" w:hAnsi="Montserrat Medium" w:cs="Calibri"/>
                <w:b/>
                <w:bCs/>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7AFF2" w14:textId="4A69B3E8" w:rsidR="00E967C2" w:rsidRPr="007B6DA4" w:rsidRDefault="00E967C2" w:rsidP="002F131C">
            <w:pPr>
              <w:jc w:val="right"/>
              <w:rPr>
                <w:rFonts w:ascii="Montserrat Medium" w:hAnsi="Montserrat Medium" w:cs="Calibri"/>
                <w:b/>
                <w:bCs/>
                <w:color w:val="000000"/>
                <w:sz w:val="16"/>
                <w:szCs w:val="18"/>
                <w:lang w:eastAsia="es-MX"/>
              </w:rPr>
            </w:pPr>
            <w:r>
              <w:rPr>
                <w:rFonts w:ascii="Montserrat Medium" w:hAnsi="Montserrat Medium" w:cs="Calibri"/>
                <w:b/>
                <w:bCs/>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5A25D" w14:textId="10160684" w:rsidR="00E967C2" w:rsidRPr="007B6DA4" w:rsidRDefault="00E967C2" w:rsidP="002F131C">
            <w:pPr>
              <w:jc w:val="right"/>
              <w:rPr>
                <w:rFonts w:ascii="Montserrat Medium" w:hAnsi="Montserrat Medium" w:cs="Calibri"/>
                <w:b/>
                <w:bCs/>
                <w:color w:val="000000"/>
                <w:sz w:val="16"/>
                <w:szCs w:val="18"/>
                <w:lang w:eastAsia="es-MX"/>
              </w:rPr>
            </w:pPr>
            <w:r>
              <w:rPr>
                <w:rFonts w:ascii="Montserrat Medium" w:hAnsi="Montserrat Medium" w:cs="Calibri"/>
                <w:b/>
                <w:bCs/>
                <w:color w:val="000000"/>
                <w:sz w:val="16"/>
                <w:szCs w:val="16"/>
              </w:rPr>
              <w:t>90,606,031.19</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2C69E" w14:textId="24C81F70" w:rsidR="00E967C2" w:rsidRPr="00D56579" w:rsidRDefault="00E967C2" w:rsidP="002F131C">
            <w:pPr>
              <w:jc w:val="right"/>
              <w:rPr>
                <w:rFonts w:ascii="Montserrat Medium" w:hAnsi="Montserrat Medium" w:cs="Calibri"/>
                <w:b/>
                <w:bCs/>
                <w:color w:val="000000"/>
                <w:sz w:val="16"/>
                <w:szCs w:val="18"/>
                <w:lang w:eastAsia="es-MX"/>
              </w:rPr>
            </w:pPr>
            <w:r>
              <w:rPr>
                <w:rFonts w:ascii="Montserrat Medium" w:hAnsi="Montserrat Medium" w:cs="Calibri"/>
                <w:b/>
                <w:bCs/>
                <w:color w:val="000000"/>
                <w:sz w:val="16"/>
                <w:szCs w:val="16"/>
              </w:rPr>
              <w:t>131,943,570.61</w:t>
            </w:r>
          </w:p>
        </w:tc>
      </w:tr>
    </w:tbl>
    <w:p w14:paraId="27E6CFB8" w14:textId="77777777" w:rsidR="009974B6" w:rsidRPr="00D56579" w:rsidRDefault="009974B6" w:rsidP="002F131C">
      <w:pPr>
        <w:jc w:val="both"/>
        <w:rPr>
          <w:rFonts w:ascii="Montserrat Medium" w:eastAsia="Times New Roman" w:hAnsi="Montserrat Medium" w:cs="Arial"/>
          <w:color w:val="595959"/>
          <w:sz w:val="22"/>
          <w:lang w:eastAsia="en-US"/>
        </w:rPr>
      </w:pPr>
    </w:p>
    <w:p w14:paraId="58BCF367" w14:textId="77777777" w:rsidR="00B552D2" w:rsidRDefault="00B552D2" w:rsidP="002F131C">
      <w:pPr>
        <w:rPr>
          <w:rFonts w:ascii="Montserrat Medium" w:eastAsia="Times New Roman" w:hAnsi="Montserrat Medium" w:cs="Arial"/>
          <w:b/>
          <w:iCs/>
          <w:color w:val="595959"/>
          <w:sz w:val="22"/>
        </w:rPr>
      </w:pPr>
    </w:p>
    <w:p w14:paraId="222B36B2" w14:textId="162A43F7" w:rsidR="006348CC" w:rsidRPr="00D56579" w:rsidRDefault="00ED5E1B" w:rsidP="002F131C">
      <w:pPr>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lastRenderedPageBreak/>
        <w:t xml:space="preserve">4. </w:t>
      </w:r>
      <w:r w:rsidR="001E3866" w:rsidRPr="00D56579">
        <w:rPr>
          <w:rFonts w:ascii="Montserrat Medium" w:eastAsia="Times New Roman" w:hAnsi="Montserrat Medium" w:cs="Arial"/>
          <w:b/>
          <w:iCs/>
          <w:color w:val="595959"/>
          <w:sz w:val="22"/>
        </w:rPr>
        <w:t>Inventarios</w:t>
      </w:r>
      <w:r w:rsidR="006769F2" w:rsidRPr="00D56579">
        <w:rPr>
          <w:rFonts w:ascii="Montserrat Medium" w:eastAsia="Times New Roman" w:hAnsi="Montserrat Medium" w:cs="Arial"/>
          <w:b/>
          <w:iCs/>
          <w:color w:val="595959"/>
          <w:sz w:val="22"/>
        </w:rPr>
        <w:t xml:space="preserve"> </w:t>
      </w:r>
    </w:p>
    <w:p w14:paraId="6EDE172A" w14:textId="77777777" w:rsidR="00ED5E1B" w:rsidRPr="00D56579" w:rsidRDefault="00ED5E1B" w:rsidP="002F131C">
      <w:pPr>
        <w:pStyle w:val="Prrafodelista"/>
        <w:jc w:val="both"/>
        <w:rPr>
          <w:rFonts w:ascii="Montserrat Medium" w:eastAsia="Times New Roman" w:hAnsi="Montserrat Medium" w:cs="Arial"/>
          <w:b/>
          <w:color w:val="C0504D"/>
          <w:sz w:val="22"/>
          <w:lang w:eastAsia="en-US"/>
        </w:rPr>
      </w:pPr>
    </w:p>
    <w:p w14:paraId="777BD29E" w14:textId="79AE8405" w:rsidR="006348CC" w:rsidRPr="00D56579" w:rsidRDefault="00ED5E1B" w:rsidP="002F131C">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Representa el valor de los bienes propiedad del ente público destinados a la venta, a la p</w:t>
      </w:r>
      <w:r w:rsidR="002A5F03" w:rsidRPr="00D56579">
        <w:rPr>
          <w:rFonts w:ascii="Montserrat Medium" w:eastAsia="Times New Roman" w:hAnsi="Montserrat Medium" w:cs="Arial"/>
          <w:color w:val="595959"/>
          <w:sz w:val="22"/>
          <w:lang w:eastAsia="en-US"/>
        </w:rPr>
        <w:t xml:space="preserve">roducción o para su utilización y se </w:t>
      </w:r>
      <w:r w:rsidR="006348CC" w:rsidRPr="00D56579">
        <w:rPr>
          <w:rFonts w:ascii="Montserrat Medium" w:eastAsia="Times New Roman" w:hAnsi="Montserrat Medium" w:cs="Arial"/>
          <w:color w:val="595959"/>
          <w:sz w:val="22"/>
          <w:lang w:eastAsia="en-US"/>
        </w:rPr>
        <w:t xml:space="preserve">integran como sigue: </w:t>
      </w:r>
    </w:p>
    <w:p w14:paraId="31CDBF9B" w14:textId="77777777" w:rsidR="002A6721" w:rsidRPr="00D56579" w:rsidRDefault="002A6721" w:rsidP="002F131C">
      <w:pPr>
        <w:rPr>
          <w:rFonts w:ascii="Montserrat Medium" w:hAnsi="Montserrat Medium"/>
          <w:sz w:val="22"/>
        </w:rPr>
      </w:pPr>
    </w:p>
    <w:tbl>
      <w:tblPr>
        <w:tblW w:w="6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18"/>
        <w:gridCol w:w="1608"/>
        <w:gridCol w:w="1608"/>
      </w:tblGrid>
      <w:tr w:rsidR="00CE3169" w:rsidRPr="00D56579" w14:paraId="3E9F5F15" w14:textId="2B24BBFD" w:rsidTr="00153CD3">
        <w:trPr>
          <w:trHeight w:val="283"/>
          <w:jc w:val="center"/>
        </w:trPr>
        <w:tc>
          <w:tcPr>
            <w:tcW w:w="3718"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12A437B" w14:textId="77777777" w:rsidR="00CE3169" w:rsidRPr="00D56579" w:rsidRDefault="00CE3169" w:rsidP="002F131C">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Concepto</w:t>
            </w:r>
          </w:p>
        </w:tc>
        <w:tc>
          <w:tcPr>
            <w:tcW w:w="1608" w:type="dxa"/>
            <w:tcBorders>
              <w:top w:val="single" w:sz="4" w:space="0" w:color="auto"/>
              <w:left w:val="single" w:sz="4" w:space="0" w:color="auto"/>
              <w:bottom w:val="single" w:sz="4" w:space="0" w:color="auto"/>
              <w:right w:val="single" w:sz="4" w:space="0" w:color="auto"/>
            </w:tcBorders>
            <w:shd w:val="clear" w:color="auto" w:fill="A6A6A6"/>
            <w:vAlign w:val="center"/>
          </w:tcPr>
          <w:p w14:paraId="5D6BB6D3" w14:textId="26BA5B4B" w:rsidR="00CE3169" w:rsidRPr="00D56579" w:rsidRDefault="00CE3169" w:rsidP="002F131C">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Al 3</w:t>
            </w:r>
            <w:r w:rsidR="00407404">
              <w:rPr>
                <w:rFonts w:ascii="Montserrat Medium" w:hAnsi="Montserrat Medium" w:cs="Calibri"/>
                <w:b/>
                <w:bCs/>
                <w:color w:val="000000"/>
                <w:sz w:val="18"/>
                <w:szCs w:val="18"/>
              </w:rPr>
              <w:t>0</w:t>
            </w:r>
            <w:r>
              <w:rPr>
                <w:rFonts w:ascii="Montserrat Medium" w:hAnsi="Montserrat Medium" w:cs="Calibri"/>
                <w:b/>
                <w:bCs/>
                <w:color w:val="000000"/>
                <w:sz w:val="18"/>
                <w:szCs w:val="18"/>
              </w:rPr>
              <w:t xml:space="preserve"> de </w:t>
            </w:r>
            <w:r w:rsidR="00407404">
              <w:rPr>
                <w:rFonts w:ascii="Montserrat Medium" w:hAnsi="Montserrat Medium" w:cs="Calibri"/>
                <w:b/>
                <w:bCs/>
                <w:color w:val="000000"/>
                <w:sz w:val="18"/>
                <w:szCs w:val="18"/>
              </w:rPr>
              <w:t>Junio</w:t>
            </w:r>
            <w:r>
              <w:rPr>
                <w:rFonts w:ascii="Montserrat Medium" w:hAnsi="Montserrat Medium" w:cs="Calibri"/>
                <w:b/>
                <w:bCs/>
                <w:color w:val="000000"/>
                <w:sz w:val="18"/>
                <w:szCs w:val="18"/>
              </w:rPr>
              <w:t xml:space="preserve"> de 2025</w:t>
            </w:r>
          </w:p>
        </w:tc>
        <w:tc>
          <w:tcPr>
            <w:tcW w:w="1608" w:type="dxa"/>
            <w:tcBorders>
              <w:top w:val="single" w:sz="4" w:space="0" w:color="auto"/>
              <w:left w:val="single" w:sz="4" w:space="0" w:color="auto"/>
              <w:bottom w:val="single" w:sz="4" w:space="0" w:color="auto"/>
              <w:right w:val="single" w:sz="4" w:space="0" w:color="auto"/>
            </w:tcBorders>
            <w:shd w:val="clear" w:color="auto" w:fill="A6A6A6"/>
            <w:vAlign w:val="center"/>
          </w:tcPr>
          <w:p w14:paraId="3B4CAE67" w14:textId="3EB8C1BB" w:rsidR="00CE3169" w:rsidRPr="00D56579" w:rsidRDefault="00CE3169" w:rsidP="002F131C">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2024</w:t>
            </w:r>
          </w:p>
        </w:tc>
      </w:tr>
      <w:tr w:rsidR="00407404" w:rsidRPr="00D56579" w14:paraId="6BC6035C" w14:textId="07CB88ED" w:rsidTr="00153CD3">
        <w:trPr>
          <w:trHeight w:val="255"/>
          <w:jc w:val="center"/>
        </w:trPr>
        <w:tc>
          <w:tcPr>
            <w:tcW w:w="3718" w:type="dxa"/>
            <w:tcBorders>
              <w:top w:val="single" w:sz="4" w:space="0" w:color="auto"/>
              <w:left w:val="single" w:sz="4" w:space="0" w:color="auto"/>
              <w:bottom w:val="nil"/>
              <w:right w:val="single" w:sz="4" w:space="0" w:color="auto"/>
            </w:tcBorders>
            <w:shd w:val="clear" w:color="auto" w:fill="FFFFFF"/>
            <w:noWrap/>
            <w:vAlign w:val="center"/>
          </w:tcPr>
          <w:p w14:paraId="030F7848" w14:textId="77777777" w:rsidR="00407404" w:rsidRPr="00D56579" w:rsidRDefault="00407404"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Terrenos Reserva Territorial SEDUVI</w:t>
            </w:r>
          </w:p>
        </w:tc>
        <w:tc>
          <w:tcPr>
            <w:tcW w:w="1608" w:type="dxa"/>
            <w:tcBorders>
              <w:top w:val="single" w:sz="4" w:space="0" w:color="auto"/>
              <w:left w:val="single" w:sz="4" w:space="0" w:color="auto"/>
              <w:bottom w:val="nil"/>
              <w:right w:val="single" w:sz="4" w:space="0" w:color="auto"/>
            </w:tcBorders>
            <w:shd w:val="clear" w:color="auto" w:fill="FFFFFF"/>
            <w:vAlign w:val="center"/>
          </w:tcPr>
          <w:p w14:paraId="038618DC" w14:textId="19418567" w:rsidR="00407404" w:rsidRPr="00D56579" w:rsidRDefault="00407404" w:rsidP="002F131C">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20,766,380.97</w:t>
            </w:r>
          </w:p>
        </w:tc>
        <w:tc>
          <w:tcPr>
            <w:tcW w:w="1608" w:type="dxa"/>
            <w:tcBorders>
              <w:top w:val="single" w:sz="4" w:space="0" w:color="auto"/>
              <w:left w:val="single" w:sz="4" w:space="0" w:color="auto"/>
              <w:bottom w:val="nil"/>
              <w:right w:val="single" w:sz="4" w:space="0" w:color="auto"/>
            </w:tcBorders>
            <w:shd w:val="clear" w:color="auto" w:fill="FFFFFF"/>
            <w:vAlign w:val="center"/>
          </w:tcPr>
          <w:p w14:paraId="2650A7F8" w14:textId="3A0003FC" w:rsidR="00407404" w:rsidRPr="00D56579" w:rsidRDefault="00407404" w:rsidP="002F131C">
            <w:pPr>
              <w:ind w:left="351" w:hanging="351"/>
              <w:jc w:val="right"/>
              <w:rPr>
                <w:rFonts w:ascii="Montserrat Medium" w:hAnsi="Montserrat Medium" w:cs="Calibri"/>
                <w:sz w:val="18"/>
                <w:szCs w:val="18"/>
              </w:rPr>
            </w:pPr>
            <w:r>
              <w:rPr>
                <w:rFonts w:ascii="Montserrat Medium" w:hAnsi="Montserrat Medium" w:cs="Calibri"/>
                <w:color w:val="000000"/>
                <w:sz w:val="18"/>
                <w:szCs w:val="18"/>
              </w:rPr>
              <w:t>20,766,380.97</w:t>
            </w:r>
          </w:p>
        </w:tc>
      </w:tr>
      <w:tr w:rsidR="00407404" w:rsidRPr="00D56579" w14:paraId="74836CEC" w14:textId="7F488D96" w:rsidTr="00153CD3">
        <w:trPr>
          <w:trHeight w:val="255"/>
          <w:jc w:val="center"/>
        </w:trPr>
        <w:tc>
          <w:tcPr>
            <w:tcW w:w="3718" w:type="dxa"/>
            <w:tcBorders>
              <w:top w:val="nil"/>
              <w:left w:val="single" w:sz="4" w:space="0" w:color="auto"/>
              <w:bottom w:val="nil"/>
              <w:right w:val="single" w:sz="4" w:space="0" w:color="auto"/>
            </w:tcBorders>
            <w:shd w:val="clear" w:color="auto" w:fill="FFFFFF"/>
            <w:noWrap/>
            <w:vAlign w:val="center"/>
          </w:tcPr>
          <w:p w14:paraId="267BCCC5" w14:textId="77777777" w:rsidR="00407404" w:rsidRPr="00D56579" w:rsidRDefault="00407404"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Terrenos Lotes Urbanizados SEDETUS</w:t>
            </w:r>
          </w:p>
        </w:tc>
        <w:tc>
          <w:tcPr>
            <w:tcW w:w="1608" w:type="dxa"/>
            <w:tcBorders>
              <w:top w:val="nil"/>
              <w:left w:val="single" w:sz="4" w:space="0" w:color="auto"/>
              <w:bottom w:val="nil"/>
              <w:right w:val="single" w:sz="4" w:space="0" w:color="auto"/>
            </w:tcBorders>
            <w:shd w:val="clear" w:color="auto" w:fill="FFFFFF"/>
            <w:vAlign w:val="center"/>
          </w:tcPr>
          <w:p w14:paraId="766B6E37" w14:textId="1091844E" w:rsidR="00407404" w:rsidRPr="00D56579" w:rsidRDefault="00407404" w:rsidP="002F131C">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104,751,441.28</w:t>
            </w:r>
          </w:p>
        </w:tc>
        <w:tc>
          <w:tcPr>
            <w:tcW w:w="1608" w:type="dxa"/>
            <w:tcBorders>
              <w:top w:val="nil"/>
              <w:left w:val="single" w:sz="4" w:space="0" w:color="auto"/>
              <w:bottom w:val="nil"/>
              <w:right w:val="single" w:sz="4" w:space="0" w:color="auto"/>
            </w:tcBorders>
            <w:shd w:val="clear" w:color="auto" w:fill="FFFFFF"/>
            <w:vAlign w:val="center"/>
          </w:tcPr>
          <w:p w14:paraId="1D6CB20C" w14:textId="08F4626C" w:rsidR="00407404" w:rsidRPr="00D56579" w:rsidRDefault="00407404" w:rsidP="002F131C">
            <w:pPr>
              <w:ind w:left="351" w:hanging="351"/>
              <w:jc w:val="right"/>
              <w:rPr>
                <w:rFonts w:ascii="Montserrat Medium" w:hAnsi="Montserrat Medium" w:cs="Calibri"/>
                <w:sz w:val="18"/>
                <w:szCs w:val="18"/>
              </w:rPr>
            </w:pPr>
            <w:r>
              <w:rPr>
                <w:rFonts w:ascii="Montserrat Medium" w:hAnsi="Montserrat Medium" w:cs="Calibri"/>
                <w:color w:val="000000"/>
                <w:sz w:val="18"/>
                <w:szCs w:val="18"/>
              </w:rPr>
              <w:t>104,751,441.28</w:t>
            </w:r>
          </w:p>
        </w:tc>
      </w:tr>
      <w:tr w:rsidR="00407404" w:rsidRPr="00D56579" w14:paraId="592BDC9B" w14:textId="6DF74841" w:rsidTr="00153CD3">
        <w:trPr>
          <w:trHeight w:val="255"/>
          <w:jc w:val="center"/>
        </w:trPr>
        <w:tc>
          <w:tcPr>
            <w:tcW w:w="3718" w:type="dxa"/>
            <w:tcBorders>
              <w:top w:val="nil"/>
              <w:left w:val="single" w:sz="4" w:space="0" w:color="auto"/>
              <w:bottom w:val="single" w:sz="4" w:space="0" w:color="auto"/>
              <w:right w:val="single" w:sz="4" w:space="0" w:color="auto"/>
            </w:tcBorders>
            <w:shd w:val="clear" w:color="auto" w:fill="FFFFFF"/>
            <w:noWrap/>
            <w:vAlign w:val="center"/>
          </w:tcPr>
          <w:p w14:paraId="70F680AF" w14:textId="77777777" w:rsidR="00407404" w:rsidRPr="00D56579" w:rsidRDefault="00407404"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Viviendas Urbanizadas SEDETUS</w:t>
            </w:r>
          </w:p>
        </w:tc>
        <w:tc>
          <w:tcPr>
            <w:tcW w:w="1608" w:type="dxa"/>
            <w:tcBorders>
              <w:top w:val="nil"/>
              <w:left w:val="single" w:sz="4" w:space="0" w:color="auto"/>
              <w:bottom w:val="single" w:sz="4" w:space="0" w:color="auto"/>
              <w:right w:val="single" w:sz="4" w:space="0" w:color="auto"/>
            </w:tcBorders>
            <w:shd w:val="clear" w:color="auto" w:fill="FFFFFF"/>
            <w:vAlign w:val="center"/>
          </w:tcPr>
          <w:p w14:paraId="3BB3A998" w14:textId="008DEB4C" w:rsidR="00407404" w:rsidRPr="00D56579" w:rsidRDefault="00407404" w:rsidP="002F131C">
            <w:pPr>
              <w:jc w:val="right"/>
              <w:rPr>
                <w:rFonts w:ascii="Montserrat Medium" w:hAnsi="Montserrat Medium" w:cs="Calibri"/>
                <w:sz w:val="18"/>
                <w:szCs w:val="18"/>
                <w:lang w:val="es-MX" w:eastAsia="es-MX"/>
              </w:rPr>
            </w:pPr>
            <w:r>
              <w:rPr>
                <w:rFonts w:ascii="Montserrat Medium" w:hAnsi="Montserrat Medium" w:cs="Calibri"/>
                <w:color w:val="000000"/>
                <w:sz w:val="18"/>
                <w:szCs w:val="18"/>
              </w:rPr>
              <w:t>1,017,097.34</w:t>
            </w:r>
          </w:p>
        </w:tc>
        <w:tc>
          <w:tcPr>
            <w:tcW w:w="1608" w:type="dxa"/>
            <w:tcBorders>
              <w:top w:val="nil"/>
              <w:left w:val="single" w:sz="4" w:space="0" w:color="auto"/>
              <w:bottom w:val="single" w:sz="4" w:space="0" w:color="auto"/>
              <w:right w:val="single" w:sz="4" w:space="0" w:color="auto"/>
            </w:tcBorders>
            <w:shd w:val="clear" w:color="auto" w:fill="FFFFFF"/>
            <w:vAlign w:val="center"/>
          </w:tcPr>
          <w:p w14:paraId="429BD3E8" w14:textId="615025B2" w:rsidR="00407404" w:rsidRPr="00D56579" w:rsidRDefault="00407404" w:rsidP="002F131C">
            <w:pPr>
              <w:jc w:val="right"/>
              <w:rPr>
                <w:rFonts w:ascii="Montserrat Medium" w:hAnsi="Montserrat Medium" w:cs="Calibri"/>
                <w:sz w:val="18"/>
                <w:szCs w:val="18"/>
              </w:rPr>
            </w:pPr>
            <w:r>
              <w:rPr>
                <w:rFonts w:ascii="Montserrat Medium" w:hAnsi="Montserrat Medium" w:cs="Calibri"/>
                <w:color w:val="000000"/>
                <w:sz w:val="18"/>
                <w:szCs w:val="18"/>
              </w:rPr>
              <w:t>1,017,097.34</w:t>
            </w:r>
          </w:p>
        </w:tc>
      </w:tr>
      <w:tr w:rsidR="00407404" w:rsidRPr="00D56579" w14:paraId="1531B5A2" w14:textId="6F1D5381" w:rsidTr="00322857">
        <w:trPr>
          <w:trHeight w:val="255"/>
          <w:jc w:val="center"/>
        </w:trPr>
        <w:tc>
          <w:tcPr>
            <w:tcW w:w="3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B12BC" w14:textId="77777777" w:rsidR="00407404" w:rsidRPr="00D56579" w:rsidRDefault="00407404" w:rsidP="002F131C">
            <w:pPr>
              <w:ind w:left="2"/>
              <w:jc w:val="both"/>
              <w:rPr>
                <w:rFonts w:ascii="Montserrat Medium" w:eastAsia="Times New Roman" w:hAnsi="Montserrat Medium" w:cs="Arial"/>
                <w:b/>
                <w:sz w:val="18"/>
                <w:szCs w:val="18"/>
                <w:lang w:eastAsia="en-US"/>
              </w:rPr>
            </w:pPr>
            <w:r w:rsidRPr="00D56579">
              <w:rPr>
                <w:rFonts w:ascii="Montserrat Medium" w:eastAsia="Times New Roman" w:hAnsi="Montserrat Medium" w:cs="Tahoma"/>
                <w:b/>
                <w:bCs/>
                <w:sz w:val="18"/>
                <w:szCs w:val="18"/>
                <w:lang w:eastAsia="en-US"/>
              </w:rPr>
              <w:t>Total</w:t>
            </w:r>
          </w:p>
        </w:tc>
        <w:tc>
          <w:tcPr>
            <w:tcW w:w="1608" w:type="dxa"/>
            <w:tcBorders>
              <w:top w:val="single" w:sz="4" w:space="0" w:color="auto"/>
              <w:left w:val="single" w:sz="4" w:space="0" w:color="auto"/>
              <w:bottom w:val="single" w:sz="4" w:space="0" w:color="auto"/>
              <w:right w:val="single" w:sz="4" w:space="0" w:color="auto"/>
            </w:tcBorders>
            <w:vAlign w:val="center"/>
          </w:tcPr>
          <w:p w14:paraId="5DCA6367" w14:textId="118B9724" w:rsidR="00407404" w:rsidRPr="00D56579" w:rsidRDefault="00407404" w:rsidP="002F131C">
            <w:pPr>
              <w:jc w:val="right"/>
              <w:rPr>
                <w:rFonts w:ascii="Montserrat Medium" w:hAnsi="Montserrat Medium" w:cs="Calibri"/>
                <w:b/>
                <w:bCs/>
                <w:sz w:val="18"/>
                <w:szCs w:val="18"/>
                <w:lang w:val="es-MX" w:eastAsia="es-MX"/>
              </w:rPr>
            </w:pPr>
            <w:r>
              <w:rPr>
                <w:rFonts w:ascii="Montserrat Medium" w:hAnsi="Montserrat Medium" w:cs="Calibri"/>
                <w:b/>
                <w:bCs/>
                <w:color w:val="000000"/>
                <w:sz w:val="18"/>
                <w:szCs w:val="18"/>
              </w:rPr>
              <w:t>126,534,919.59</w:t>
            </w:r>
          </w:p>
        </w:tc>
        <w:tc>
          <w:tcPr>
            <w:tcW w:w="1608" w:type="dxa"/>
            <w:tcBorders>
              <w:top w:val="single" w:sz="4" w:space="0" w:color="auto"/>
              <w:left w:val="single" w:sz="4" w:space="0" w:color="auto"/>
              <w:bottom w:val="single" w:sz="4" w:space="0" w:color="auto"/>
              <w:right w:val="single" w:sz="4" w:space="0" w:color="auto"/>
            </w:tcBorders>
            <w:vAlign w:val="center"/>
          </w:tcPr>
          <w:p w14:paraId="53196F1A" w14:textId="23D5B257" w:rsidR="00407404" w:rsidRPr="00D56579" w:rsidRDefault="00407404" w:rsidP="002F131C">
            <w:pPr>
              <w:jc w:val="right"/>
              <w:rPr>
                <w:rFonts w:ascii="Montserrat Medium" w:hAnsi="Montserrat Medium" w:cs="Calibri"/>
                <w:b/>
                <w:bCs/>
                <w:sz w:val="18"/>
                <w:szCs w:val="18"/>
              </w:rPr>
            </w:pPr>
            <w:r>
              <w:rPr>
                <w:rFonts w:ascii="Montserrat Medium" w:hAnsi="Montserrat Medium" w:cs="Calibri"/>
                <w:b/>
                <w:bCs/>
                <w:color w:val="000000"/>
                <w:sz w:val="18"/>
                <w:szCs w:val="18"/>
              </w:rPr>
              <w:t>126,534,919.59</w:t>
            </w:r>
          </w:p>
        </w:tc>
      </w:tr>
    </w:tbl>
    <w:p w14:paraId="2F11D388" w14:textId="77777777" w:rsidR="006348CC" w:rsidRPr="00D56579" w:rsidRDefault="006348CC" w:rsidP="002F131C">
      <w:pPr>
        <w:contextualSpacing/>
        <w:jc w:val="both"/>
        <w:rPr>
          <w:rFonts w:ascii="Montserrat Medium" w:hAnsi="Montserrat Medium" w:cs="Arial"/>
        </w:rPr>
      </w:pPr>
    </w:p>
    <w:p w14:paraId="59ECCD6A" w14:textId="77777777" w:rsidR="006348CC" w:rsidRPr="00D56579" w:rsidRDefault="006348CC" w:rsidP="002F131C">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De lo anterior la SEDETUS es la encargada de integrar el expediente con los títulos de propiedad, registros catastrales o convenios que avalen dicha adquisición, realizar la integración por el</w:t>
      </w:r>
      <w:r w:rsidR="00C759ED"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nombre de la reserva territorial y su ubicación, tener la relación del inventario de mercancías de programas terminados y el total de viviendas urbanizadas por municipio y colonia</w:t>
      </w:r>
      <w:r w:rsidR="00C759ED" w:rsidRPr="00D56579">
        <w:rPr>
          <w:rFonts w:ascii="Montserrat Medium" w:eastAsia="Times New Roman" w:hAnsi="Montserrat Medium" w:cs="Arial"/>
          <w:color w:val="595959"/>
          <w:sz w:val="22"/>
          <w:lang w:eastAsia="en-US"/>
        </w:rPr>
        <w:t>.</w:t>
      </w:r>
      <w:r w:rsidRPr="00D56579">
        <w:rPr>
          <w:rFonts w:ascii="Montserrat Medium" w:eastAsia="Times New Roman" w:hAnsi="Montserrat Medium" w:cs="Arial"/>
          <w:color w:val="595959"/>
          <w:sz w:val="22"/>
          <w:lang w:eastAsia="en-US"/>
        </w:rPr>
        <w:t xml:space="preserve"> </w:t>
      </w:r>
    </w:p>
    <w:p w14:paraId="03D83FF1" w14:textId="77777777" w:rsidR="00702C5B" w:rsidRPr="00D56579" w:rsidRDefault="00702C5B" w:rsidP="002F131C">
      <w:pPr>
        <w:jc w:val="both"/>
        <w:rPr>
          <w:rFonts w:ascii="Montserrat Medium" w:eastAsia="Times New Roman" w:hAnsi="Montserrat Medium" w:cs="Arial"/>
          <w:color w:val="595959"/>
          <w:sz w:val="22"/>
          <w:lang w:eastAsia="en-US"/>
        </w:rPr>
      </w:pPr>
    </w:p>
    <w:p w14:paraId="1B64B5BD" w14:textId="77777777" w:rsidR="005853F2" w:rsidRPr="00D56579" w:rsidRDefault="002F1386" w:rsidP="002F131C">
      <w:pPr>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5</w:t>
      </w:r>
      <w:r w:rsidR="00604589" w:rsidRPr="00D56579">
        <w:rPr>
          <w:rFonts w:ascii="Montserrat Medium" w:eastAsia="Times New Roman" w:hAnsi="Montserrat Medium" w:cs="Arial"/>
          <w:b/>
          <w:iCs/>
          <w:color w:val="595959"/>
          <w:sz w:val="22"/>
        </w:rPr>
        <w:t>.</w:t>
      </w:r>
      <w:r w:rsidRPr="00D56579">
        <w:rPr>
          <w:rFonts w:ascii="Montserrat Medium" w:eastAsia="Times New Roman" w:hAnsi="Montserrat Medium" w:cs="Arial"/>
          <w:b/>
          <w:iCs/>
          <w:color w:val="595959"/>
          <w:sz w:val="22"/>
        </w:rPr>
        <w:t xml:space="preserve"> </w:t>
      </w:r>
      <w:r w:rsidR="00AB1378" w:rsidRPr="00D56579">
        <w:rPr>
          <w:rFonts w:ascii="Montserrat Medium" w:eastAsia="Times New Roman" w:hAnsi="Montserrat Medium" w:cs="Arial"/>
          <w:b/>
          <w:iCs/>
          <w:color w:val="595959"/>
          <w:sz w:val="22"/>
        </w:rPr>
        <w:t>Almacenes</w:t>
      </w:r>
      <w:r w:rsidR="00340246" w:rsidRPr="00D56579">
        <w:rPr>
          <w:rFonts w:ascii="Montserrat Medium" w:eastAsia="Times New Roman" w:hAnsi="Montserrat Medium" w:cs="Arial"/>
          <w:b/>
          <w:iCs/>
          <w:color w:val="595959"/>
          <w:sz w:val="22"/>
        </w:rPr>
        <w:t xml:space="preserve"> </w:t>
      </w:r>
    </w:p>
    <w:p w14:paraId="019CC68A" w14:textId="77777777" w:rsidR="00C759ED" w:rsidRPr="00D56579" w:rsidRDefault="00C759ED" w:rsidP="002F131C">
      <w:pPr>
        <w:jc w:val="both"/>
        <w:rPr>
          <w:rFonts w:ascii="Montserrat Medium" w:eastAsia="Times New Roman" w:hAnsi="Montserrat Medium" w:cs="Arial"/>
          <w:color w:val="595959"/>
          <w:sz w:val="22"/>
          <w:lang w:eastAsia="en-US"/>
        </w:rPr>
      </w:pPr>
    </w:p>
    <w:p w14:paraId="76795C6B" w14:textId="39877D5D" w:rsidR="001F6B2E" w:rsidRPr="00D56579" w:rsidRDefault="002A5F03" w:rsidP="002F131C">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P</w:t>
      </w:r>
      <w:r w:rsidR="001F6B2E" w:rsidRPr="00D56579">
        <w:rPr>
          <w:rFonts w:ascii="Montserrat Medium" w:eastAsia="Times New Roman" w:hAnsi="Montserrat Medium" w:cs="Arial"/>
          <w:color w:val="595959"/>
          <w:sz w:val="22"/>
          <w:lang w:eastAsia="en-US"/>
        </w:rPr>
        <w:t xml:space="preserve">ara el ejercicio en curso se eligió de acuerdo a la Guía Contabilizadora realizar el registro de materiales y suministros sin afectación contable de almacén, es decir la afectación contable será </w:t>
      </w:r>
      <w:r w:rsidR="00980954" w:rsidRPr="00D56579">
        <w:rPr>
          <w:rFonts w:ascii="Montserrat Medium" w:eastAsia="Times New Roman" w:hAnsi="Montserrat Medium" w:cs="Arial"/>
          <w:color w:val="595959"/>
          <w:sz w:val="22"/>
          <w:lang w:eastAsia="en-US"/>
        </w:rPr>
        <w:t>directa</w:t>
      </w:r>
      <w:r w:rsidR="001F6B2E" w:rsidRPr="00D56579">
        <w:rPr>
          <w:rFonts w:ascii="Montserrat Medium" w:eastAsia="Times New Roman" w:hAnsi="Montserrat Medium" w:cs="Arial"/>
          <w:color w:val="595959"/>
          <w:sz w:val="22"/>
          <w:lang w:eastAsia="en-US"/>
        </w:rPr>
        <w:t xml:space="preserve"> al gasto. Esto con la finalidad de evitar diferencias al comparar las cifras del reporte de almacén con la existencia física del almacén valuado. La cuenta de almacenes a</w:t>
      </w:r>
      <w:r w:rsidR="00A4586C" w:rsidRPr="00D56579">
        <w:rPr>
          <w:rFonts w:ascii="Montserrat Medium" w:eastAsia="Times New Roman" w:hAnsi="Montserrat Medium" w:cs="Arial"/>
          <w:color w:val="595959"/>
          <w:sz w:val="22"/>
          <w:lang w:eastAsia="en-US"/>
        </w:rPr>
        <w:t>l 3</w:t>
      </w:r>
      <w:r w:rsidR="00407404">
        <w:rPr>
          <w:rFonts w:ascii="Montserrat Medium" w:eastAsia="Times New Roman" w:hAnsi="Montserrat Medium" w:cs="Arial"/>
          <w:color w:val="595959"/>
          <w:sz w:val="22"/>
          <w:lang w:eastAsia="en-US"/>
        </w:rPr>
        <w:t>0</w:t>
      </w:r>
      <w:r w:rsidR="00A4586C" w:rsidRPr="00D56579">
        <w:rPr>
          <w:rFonts w:ascii="Montserrat Medium" w:eastAsia="Times New Roman" w:hAnsi="Montserrat Medium" w:cs="Arial"/>
          <w:color w:val="595959"/>
          <w:sz w:val="22"/>
          <w:lang w:eastAsia="en-US"/>
        </w:rPr>
        <w:t xml:space="preserve"> de </w:t>
      </w:r>
      <w:r w:rsidR="00407404">
        <w:rPr>
          <w:rFonts w:ascii="Montserrat Medium" w:eastAsia="Times New Roman" w:hAnsi="Montserrat Medium" w:cs="Arial"/>
          <w:color w:val="595959"/>
          <w:sz w:val="22"/>
          <w:lang w:eastAsia="en-US"/>
        </w:rPr>
        <w:t>junio</w:t>
      </w:r>
      <w:r w:rsidR="00A4586C" w:rsidRPr="00D56579">
        <w:rPr>
          <w:rFonts w:ascii="Montserrat Medium" w:eastAsia="Times New Roman" w:hAnsi="Montserrat Medium" w:cs="Arial"/>
          <w:color w:val="595959"/>
          <w:sz w:val="22"/>
          <w:lang w:eastAsia="en-US"/>
        </w:rPr>
        <w:t xml:space="preserve"> de 202</w:t>
      </w:r>
      <w:r w:rsidR="00982CC5">
        <w:rPr>
          <w:rFonts w:ascii="Montserrat Medium" w:eastAsia="Times New Roman" w:hAnsi="Montserrat Medium" w:cs="Arial"/>
          <w:color w:val="595959"/>
          <w:sz w:val="22"/>
          <w:lang w:eastAsia="en-US"/>
        </w:rPr>
        <w:t>5</w:t>
      </w:r>
      <w:r w:rsidR="00FE465F" w:rsidRPr="00D56579">
        <w:rPr>
          <w:rFonts w:ascii="Montserrat Medium" w:eastAsia="Times New Roman" w:hAnsi="Montserrat Medium" w:cs="Arial"/>
          <w:color w:val="595959"/>
          <w:sz w:val="22"/>
          <w:lang w:eastAsia="en-US"/>
        </w:rPr>
        <w:t xml:space="preserve"> refleja saldo </w:t>
      </w:r>
      <w:r w:rsidR="001F6B2E" w:rsidRPr="00D56579">
        <w:rPr>
          <w:rFonts w:ascii="Montserrat Medium" w:eastAsia="Times New Roman" w:hAnsi="Montserrat Medium" w:cs="Arial"/>
          <w:color w:val="595959"/>
          <w:sz w:val="22"/>
          <w:lang w:eastAsia="en-US"/>
        </w:rPr>
        <w:t xml:space="preserve">por un importe de </w:t>
      </w:r>
      <w:r w:rsidR="005671FD" w:rsidRPr="00D56579">
        <w:rPr>
          <w:rFonts w:ascii="Montserrat Medium" w:eastAsia="Times New Roman" w:hAnsi="Montserrat Medium" w:cs="Arial"/>
          <w:color w:val="595959"/>
          <w:sz w:val="22"/>
          <w:lang w:eastAsia="en-US"/>
        </w:rPr>
        <w:t>230</w:t>
      </w:r>
      <w:proofErr w:type="gramStart"/>
      <w:r w:rsidR="005671FD" w:rsidRPr="00D56579">
        <w:rPr>
          <w:rFonts w:ascii="Montserrat Medium" w:eastAsia="Times New Roman" w:hAnsi="Montserrat Medium" w:cs="Arial"/>
          <w:color w:val="595959"/>
          <w:sz w:val="22"/>
          <w:lang w:eastAsia="en-US"/>
        </w:rPr>
        <w:t>,933,306.46</w:t>
      </w:r>
      <w:proofErr w:type="gramEnd"/>
    </w:p>
    <w:p w14:paraId="1CE91C27" w14:textId="77777777" w:rsidR="00F443D1" w:rsidRPr="00D56579" w:rsidRDefault="00F443D1" w:rsidP="002F131C">
      <w:pPr>
        <w:rPr>
          <w:rFonts w:ascii="Montserrat Medium" w:eastAsia="Times New Roman" w:hAnsi="Montserrat Medium" w:cs="Arial"/>
          <w:b/>
          <w:iCs/>
          <w:color w:val="595959"/>
          <w:sz w:val="22"/>
        </w:rPr>
      </w:pPr>
    </w:p>
    <w:p w14:paraId="05470148" w14:textId="3442DD21" w:rsidR="001E3866" w:rsidRPr="00D56579" w:rsidRDefault="002F1386" w:rsidP="002F131C">
      <w:pPr>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6</w:t>
      </w:r>
      <w:r w:rsidR="00604589" w:rsidRPr="00D56579">
        <w:rPr>
          <w:rFonts w:ascii="Montserrat Medium" w:eastAsia="Times New Roman" w:hAnsi="Montserrat Medium" w:cs="Arial"/>
          <w:b/>
          <w:iCs/>
          <w:color w:val="595959"/>
          <w:sz w:val="22"/>
        </w:rPr>
        <w:t>.</w:t>
      </w:r>
      <w:r w:rsidRPr="00D56579">
        <w:rPr>
          <w:rFonts w:ascii="Montserrat Medium" w:eastAsia="Times New Roman" w:hAnsi="Montserrat Medium" w:cs="Arial"/>
          <w:b/>
          <w:iCs/>
          <w:color w:val="595959"/>
          <w:sz w:val="22"/>
        </w:rPr>
        <w:t xml:space="preserve"> </w:t>
      </w:r>
      <w:r w:rsidR="001E3866" w:rsidRPr="00D56579">
        <w:rPr>
          <w:rFonts w:ascii="Montserrat Medium" w:eastAsia="Times New Roman" w:hAnsi="Montserrat Medium" w:cs="Arial"/>
          <w:b/>
          <w:iCs/>
          <w:color w:val="595959"/>
          <w:sz w:val="22"/>
        </w:rPr>
        <w:t xml:space="preserve">Inversiones Financieras </w:t>
      </w:r>
    </w:p>
    <w:p w14:paraId="1008C847" w14:textId="77777777" w:rsidR="001E3866" w:rsidRPr="00D56579" w:rsidRDefault="001E3866" w:rsidP="002F131C">
      <w:pPr>
        <w:jc w:val="both"/>
        <w:rPr>
          <w:rFonts w:ascii="Montserrat Medium" w:eastAsia="Times New Roman" w:hAnsi="Montserrat Medium" w:cs="Arial"/>
          <w:color w:val="595959"/>
          <w:sz w:val="22"/>
          <w:lang w:eastAsia="en-US"/>
        </w:rPr>
      </w:pPr>
    </w:p>
    <w:p w14:paraId="3BF80A35" w14:textId="77777777" w:rsidR="001E3866" w:rsidRPr="00D56579" w:rsidRDefault="001E3866" w:rsidP="002F131C">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Representa el monto de los recursos excedentes del ente público, invertidos en títulos, valores y demás instrumentos financieros, cuya recuperación se efectuará en un plazo mayor a doce meses, se integra por las siguientes cuentas:</w:t>
      </w:r>
    </w:p>
    <w:p w14:paraId="57E9ACC1" w14:textId="77777777" w:rsidR="009F2822" w:rsidRPr="00D56579" w:rsidRDefault="009F2822" w:rsidP="002F131C">
      <w:pPr>
        <w:jc w:val="both"/>
        <w:rPr>
          <w:rFonts w:ascii="Montserrat Medium" w:eastAsia="Times New Roman" w:hAnsi="Montserrat Medium" w:cs="Arial"/>
          <w:color w:val="595959"/>
          <w:sz w:val="22"/>
          <w:lang w:eastAsia="en-US"/>
        </w:rPr>
      </w:pPr>
    </w:p>
    <w:tbl>
      <w:tblPr>
        <w:tblW w:w="7516" w:type="dxa"/>
        <w:jc w:val="center"/>
        <w:tblBorders>
          <w:top w:val="single" w:sz="4" w:space="0" w:color="0B6333"/>
          <w:left w:val="single" w:sz="4" w:space="0" w:color="0B6333"/>
          <w:bottom w:val="single" w:sz="4" w:space="0" w:color="0B6333"/>
          <w:right w:val="single" w:sz="4" w:space="0" w:color="0B6333"/>
          <w:insideH w:val="single" w:sz="4" w:space="0" w:color="0B6333"/>
          <w:insideV w:val="single" w:sz="4" w:space="0" w:color="0B6333"/>
        </w:tblBorders>
        <w:tblCellMar>
          <w:left w:w="70" w:type="dxa"/>
          <w:right w:w="70" w:type="dxa"/>
        </w:tblCellMar>
        <w:tblLook w:val="0000" w:firstRow="0" w:lastRow="0" w:firstColumn="0" w:lastColumn="0" w:noHBand="0" w:noVBand="0"/>
      </w:tblPr>
      <w:tblGrid>
        <w:gridCol w:w="4026"/>
        <w:gridCol w:w="1745"/>
        <w:gridCol w:w="1745"/>
      </w:tblGrid>
      <w:tr w:rsidR="00982CC5" w:rsidRPr="00D56579" w14:paraId="7436744B" w14:textId="77777777" w:rsidTr="00153CD3">
        <w:trPr>
          <w:trHeight w:val="283"/>
          <w:jc w:val="center"/>
        </w:trPr>
        <w:tc>
          <w:tcPr>
            <w:tcW w:w="402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D99A217" w14:textId="77777777" w:rsidR="00982CC5" w:rsidRPr="00D56579" w:rsidRDefault="00982CC5" w:rsidP="002F131C">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Concepto</w:t>
            </w:r>
          </w:p>
        </w:tc>
        <w:tc>
          <w:tcPr>
            <w:tcW w:w="17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EBF4BE" w14:textId="1B26263A" w:rsidR="00982CC5" w:rsidRPr="00D56579" w:rsidRDefault="00982CC5" w:rsidP="002F131C">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Al 3</w:t>
            </w:r>
            <w:r w:rsidR="00407404">
              <w:rPr>
                <w:rFonts w:ascii="Montserrat Medium" w:hAnsi="Montserrat Medium" w:cs="Calibri"/>
                <w:b/>
                <w:bCs/>
                <w:color w:val="000000"/>
                <w:sz w:val="18"/>
                <w:szCs w:val="18"/>
              </w:rPr>
              <w:t>0</w:t>
            </w:r>
            <w:r>
              <w:rPr>
                <w:rFonts w:ascii="Montserrat Medium" w:hAnsi="Montserrat Medium" w:cs="Calibri"/>
                <w:b/>
                <w:bCs/>
                <w:color w:val="000000"/>
                <w:sz w:val="18"/>
                <w:szCs w:val="18"/>
              </w:rPr>
              <w:t xml:space="preserve"> de </w:t>
            </w:r>
            <w:r w:rsidR="00407404">
              <w:rPr>
                <w:rFonts w:ascii="Montserrat Medium" w:hAnsi="Montserrat Medium" w:cs="Calibri"/>
                <w:b/>
                <w:bCs/>
                <w:color w:val="000000"/>
                <w:sz w:val="18"/>
                <w:szCs w:val="18"/>
              </w:rPr>
              <w:t>Junio</w:t>
            </w:r>
            <w:r>
              <w:rPr>
                <w:rFonts w:ascii="Montserrat Medium" w:hAnsi="Montserrat Medium" w:cs="Calibri"/>
                <w:b/>
                <w:bCs/>
                <w:color w:val="000000"/>
                <w:sz w:val="18"/>
                <w:szCs w:val="18"/>
              </w:rPr>
              <w:t xml:space="preserve"> de 2025</w:t>
            </w:r>
          </w:p>
        </w:tc>
        <w:tc>
          <w:tcPr>
            <w:tcW w:w="17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18F331" w14:textId="13AA1008" w:rsidR="00982CC5" w:rsidRPr="00D56579" w:rsidRDefault="00982CC5" w:rsidP="002F131C">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2024</w:t>
            </w:r>
          </w:p>
        </w:tc>
      </w:tr>
      <w:tr w:rsidR="00407404" w:rsidRPr="00D56579" w14:paraId="3165FD30" w14:textId="77777777" w:rsidTr="00153CD3">
        <w:trPr>
          <w:trHeight w:val="255"/>
          <w:jc w:val="center"/>
        </w:trPr>
        <w:tc>
          <w:tcPr>
            <w:tcW w:w="4026" w:type="dxa"/>
            <w:tcBorders>
              <w:top w:val="single" w:sz="4" w:space="0" w:color="auto"/>
              <w:left w:val="single" w:sz="4" w:space="0" w:color="auto"/>
              <w:bottom w:val="nil"/>
              <w:right w:val="single" w:sz="4" w:space="0" w:color="auto"/>
            </w:tcBorders>
            <w:shd w:val="clear" w:color="auto" w:fill="auto"/>
            <w:noWrap/>
            <w:vAlign w:val="bottom"/>
          </w:tcPr>
          <w:p w14:paraId="681844C0" w14:textId="77777777" w:rsidR="00407404" w:rsidRPr="00D56579" w:rsidRDefault="00407404" w:rsidP="002F131C">
            <w:pPr>
              <w:jc w:val="both"/>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Fideicomisos </w:t>
            </w:r>
          </w:p>
        </w:tc>
        <w:tc>
          <w:tcPr>
            <w:tcW w:w="1745" w:type="dxa"/>
            <w:tcBorders>
              <w:top w:val="single" w:sz="4" w:space="0" w:color="auto"/>
              <w:left w:val="single" w:sz="4" w:space="0" w:color="auto"/>
              <w:bottom w:val="nil"/>
              <w:right w:val="single" w:sz="4" w:space="0" w:color="auto"/>
            </w:tcBorders>
            <w:shd w:val="clear" w:color="auto" w:fill="auto"/>
            <w:vAlign w:val="center"/>
          </w:tcPr>
          <w:p w14:paraId="06125BFC" w14:textId="1F87AEA0" w:rsidR="00407404" w:rsidRPr="00D56579" w:rsidRDefault="00407404" w:rsidP="002F131C">
            <w:pPr>
              <w:ind w:left="351" w:hanging="351"/>
              <w:jc w:val="right"/>
              <w:rPr>
                <w:rFonts w:ascii="Montserrat Medium" w:hAnsi="Montserrat Medium"/>
                <w:sz w:val="18"/>
                <w:szCs w:val="18"/>
              </w:rPr>
            </w:pPr>
            <w:r>
              <w:rPr>
                <w:rFonts w:ascii="Montserrat Medium" w:hAnsi="Montserrat Medium" w:cs="Calibri"/>
                <w:color w:val="000000"/>
                <w:sz w:val="18"/>
                <w:szCs w:val="18"/>
              </w:rPr>
              <w:t>1,745,400,500.75</w:t>
            </w:r>
          </w:p>
        </w:tc>
        <w:tc>
          <w:tcPr>
            <w:tcW w:w="1745" w:type="dxa"/>
            <w:tcBorders>
              <w:top w:val="single" w:sz="4" w:space="0" w:color="auto"/>
              <w:left w:val="single" w:sz="4" w:space="0" w:color="auto"/>
              <w:bottom w:val="nil"/>
              <w:right w:val="single" w:sz="4" w:space="0" w:color="auto"/>
            </w:tcBorders>
            <w:shd w:val="clear" w:color="auto" w:fill="auto"/>
            <w:vAlign w:val="center"/>
          </w:tcPr>
          <w:p w14:paraId="095F8B0C" w14:textId="17FA53E0" w:rsidR="00407404" w:rsidRPr="00D56579" w:rsidRDefault="00407404" w:rsidP="002F131C">
            <w:pPr>
              <w:ind w:left="351" w:hanging="351"/>
              <w:jc w:val="right"/>
              <w:rPr>
                <w:rFonts w:ascii="Montserrat Medium" w:hAnsi="Montserrat Medium"/>
                <w:sz w:val="18"/>
                <w:szCs w:val="18"/>
              </w:rPr>
            </w:pPr>
            <w:r>
              <w:rPr>
                <w:rFonts w:ascii="Montserrat Medium" w:hAnsi="Montserrat Medium" w:cs="Calibri"/>
                <w:color w:val="000000"/>
                <w:sz w:val="18"/>
                <w:szCs w:val="18"/>
              </w:rPr>
              <w:t>788,422,337.15</w:t>
            </w:r>
          </w:p>
        </w:tc>
      </w:tr>
      <w:tr w:rsidR="00407404" w:rsidRPr="00D56579" w14:paraId="420EF34B" w14:textId="77777777" w:rsidTr="00153CD3">
        <w:trPr>
          <w:trHeight w:val="255"/>
          <w:jc w:val="center"/>
        </w:trPr>
        <w:tc>
          <w:tcPr>
            <w:tcW w:w="4026" w:type="dxa"/>
            <w:tcBorders>
              <w:top w:val="nil"/>
              <w:left w:val="single" w:sz="4" w:space="0" w:color="auto"/>
              <w:bottom w:val="single" w:sz="4" w:space="0" w:color="auto"/>
              <w:right w:val="single" w:sz="4" w:space="0" w:color="auto"/>
            </w:tcBorders>
            <w:shd w:val="clear" w:color="auto" w:fill="auto"/>
            <w:noWrap/>
            <w:vAlign w:val="bottom"/>
          </w:tcPr>
          <w:p w14:paraId="30AEEC43" w14:textId="77777777" w:rsidR="00407404" w:rsidRPr="00D56579" w:rsidRDefault="00407404" w:rsidP="002F131C">
            <w:pPr>
              <w:ind w:left="2"/>
              <w:jc w:val="both"/>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Participaciones y aportaciones de capital </w:t>
            </w:r>
          </w:p>
        </w:tc>
        <w:tc>
          <w:tcPr>
            <w:tcW w:w="1745" w:type="dxa"/>
            <w:tcBorders>
              <w:top w:val="nil"/>
              <w:left w:val="single" w:sz="4" w:space="0" w:color="auto"/>
              <w:bottom w:val="single" w:sz="4" w:space="0" w:color="auto"/>
              <w:right w:val="single" w:sz="4" w:space="0" w:color="auto"/>
            </w:tcBorders>
            <w:shd w:val="clear" w:color="auto" w:fill="auto"/>
            <w:vAlign w:val="center"/>
          </w:tcPr>
          <w:p w14:paraId="41AA874E" w14:textId="27DA7FDA" w:rsidR="00407404" w:rsidRPr="00D56579" w:rsidRDefault="00407404" w:rsidP="002F131C">
            <w:pPr>
              <w:ind w:left="351" w:hanging="351"/>
              <w:jc w:val="right"/>
              <w:rPr>
                <w:rFonts w:ascii="Montserrat Medium" w:hAnsi="Montserrat Medium"/>
                <w:sz w:val="18"/>
                <w:szCs w:val="18"/>
              </w:rPr>
            </w:pPr>
            <w:r>
              <w:rPr>
                <w:rFonts w:ascii="Montserrat Medium" w:hAnsi="Montserrat Medium" w:cs="Calibri"/>
                <w:color w:val="000000"/>
                <w:sz w:val="18"/>
                <w:szCs w:val="18"/>
              </w:rPr>
              <w:t>256,526,199.64</w:t>
            </w:r>
          </w:p>
        </w:tc>
        <w:tc>
          <w:tcPr>
            <w:tcW w:w="1745" w:type="dxa"/>
            <w:tcBorders>
              <w:top w:val="nil"/>
              <w:left w:val="single" w:sz="4" w:space="0" w:color="auto"/>
              <w:bottom w:val="single" w:sz="4" w:space="0" w:color="auto"/>
              <w:right w:val="single" w:sz="4" w:space="0" w:color="auto"/>
            </w:tcBorders>
            <w:shd w:val="clear" w:color="auto" w:fill="auto"/>
            <w:vAlign w:val="center"/>
          </w:tcPr>
          <w:p w14:paraId="46158152" w14:textId="2FE10616" w:rsidR="00407404" w:rsidRPr="00D56579" w:rsidRDefault="00407404" w:rsidP="002F131C">
            <w:pPr>
              <w:ind w:left="351" w:hanging="351"/>
              <w:jc w:val="right"/>
              <w:rPr>
                <w:rFonts w:ascii="Montserrat Medium" w:hAnsi="Montserrat Medium"/>
                <w:sz w:val="18"/>
                <w:szCs w:val="18"/>
              </w:rPr>
            </w:pPr>
            <w:r>
              <w:rPr>
                <w:rFonts w:ascii="Montserrat Medium" w:hAnsi="Montserrat Medium" w:cs="Calibri"/>
                <w:color w:val="000000"/>
                <w:sz w:val="18"/>
                <w:szCs w:val="18"/>
              </w:rPr>
              <w:t>256,526,199.64</w:t>
            </w:r>
          </w:p>
        </w:tc>
      </w:tr>
      <w:tr w:rsidR="00407404" w:rsidRPr="00D56579" w14:paraId="789ED974" w14:textId="77777777" w:rsidTr="00153CD3">
        <w:trPr>
          <w:trHeight w:val="255"/>
          <w:jc w:val="center"/>
        </w:trPr>
        <w:tc>
          <w:tcPr>
            <w:tcW w:w="4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8492E" w14:textId="77777777" w:rsidR="00407404" w:rsidRPr="00D56579" w:rsidRDefault="00407404" w:rsidP="002F131C">
            <w:pPr>
              <w:ind w:left="2"/>
              <w:jc w:val="both"/>
              <w:rPr>
                <w:rFonts w:ascii="Montserrat Medium" w:eastAsia="Times New Roman" w:hAnsi="Montserrat Medium" w:cs="Arial"/>
                <w:b/>
                <w:sz w:val="18"/>
                <w:szCs w:val="18"/>
                <w:lang w:eastAsia="en-US"/>
              </w:rPr>
            </w:pPr>
            <w:r w:rsidRPr="00D56579">
              <w:rPr>
                <w:rFonts w:ascii="Montserrat Medium" w:eastAsia="Times New Roman" w:hAnsi="Montserrat Medium" w:cs="Tahoma"/>
                <w:b/>
                <w:bCs/>
                <w:sz w:val="18"/>
                <w:szCs w:val="18"/>
                <w:lang w:eastAsia="en-US"/>
              </w:rPr>
              <w:t>Total</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373C47BF" w14:textId="15C6288B" w:rsidR="00407404" w:rsidRPr="00D56579" w:rsidRDefault="00407404" w:rsidP="002F131C">
            <w:pPr>
              <w:ind w:left="351" w:hanging="351"/>
              <w:jc w:val="right"/>
              <w:rPr>
                <w:rFonts w:ascii="Montserrat Medium" w:hAnsi="Montserrat Medium"/>
                <w:b/>
                <w:sz w:val="18"/>
                <w:szCs w:val="18"/>
              </w:rPr>
            </w:pPr>
            <w:r>
              <w:rPr>
                <w:rFonts w:ascii="Montserrat Medium" w:hAnsi="Montserrat Medium" w:cs="Calibri"/>
                <w:b/>
                <w:bCs/>
                <w:color w:val="000000"/>
                <w:sz w:val="18"/>
                <w:szCs w:val="18"/>
              </w:rPr>
              <w:t>2,001,926,700.39</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1E9942A8" w14:textId="4C69837F" w:rsidR="00407404" w:rsidRPr="00D56579" w:rsidRDefault="00407404" w:rsidP="002F131C">
            <w:pPr>
              <w:ind w:left="351" w:hanging="351"/>
              <w:jc w:val="right"/>
              <w:rPr>
                <w:rFonts w:ascii="Montserrat Medium" w:hAnsi="Montserrat Medium"/>
                <w:b/>
                <w:sz w:val="18"/>
                <w:szCs w:val="18"/>
              </w:rPr>
            </w:pPr>
            <w:r>
              <w:rPr>
                <w:rFonts w:ascii="Montserrat Medium" w:hAnsi="Montserrat Medium" w:cs="Calibri"/>
                <w:b/>
                <w:bCs/>
                <w:color w:val="000000"/>
                <w:sz w:val="18"/>
                <w:szCs w:val="18"/>
              </w:rPr>
              <w:t>1,044,948,536.79</w:t>
            </w:r>
          </w:p>
        </w:tc>
      </w:tr>
    </w:tbl>
    <w:p w14:paraId="5A3BD450" w14:textId="77777777" w:rsidR="00B552D2" w:rsidRDefault="00B552D2" w:rsidP="002F131C">
      <w:pPr>
        <w:rPr>
          <w:rFonts w:ascii="Montserrat Medium" w:eastAsia="Times New Roman" w:hAnsi="Montserrat Medium" w:cs="Arial"/>
          <w:b/>
          <w:color w:val="595959"/>
          <w:sz w:val="22"/>
          <w:lang w:eastAsia="en-US"/>
        </w:rPr>
      </w:pPr>
    </w:p>
    <w:p w14:paraId="444CF20E" w14:textId="77777777" w:rsidR="00B552D2" w:rsidRDefault="00B552D2" w:rsidP="002F131C">
      <w:pPr>
        <w:rPr>
          <w:rFonts w:ascii="Montserrat Medium" w:eastAsia="Times New Roman" w:hAnsi="Montserrat Medium" w:cs="Arial"/>
          <w:b/>
          <w:color w:val="595959"/>
          <w:sz w:val="22"/>
          <w:lang w:eastAsia="en-US"/>
        </w:rPr>
      </w:pPr>
    </w:p>
    <w:p w14:paraId="07A01D53" w14:textId="3CAC623C" w:rsidR="001E3866" w:rsidRPr="0046184C" w:rsidRDefault="001E3866" w:rsidP="002F131C">
      <w:pPr>
        <w:rPr>
          <w:rFonts w:ascii="Montserrat Medium" w:eastAsia="Times New Roman" w:hAnsi="Montserrat Medium" w:cs="Arial"/>
          <w:b/>
          <w:color w:val="595959"/>
          <w:sz w:val="22"/>
          <w:lang w:eastAsia="en-US"/>
        </w:rPr>
      </w:pPr>
      <w:r w:rsidRPr="0046184C">
        <w:rPr>
          <w:rFonts w:ascii="Montserrat Medium" w:eastAsia="Times New Roman" w:hAnsi="Montserrat Medium" w:cs="Arial"/>
          <w:b/>
          <w:color w:val="595959"/>
          <w:sz w:val="22"/>
          <w:lang w:eastAsia="en-US"/>
        </w:rPr>
        <w:t>Fideicomisos</w:t>
      </w:r>
      <w:r w:rsidR="00F6177F" w:rsidRPr="0046184C">
        <w:rPr>
          <w:rFonts w:ascii="Montserrat Medium" w:eastAsia="Times New Roman" w:hAnsi="Montserrat Medium" w:cs="Arial"/>
          <w:b/>
          <w:color w:val="595959"/>
          <w:sz w:val="22"/>
          <w:lang w:eastAsia="en-US"/>
        </w:rPr>
        <w:t xml:space="preserve"> </w:t>
      </w:r>
    </w:p>
    <w:p w14:paraId="2491B4DF" w14:textId="77777777" w:rsidR="00DA4E97" w:rsidRPr="0046184C" w:rsidRDefault="00DA4E97" w:rsidP="002F131C">
      <w:pPr>
        <w:rPr>
          <w:rFonts w:ascii="Montserrat Medium" w:eastAsia="Times New Roman" w:hAnsi="Montserrat Medium" w:cs="Arial"/>
          <w:color w:val="595959"/>
          <w:lang w:eastAsia="en-US"/>
        </w:rPr>
      </w:pPr>
    </w:p>
    <w:p w14:paraId="04D49FF0" w14:textId="28F18AC0" w:rsidR="0062599F" w:rsidRDefault="001E3866" w:rsidP="002F131C">
      <w:pPr>
        <w:jc w:val="both"/>
        <w:rPr>
          <w:rFonts w:ascii="Montserrat Medium" w:eastAsia="Times New Roman" w:hAnsi="Montserrat Medium" w:cs="Arial"/>
          <w:color w:val="595959"/>
          <w:sz w:val="22"/>
          <w:lang w:eastAsia="en-US"/>
        </w:rPr>
      </w:pPr>
      <w:r w:rsidRPr="0046184C">
        <w:rPr>
          <w:rFonts w:ascii="Montserrat Medium" w:eastAsia="Times New Roman" w:hAnsi="Montserrat Medium" w:cs="Arial"/>
          <w:color w:val="595959"/>
          <w:sz w:val="22"/>
          <w:lang w:eastAsia="en-US"/>
        </w:rPr>
        <w:t xml:space="preserve">Los saldos de esta cuenta representan el monto de los recursos para el ejercicio de las funciones encomendadas y se integran </w:t>
      </w:r>
      <w:r w:rsidR="000901FA" w:rsidRPr="0046184C">
        <w:rPr>
          <w:rFonts w:ascii="Montserrat Medium" w:eastAsia="Times New Roman" w:hAnsi="Montserrat Medium" w:cs="Arial"/>
          <w:color w:val="595959"/>
          <w:sz w:val="22"/>
          <w:lang w:eastAsia="en-US"/>
        </w:rPr>
        <w:t>a</w:t>
      </w:r>
      <w:r w:rsidR="00A4586C" w:rsidRPr="0046184C">
        <w:rPr>
          <w:rFonts w:ascii="Montserrat Medium" w:eastAsia="Times New Roman" w:hAnsi="Montserrat Medium" w:cs="Arial"/>
          <w:color w:val="595959"/>
          <w:sz w:val="22"/>
          <w:lang w:eastAsia="en-US"/>
        </w:rPr>
        <w:t>l 3</w:t>
      </w:r>
      <w:r w:rsidR="0046184C">
        <w:rPr>
          <w:rFonts w:ascii="Montserrat Medium" w:eastAsia="Times New Roman" w:hAnsi="Montserrat Medium" w:cs="Arial"/>
          <w:color w:val="595959"/>
          <w:sz w:val="22"/>
          <w:lang w:eastAsia="en-US"/>
        </w:rPr>
        <w:t>0</w:t>
      </w:r>
      <w:r w:rsidR="00A4586C" w:rsidRPr="0046184C">
        <w:rPr>
          <w:rFonts w:ascii="Montserrat Medium" w:eastAsia="Times New Roman" w:hAnsi="Montserrat Medium" w:cs="Arial"/>
          <w:color w:val="595959"/>
          <w:sz w:val="22"/>
          <w:lang w:eastAsia="en-US"/>
        </w:rPr>
        <w:t xml:space="preserve"> de </w:t>
      </w:r>
      <w:r w:rsidR="0046184C">
        <w:rPr>
          <w:rFonts w:ascii="Montserrat Medium" w:eastAsia="Times New Roman" w:hAnsi="Montserrat Medium" w:cs="Arial"/>
          <w:color w:val="595959"/>
          <w:sz w:val="22"/>
          <w:lang w:eastAsia="en-US"/>
        </w:rPr>
        <w:t>junio</w:t>
      </w:r>
      <w:r w:rsidR="00A4586C" w:rsidRPr="0046184C">
        <w:rPr>
          <w:rFonts w:ascii="Montserrat Medium" w:eastAsia="Times New Roman" w:hAnsi="Montserrat Medium" w:cs="Arial"/>
          <w:color w:val="595959"/>
          <w:sz w:val="22"/>
          <w:lang w:eastAsia="en-US"/>
        </w:rPr>
        <w:t xml:space="preserve"> de 202</w:t>
      </w:r>
      <w:r w:rsidR="007B6DA4" w:rsidRPr="0046184C">
        <w:rPr>
          <w:rFonts w:ascii="Montserrat Medium" w:eastAsia="Times New Roman" w:hAnsi="Montserrat Medium" w:cs="Arial"/>
          <w:color w:val="595959"/>
          <w:sz w:val="22"/>
          <w:lang w:eastAsia="en-US"/>
        </w:rPr>
        <w:t>5</w:t>
      </w:r>
      <w:r w:rsidR="00D73B96" w:rsidRPr="0046184C">
        <w:rPr>
          <w:rFonts w:ascii="Montserrat Medium" w:eastAsia="Times New Roman" w:hAnsi="Montserrat Medium" w:cs="Arial"/>
          <w:color w:val="595959"/>
          <w:sz w:val="22"/>
          <w:lang w:eastAsia="en-US"/>
        </w:rPr>
        <w:t xml:space="preserve">, </w:t>
      </w:r>
      <w:r w:rsidRPr="0046184C">
        <w:rPr>
          <w:rFonts w:ascii="Montserrat Medium" w:eastAsia="Times New Roman" w:hAnsi="Montserrat Medium" w:cs="Arial"/>
          <w:color w:val="595959"/>
          <w:sz w:val="22"/>
          <w:lang w:eastAsia="en-US"/>
        </w:rPr>
        <w:t>como se muestra a continuación:</w:t>
      </w:r>
    </w:p>
    <w:p w14:paraId="56EED9A1" w14:textId="77777777" w:rsidR="00B552D2" w:rsidRDefault="00B552D2" w:rsidP="002F131C">
      <w:pPr>
        <w:jc w:val="both"/>
        <w:rPr>
          <w:rFonts w:ascii="Montserrat Medium" w:eastAsia="Times New Roman" w:hAnsi="Montserrat Medium" w:cs="Arial"/>
          <w:color w:val="595959"/>
          <w:sz w:val="22"/>
          <w:lang w:eastAsia="en-US"/>
        </w:rPr>
      </w:pPr>
    </w:p>
    <w:tbl>
      <w:tblPr>
        <w:tblW w:w="9682" w:type="dxa"/>
        <w:jc w:val="center"/>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5"/>
        <w:gridCol w:w="1701"/>
        <w:gridCol w:w="1426"/>
      </w:tblGrid>
      <w:tr w:rsidR="00861B30" w:rsidRPr="009C26EF" w14:paraId="169C58C6" w14:textId="77777777" w:rsidTr="000657EF">
        <w:trPr>
          <w:trHeight w:val="283"/>
          <w:tblHeader/>
          <w:jc w:val="center"/>
        </w:trPr>
        <w:tc>
          <w:tcPr>
            <w:tcW w:w="6555"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750720A9" w14:textId="77777777" w:rsidR="00861B30" w:rsidRPr="00A76F9D" w:rsidRDefault="00861B30" w:rsidP="000657EF">
            <w:pPr>
              <w:jc w:val="center"/>
              <w:rPr>
                <w:rFonts w:ascii="Montserrat Medium" w:eastAsia="Times New Roman" w:hAnsi="Montserrat Medium" w:cs="Futura Medium"/>
                <w:b/>
                <w:sz w:val="16"/>
                <w:szCs w:val="18"/>
                <w:lang w:eastAsia="en-US"/>
              </w:rPr>
            </w:pPr>
            <w:r w:rsidRPr="00A76F9D">
              <w:rPr>
                <w:rFonts w:ascii="Montserrat Medium" w:eastAsia="Times New Roman" w:hAnsi="Montserrat Medium" w:cs="Futura Medium"/>
                <w:sz w:val="16"/>
                <w:szCs w:val="18"/>
                <w:lang w:eastAsia="en-US"/>
              </w:rPr>
              <w:lastRenderedPageBreak/>
              <w:br w:type="page"/>
            </w:r>
            <w:r w:rsidRPr="00A76F9D">
              <w:rPr>
                <w:rFonts w:ascii="Montserrat Medium" w:eastAsia="Times New Roman" w:hAnsi="Montserrat Medium" w:cs="Futura Medium"/>
                <w:b/>
                <w:sz w:val="16"/>
                <w:szCs w:val="18"/>
                <w:lang w:eastAsia="en-US"/>
              </w:rPr>
              <w:t>Fideicomiso</w:t>
            </w:r>
          </w:p>
        </w:tc>
        <w:tc>
          <w:tcPr>
            <w:tcW w:w="1701" w:type="dxa"/>
            <w:tcBorders>
              <w:top w:val="single" w:sz="4" w:space="0" w:color="auto"/>
              <w:left w:val="single" w:sz="4" w:space="0" w:color="auto"/>
              <w:bottom w:val="single" w:sz="4" w:space="0" w:color="auto"/>
              <w:right w:val="single" w:sz="4" w:space="0" w:color="auto"/>
            </w:tcBorders>
            <w:shd w:val="clear" w:color="auto" w:fill="A6A6A6"/>
            <w:vAlign w:val="center"/>
          </w:tcPr>
          <w:p w14:paraId="2D7CF7DF" w14:textId="77777777" w:rsidR="00861B30" w:rsidRPr="00A76F9D" w:rsidRDefault="00861B30" w:rsidP="000657EF">
            <w:pPr>
              <w:jc w:val="center"/>
              <w:rPr>
                <w:rFonts w:ascii="Montserrat Medium" w:eastAsia="Times New Roman" w:hAnsi="Montserrat Medium" w:cs="Futura Medium"/>
                <w:b/>
                <w:sz w:val="16"/>
                <w:szCs w:val="18"/>
                <w:lang w:eastAsia="en-US"/>
              </w:rPr>
            </w:pPr>
            <w:r w:rsidRPr="00A76F9D">
              <w:rPr>
                <w:rFonts w:ascii="Montserrat Medium" w:eastAsia="Times New Roman" w:hAnsi="Montserrat Medium" w:cs="Futura Medium"/>
                <w:b/>
                <w:sz w:val="16"/>
                <w:szCs w:val="18"/>
                <w:lang w:eastAsia="en-US"/>
              </w:rPr>
              <w:t>Al 3</w:t>
            </w:r>
            <w:r>
              <w:rPr>
                <w:rFonts w:ascii="Montserrat Medium" w:eastAsia="Times New Roman" w:hAnsi="Montserrat Medium" w:cs="Futura Medium"/>
                <w:b/>
                <w:sz w:val="16"/>
                <w:szCs w:val="18"/>
                <w:lang w:eastAsia="en-US"/>
              </w:rPr>
              <w:t>0</w:t>
            </w:r>
            <w:r w:rsidRPr="00A76F9D">
              <w:rPr>
                <w:rFonts w:ascii="Montserrat Medium" w:eastAsia="Times New Roman" w:hAnsi="Montserrat Medium" w:cs="Futura Medium"/>
                <w:b/>
                <w:sz w:val="16"/>
                <w:szCs w:val="18"/>
                <w:lang w:eastAsia="en-US"/>
              </w:rPr>
              <w:t xml:space="preserve"> de </w:t>
            </w:r>
            <w:r>
              <w:rPr>
                <w:rFonts w:ascii="Montserrat Medium" w:eastAsia="Times New Roman" w:hAnsi="Montserrat Medium" w:cs="Futura Medium"/>
                <w:b/>
                <w:sz w:val="16"/>
                <w:szCs w:val="18"/>
                <w:lang w:eastAsia="en-US"/>
              </w:rPr>
              <w:t>Junio</w:t>
            </w:r>
            <w:r w:rsidRPr="00A76F9D">
              <w:rPr>
                <w:rFonts w:ascii="Montserrat Medium" w:eastAsia="Times New Roman" w:hAnsi="Montserrat Medium" w:cs="Futura Medium"/>
                <w:b/>
                <w:sz w:val="16"/>
                <w:szCs w:val="18"/>
                <w:lang w:eastAsia="en-US"/>
              </w:rPr>
              <w:t xml:space="preserve"> 2025</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2E3DDEE2" w14:textId="77777777" w:rsidR="00861B30" w:rsidRPr="00A76F9D" w:rsidRDefault="00861B30" w:rsidP="000657EF">
            <w:pPr>
              <w:jc w:val="center"/>
              <w:rPr>
                <w:rFonts w:ascii="Montserrat Medium" w:eastAsia="Times New Roman" w:hAnsi="Montserrat Medium" w:cs="Futura Medium"/>
                <w:b/>
                <w:sz w:val="16"/>
                <w:szCs w:val="18"/>
                <w:lang w:eastAsia="en-US"/>
              </w:rPr>
            </w:pPr>
            <w:r w:rsidRPr="00A76F9D">
              <w:rPr>
                <w:rFonts w:ascii="Montserrat Medium" w:eastAsia="Times New Roman" w:hAnsi="Montserrat Medium" w:cs="Futura Medium"/>
                <w:b/>
                <w:sz w:val="16"/>
                <w:szCs w:val="18"/>
                <w:lang w:eastAsia="en-US"/>
              </w:rPr>
              <w:t>2024</w:t>
            </w:r>
          </w:p>
        </w:tc>
      </w:tr>
      <w:tr w:rsidR="00861B30" w:rsidRPr="009C26EF" w14:paraId="1B093A20" w14:textId="77777777" w:rsidTr="000657EF">
        <w:trPr>
          <w:trHeight w:val="394"/>
          <w:jc w:val="center"/>
        </w:trPr>
        <w:tc>
          <w:tcPr>
            <w:tcW w:w="6555" w:type="dxa"/>
            <w:tcBorders>
              <w:top w:val="single" w:sz="4" w:space="0" w:color="auto"/>
              <w:left w:val="single" w:sz="4" w:space="0" w:color="auto"/>
              <w:bottom w:val="nil"/>
              <w:right w:val="single" w:sz="4" w:space="0" w:color="auto"/>
            </w:tcBorders>
            <w:shd w:val="clear" w:color="auto" w:fill="FFFFFF"/>
            <w:noWrap/>
          </w:tcPr>
          <w:p w14:paraId="07066126" w14:textId="77777777" w:rsidR="00861B30" w:rsidRPr="00A76F9D" w:rsidRDefault="00861B30" w:rsidP="000657EF">
            <w:pPr>
              <w:rPr>
                <w:rFonts w:ascii="Montserrat Medium" w:eastAsia="Times New Roman" w:hAnsi="Montserrat Medium" w:cs="Futura Medium"/>
                <w:color w:val="595959"/>
                <w:sz w:val="16"/>
                <w:szCs w:val="18"/>
                <w:lang w:eastAsia="en-US"/>
              </w:rPr>
            </w:pPr>
            <w:r w:rsidRPr="00A76F9D">
              <w:rPr>
                <w:rFonts w:ascii="Montserrat Medium" w:eastAsia="Times New Roman" w:hAnsi="Montserrat Medium" w:cs="Futura Medium"/>
                <w:color w:val="595959"/>
                <w:sz w:val="16"/>
                <w:szCs w:val="18"/>
                <w:lang w:eastAsia="en-US"/>
              </w:rPr>
              <w:t>Contrato de Fideicomiso Irrevocable de Administración y Fuente de Pago No. F/967 de fecha 4 de noviembre de 2011 y al Convenio Modificatorio del Contrato de Fideicomiso irrevocable de administración y fuente de pago identificado administrativamente con el número F/967, celebrado el 8 de diciembre de 2011 y actualmente número 744634, constituido para registrar los contratos de créditos de largo plazo del Gobierno del Estado de Quintana Roo autorizados a suscribirse por el Congreso del Estado mediante decretos números 016 y 017 publicados en el Periódico Oficial del Estado el día 23 de septiembre de 2011; y los que de tiempo en tiempo sean autorizados por la Legislatura Local, mediante los decretos correspondientes. Es fideicomitente el Estado de Quintana Roo. Son fideicomisarios, en primer lugar cada uno de los acreedores por cada uno de sus financiamientos inscritos en el Registro de Financiamientos de este fideicomiso, en el entendido que cada fideicomisario en primer lugar solo tendrá derecho respecto a las cantidades que deban ser y que sean efectivamente depositadas en la cuenta individual que corresponda al financiamiento con el cual está relacionado, son fideicomisarios en segundo lugar, la o las instituciones de crédito constituidas como las acreedoras del fideicomitente derivado de la celebración de los contratos de garantía por el fideicomitente y es fideicomisario en tercer lugar el Estado de Quintana Roo. Es fiduciario IXE Banco, S.A. Institución de Banca Múltiple, Grupo Financiero Banorte, derivado de la fusión actualmente el Fiduciario es Banorte.</w:t>
            </w:r>
          </w:p>
          <w:p w14:paraId="1AC9B1A5" w14:textId="77777777" w:rsidR="00861B30" w:rsidRPr="00A76F9D" w:rsidRDefault="00861B30" w:rsidP="000657EF">
            <w:pPr>
              <w:rPr>
                <w:rFonts w:ascii="Montserrat Medium" w:eastAsia="Times New Roman" w:hAnsi="Montserrat Medium" w:cs="Futura Medium"/>
                <w:color w:val="595959"/>
                <w:sz w:val="16"/>
                <w:szCs w:val="18"/>
                <w:lang w:eastAsia="en-US"/>
              </w:rPr>
            </w:pPr>
          </w:p>
        </w:tc>
        <w:tc>
          <w:tcPr>
            <w:tcW w:w="1701" w:type="dxa"/>
            <w:tcBorders>
              <w:top w:val="single" w:sz="4" w:space="0" w:color="auto"/>
              <w:left w:val="single" w:sz="4" w:space="0" w:color="auto"/>
              <w:bottom w:val="nil"/>
              <w:right w:val="single" w:sz="4" w:space="0" w:color="auto"/>
            </w:tcBorders>
            <w:shd w:val="clear" w:color="auto" w:fill="auto"/>
          </w:tcPr>
          <w:p w14:paraId="46B0BB51" w14:textId="77777777" w:rsidR="00861B30" w:rsidRPr="00A76F9D" w:rsidRDefault="00861B30" w:rsidP="000657EF">
            <w:pPr>
              <w:jc w:val="right"/>
              <w:rPr>
                <w:rFonts w:ascii="Montserrat Medium" w:eastAsia="Times New Roman" w:hAnsi="Montserrat Medium" w:cs="Futura Medium"/>
                <w:color w:val="595959"/>
                <w:sz w:val="16"/>
                <w:szCs w:val="18"/>
                <w:lang w:eastAsia="en-US"/>
              </w:rPr>
            </w:pPr>
            <w:r w:rsidRPr="00A76F9D">
              <w:rPr>
                <w:rFonts w:ascii="Montserrat Medium" w:eastAsia="Times New Roman" w:hAnsi="Montserrat Medium" w:cs="Futura Medium"/>
                <w:color w:val="595959"/>
                <w:sz w:val="16"/>
                <w:szCs w:val="18"/>
                <w:lang w:eastAsia="en-US"/>
              </w:rPr>
              <w:t>300,772,448.04</w:t>
            </w:r>
          </w:p>
          <w:p w14:paraId="050EEAFF" w14:textId="77777777" w:rsidR="00861B30" w:rsidRPr="00A76F9D" w:rsidRDefault="00861B30" w:rsidP="000657EF">
            <w:pPr>
              <w:jc w:val="right"/>
              <w:rPr>
                <w:rFonts w:ascii="Montserrat Medium" w:eastAsia="Times New Roman" w:hAnsi="Montserrat Medium" w:cs="Futura Medium"/>
                <w:color w:val="595959"/>
                <w:sz w:val="16"/>
                <w:szCs w:val="18"/>
                <w:lang w:eastAsia="en-US"/>
              </w:rPr>
            </w:pPr>
          </w:p>
        </w:tc>
        <w:tc>
          <w:tcPr>
            <w:tcW w:w="1426" w:type="dxa"/>
            <w:tcBorders>
              <w:top w:val="single" w:sz="4" w:space="0" w:color="auto"/>
              <w:left w:val="single" w:sz="4" w:space="0" w:color="auto"/>
              <w:bottom w:val="nil"/>
              <w:right w:val="single" w:sz="4" w:space="0" w:color="auto"/>
            </w:tcBorders>
          </w:tcPr>
          <w:p w14:paraId="2859E093" w14:textId="77777777" w:rsidR="00861B30" w:rsidRPr="00A76F9D" w:rsidRDefault="00861B30" w:rsidP="000657EF">
            <w:pPr>
              <w:jc w:val="right"/>
              <w:rPr>
                <w:rFonts w:ascii="Montserrat Medium" w:eastAsia="Times New Roman" w:hAnsi="Montserrat Medium" w:cs="Futura Medium"/>
                <w:color w:val="595959"/>
                <w:sz w:val="16"/>
                <w:szCs w:val="18"/>
                <w:lang w:eastAsia="en-US"/>
              </w:rPr>
            </w:pPr>
            <w:r w:rsidRPr="00A76F9D">
              <w:rPr>
                <w:rFonts w:ascii="Montserrat Medium" w:eastAsia="Times New Roman" w:hAnsi="Montserrat Medium" w:cs="Futura Medium"/>
                <w:color w:val="595959"/>
                <w:sz w:val="16"/>
                <w:szCs w:val="18"/>
                <w:lang w:eastAsia="en-US"/>
              </w:rPr>
              <w:t>374,364,392.91</w:t>
            </w:r>
          </w:p>
        </w:tc>
      </w:tr>
      <w:tr w:rsidR="00861B30" w:rsidRPr="009C26EF" w14:paraId="69080F4A" w14:textId="77777777" w:rsidTr="000657EF">
        <w:trPr>
          <w:trHeight w:val="394"/>
          <w:jc w:val="center"/>
        </w:trPr>
        <w:tc>
          <w:tcPr>
            <w:tcW w:w="6555" w:type="dxa"/>
            <w:tcBorders>
              <w:top w:val="nil"/>
              <w:left w:val="single" w:sz="4" w:space="0" w:color="auto"/>
              <w:bottom w:val="nil"/>
              <w:right w:val="single" w:sz="4" w:space="0" w:color="auto"/>
            </w:tcBorders>
            <w:shd w:val="clear" w:color="auto" w:fill="FFFFFF"/>
            <w:noWrap/>
          </w:tcPr>
          <w:p w14:paraId="4C07A57B" w14:textId="77777777" w:rsidR="00861B30" w:rsidRPr="00A76F9D" w:rsidRDefault="00861B30" w:rsidP="000657EF">
            <w:pPr>
              <w:rPr>
                <w:rFonts w:ascii="Montserrat Medium" w:eastAsia="Times New Roman" w:hAnsi="Montserrat Medium" w:cs="Futura Medium"/>
                <w:color w:val="595959"/>
                <w:sz w:val="16"/>
                <w:szCs w:val="18"/>
                <w:lang w:eastAsia="en-US"/>
              </w:rPr>
            </w:pPr>
            <w:r w:rsidRPr="00A76F9D">
              <w:rPr>
                <w:rFonts w:ascii="Montserrat Medium" w:eastAsia="Times New Roman" w:hAnsi="Montserrat Medium" w:cs="Futura Medium"/>
                <w:color w:val="595959"/>
                <w:sz w:val="16"/>
                <w:szCs w:val="18"/>
                <w:lang w:eastAsia="en-US"/>
              </w:rPr>
              <w:t>Fideicomiso de Administración F/2003859 para administrar y aplicar de manera correcta, transparente, confiable y oportuna el manejo de los recursos materia del Fideicomiso, que se destinarán al financiamiento de las obras y acciones de reconstrucción de la infraestructura estatal aprobadas en el marco de las reglas generales del Fondo de Desastres Naturales.</w:t>
            </w:r>
          </w:p>
          <w:p w14:paraId="5C6440F0" w14:textId="77777777" w:rsidR="00861B30" w:rsidRPr="00A76F9D" w:rsidRDefault="00861B30" w:rsidP="000657EF">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0D1C2E8D" w14:textId="77777777" w:rsidR="00861B30" w:rsidRPr="00A76F9D" w:rsidRDefault="00861B30" w:rsidP="000657EF">
            <w:pPr>
              <w:jc w:val="right"/>
              <w:rPr>
                <w:rFonts w:ascii="Montserrat Medium" w:eastAsia="Times New Roman" w:hAnsi="Montserrat Medium" w:cs="Futura Medium"/>
                <w:color w:val="595959"/>
                <w:sz w:val="16"/>
                <w:szCs w:val="18"/>
                <w:lang w:eastAsia="en-US"/>
              </w:rPr>
            </w:pPr>
            <w:r w:rsidRPr="00A76F9D">
              <w:rPr>
                <w:rFonts w:ascii="Montserrat Medium" w:eastAsia="Times New Roman" w:hAnsi="Montserrat Medium" w:cs="Futura Medium"/>
                <w:color w:val="595959"/>
                <w:sz w:val="16"/>
                <w:szCs w:val="18"/>
                <w:lang w:eastAsia="en-US"/>
              </w:rPr>
              <w:t>55,480,898.70</w:t>
            </w:r>
          </w:p>
        </w:tc>
        <w:tc>
          <w:tcPr>
            <w:tcW w:w="1426" w:type="dxa"/>
            <w:tcBorders>
              <w:top w:val="nil"/>
              <w:left w:val="single" w:sz="4" w:space="0" w:color="auto"/>
              <w:bottom w:val="nil"/>
              <w:right w:val="single" w:sz="4" w:space="0" w:color="auto"/>
            </w:tcBorders>
          </w:tcPr>
          <w:p w14:paraId="0D329844" w14:textId="77777777" w:rsidR="00861B30" w:rsidRPr="00A76F9D" w:rsidRDefault="00861B30" w:rsidP="000657EF">
            <w:pPr>
              <w:jc w:val="right"/>
              <w:rPr>
                <w:rFonts w:ascii="Montserrat Medium" w:eastAsia="Times New Roman" w:hAnsi="Montserrat Medium" w:cs="Futura Medium"/>
                <w:color w:val="595959"/>
                <w:sz w:val="16"/>
                <w:szCs w:val="18"/>
                <w:lang w:eastAsia="en-US"/>
              </w:rPr>
            </w:pPr>
            <w:r w:rsidRPr="00A76F9D">
              <w:rPr>
                <w:rFonts w:ascii="Montserrat Medium" w:eastAsia="Times New Roman" w:hAnsi="Montserrat Medium" w:cs="Futura Medium"/>
                <w:color w:val="595959"/>
                <w:sz w:val="16"/>
                <w:szCs w:val="18"/>
                <w:lang w:eastAsia="en-US"/>
              </w:rPr>
              <w:t>46,633,567.71</w:t>
            </w:r>
          </w:p>
        </w:tc>
      </w:tr>
      <w:tr w:rsidR="00861B30" w:rsidRPr="009C26EF" w14:paraId="2D654993" w14:textId="77777777" w:rsidTr="00B552D2">
        <w:trPr>
          <w:trHeight w:val="394"/>
          <w:jc w:val="center"/>
        </w:trPr>
        <w:tc>
          <w:tcPr>
            <w:tcW w:w="6555" w:type="dxa"/>
            <w:tcBorders>
              <w:top w:val="nil"/>
              <w:left w:val="single" w:sz="4" w:space="0" w:color="auto"/>
              <w:bottom w:val="nil"/>
              <w:right w:val="single" w:sz="4" w:space="0" w:color="auto"/>
            </w:tcBorders>
            <w:shd w:val="clear" w:color="auto" w:fill="FFFFFF"/>
            <w:noWrap/>
          </w:tcPr>
          <w:p w14:paraId="753F78A0" w14:textId="77777777" w:rsidR="00861B30" w:rsidRPr="00A76F9D" w:rsidRDefault="00861B30" w:rsidP="000657EF">
            <w:pPr>
              <w:rPr>
                <w:rFonts w:ascii="Montserrat Medium" w:eastAsia="Times New Roman" w:hAnsi="Montserrat Medium" w:cs="Futura Medium"/>
                <w:color w:val="595959"/>
                <w:sz w:val="16"/>
                <w:szCs w:val="18"/>
                <w:lang w:eastAsia="en-US"/>
              </w:rPr>
            </w:pPr>
            <w:r w:rsidRPr="00A76F9D">
              <w:rPr>
                <w:rFonts w:ascii="Montserrat Medium" w:eastAsia="Times New Roman" w:hAnsi="Montserrat Medium" w:cs="Futura Medium"/>
                <w:color w:val="595959"/>
                <w:sz w:val="16"/>
                <w:szCs w:val="18"/>
                <w:lang w:eastAsia="en-US"/>
              </w:rPr>
              <w:t>Fideicomiso de Administración e inversión N° 2004216 denominado Fideicomiso para el manejo integral de la zona costera, desarrollo social y seguridad para el Estado de Quintana Roo</w:t>
            </w:r>
          </w:p>
          <w:p w14:paraId="1F037DCD" w14:textId="77777777" w:rsidR="00861B30" w:rsidRPr="00A76F9D" w:rsidRDefault="00861B30" w:rsidP="000657EF">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63FDD5B2" w14:textId="77777777" w:rsidR="00861B30" w:rsidRPr="00A76F9D" w:rsidRDefault="00861B30" w:rsidP="000657EF">
            <w:pPr>
              <w:jc w:val="right"/>
              <w:rPr>
                <w:rFonts w:ascii="Montserrat Medium" w:eastAsia="Times New Roman" w:hAnsi="Montserrat Medium" w:cs="Futura Medium"/>
                <w:color w:val="595959"/>
                <w:sz w:val="16"/>
                <w:szCs w:val="18"/>
                <w:lang w:eastAsia="en-US"/>
              </w:rPr>
            </w:pPr>
            <w:r w:rsidRPr="00A76F9D">
              <w:rPr>
                <w:rFonts w:ascii="Montserrat Medium" w:eastAsia="Times New Roman" w:hAnsi="Montserrat Medium" w:cs="Futura Medium"/>
                <w:color w:val="595959"/>
                <w:sz w:val="16"/>
                <w:szCs w:val="18"/>
                <w:lang w:eastAsia="en-US"/>
              </w:rPr>
              <w:t>27,745,507.97</w:t>
            </w:r>
          </w:p>
        </w:tc>
        <w:tc>
          <w:tcPr>
            <w:tcW w:w="1426" w:type="dxa"/>
            <w:tcBorders>
              <w:top w:val="nil"/>
              <w:left w:val="single" w:sz="4" w:space="0" w:color="auto"/>
              <w:bottom w:val="nil"/>
              <w:right w:val="single" w:sz="4" w:space="0" w:color="auto"/>
            </w:tcBorders>
          </w:tcPr>
          <w:p w14:paraId="1BFBFEA9" w14:textId="77777777" w:rsidR="00861B30" w:rsidRPr="00A76F9D" w:rsidRDefault="00861B30" w:rsidP="000657EF">
            <w:pPr>
              <w:jc w:val="right"/>
              <w:rPr>
                <w:rFonts w:ascii="Montserrat Medium" w:eastAsia="Times New Roman" w:hAnsi="Montserrat Medium" w:cs="Futura Medium"/>
                <w:color w:val="595959"/>
                <w:sz w:val="16"/>
                <w:szCs w:val="18"/>
                <w:lang w:eastAsia="en-US"/>
              </w:rPr>
            </w:pPr>
            <w:r w:rsidRPr="00A76F9D">
              <w:rPr>
                <w:rFonts w:ascii="Montserrat Medium" w:eastAsia="Times New Roman" w:hAnsi="Montserrat Medium" w:cs="Futura Medium"/>
                <w:color w:val="595959"/>
                <w:sz w:val="16"/>
                <w:szCs w:val="18"/>
                <w:lang w:eastAsia="en-US"/>
              </w:rPr>
              <w:t>27,715,375.34</w:t>
            </w:r>
          </w:p>
        </w:tc>
      </w:tr>
      <w:tr w:rsidR="00861B30" w:rsidRPr="009C26EF" w14:paraId="35966392" w14:textId="77777777" w:rsidTr="00B552D2">
        <w:trPr>
          <w:trHeight w:val="394"/>
          <w:jc w:val="center"/>
        </w:trPr>
        <w:tc>
          <w:tcPr>
            <w:tcW w:w="6555" w:type="dxa"/>
            <w:tcBorders>
              <w:top w:val="nil"/>
              <w:left w:val="single" w:sz="4" w:space="0" w:color="auto"/>
              <w:bottom w:val="nil"/>
              <w:right w:val="single" w:sz="4" w:space="0" w:color="auto"/>
            </w:tcBorders>
            <w:shd w:val="clear" w:color="auto" w:fill="FFFFFF"/>
            <w:noWrap/>
          </w:tcPr>
          <w:p w14:paraId="21C45E60" w14:textId="77777777" w:rsidR="00861B30" w:rsidRPr="00491DCB" w:rsidRDefault="00861B30" w:rsidP="000657EF">
            <w:pPr>
              <w:rPr>
                <w:rFonts w:ascii="Montserrat Medium" w:eastAsia="Times New Roman" w:hAnsi="Montserrat Medium" w:cs="Futura Medium"/>
                <w:color w:val="595959"/>
                <w:sz w:val="16"/>
                <w:szCs w:val="18"/>
                <w:lang w:eastAsia="en-US"/>
              </w:rPr>
            </w:pPr>
            <w:r w:rsidRPr="00491DCB">
              <w:rPr>
                <w:rFonts w:ascii="Montserrat Medium" w:eastAsia="Times New Roman" w:hAnsi="Montserrat Medium" w:cs="Futura Medium"/>
                <w:color w:val="595959"/>
                <w:sz w:val="16"/>
                <w:szCs w:val="18"/>
                <w:lang w:eastAsia="en-US"/>
              </w:rPr>
              <w:t>Contrato de fideicomiso irrevocable de inversión y administración N° 2230 para la implementación del sistema de justicia penal, es fideicomitente el Estado de Quintana Roo por conducto de la Secretaría de Finanzas y Planeación del Estado de Quintana Roo, Son fideicomisarios A) el Banco Nacional de Obras y Servicios, S.N.C. fiduciario del fideicomiso No. 2211 B) el Estado de Quintana Roo.</w:t>
            </w:r>
          </w:p>
        </w:tc>
        <w:tc>
          <w:tcPr>
            <w:tcW w:w="1701" w:type="dxa"/>
            <w:tcBorders>
              <w:top w:val="nil"/>
              <w:left w:val="single" w:sz="4" w:space="0" w:color="auto"/>
              <w:bottom w:val="nil"/>
              <w:right w:val="single" w:sz="4" w:space="0" w:color="auto"/>
            </w:tcBorders>
            <w:shd w:val="clear" w:color="auto" w:fill="auto"/>
          </w:tcPr>
          <w:p w14:paraId="056557C7" w14:textId="77777777" w:rsidR="00861B30" w:rsidRPr="00491DCB" w:rsidRDefault="00861B30" w:rsidP="000657EF">
            <w:pPr>
              <w:jc w:val="right"/>
              <w:rPr>
                <w:rFonts w:ascii="Montserrat Medium" w:eastAsia="Times New Roman" w:hAnsi="Montserrat Medium" w:cs="Futura Medium"/>
                <w:bCs/>
                <w:color w:val="595959"/>
                <w:sz w:val="16"/>
                <w:szCs w:val="18"/>
              </w:rPr>
            </w:pPr>
            <w:r w:rsidRPr="00491DCB">
              <w:rPr>
                <w:rFonts w:ascii="Montserrat Medium" w:eastAsia="Times New Roman" w:hAnsi="Montserrat Medium" w:cs="Futura Medium"/>
                <w:bCs/>
                <w:color w:val="595959"/>
                <w:sz w:val="16"/>
                <w:szCs w:val="18"/>
              </w:rPr>
              <w:t>9,507,611.63</w:t>
            </w:r>
          </w:p>
          <w:p w14:paraId="1BE52B09" w14:textId="77777777" w:rsidR="00861B30" w:rsidRPr="00491DCB" w:rsidRDefault="00861B30" w:rsidP="000657EF">
            <w:pPr>
              <w:jc w:val="right"/>
              <w:rPr>
                <w:rFonts w:ascii="Montserrat Medium" w:eastAsia="Times New Roman" w:hAnsi="Montserrat Medium" w:cs="Futura Medium"/>
                <w:color w:val="595959"/>
                <w:sz w:val="16"/>
                <w:szCs w:val="18"/>
                <w:lang w:eastAsia="en-US"/>
              </w:rPr>
            </w:pPr>
          </w:p>
        </w:tc>
        <w:tc>
          <w:tcPr>
            <w:tcW w:w="1426" w:type="dxa"/>
            <w:tcBorders>
              <w:top w:val="nil"/>
              <w:left w:val="single" w:sz="4" w:space="0" w:color="auto"/>
              <w:bottom w:val="nil"/>
              <w:right w:val="single" w:sz="4" w:space="0" w:color="auto"/>
            </w:tcBorders>
          </w:tcPr>
          <w:p w14:paraId="41B0C585" w14:textId="77777777" w:rsidR="00861B30" w:rsidRPr="00491DCB" w:rsidRDefault="00861B30" w:rsidP="000657EF">
            <w:pPr>
              <w:jc w:val="right"/>
              <w:rPr>
                <w:rFonts w:ascii="Montserrat Medium" w:eastAsia="Times New Roman" w:hAnsi="Montserrat Medium" w:cs="Futura Medium"/>
                <w:color w:val="595959"/>
                <w:sz w:val="16"/>
                <w:szCs w:val="18"/>
                <w:lang w:eastAsia="en-US"/>
              </w:rPr>
            </w:pPr>
            <w:r w:rsidRPr="00491DCB">
              <w:rPr>
                <w:rFonts w:ascii="Montserrat Medium" w:eastAsia="Times New Roman" w:hAnsi="Montserrat Medium" w:cs="Futura Medium"/>
                <w:color w:val="595959"/>
                <w:sz w:val="16"/>
                <w:szCs w:val="18"/>
                <w:lang w:eastAsia="en-US"/>
              </w:rPr>
              <w:t>9,805,231.83</w:t>
            </w:r>
          </w:p>
        </w:tc>
      </w:tr>
      <w:tr w:rsidR="00861B30" w:rsidRPr="009C26EF" w14:paraId="73BC332E" w14:textId="77777777" w:rsidTr="00636952">
        <w:trPr>
          <w:trHeight w:val="394"/>
          <w:jc w:val="center"/>
        </w:trPr>
        <w:tc>
          <w:tcPr>
            <w:tcW w:w="6555" w:type="dxa"/>
            <w:tcBorders>
              <w:top w:val="nil"/>
              <w:left w:val="single" w:sz="4" w:space="0" w:color="auto"/>
              <w:bottom w:val="nil"/>
              <w:right w:val="single" w:sz="4" w:space="0" w:color="auto"/>
            </w:tcBorders>
            <w:shd w:val="clear" w:color="auto" w:fill="FFFFFF"/>
            <w:noWrap/>
          </w:tcPr>
          <w:p w14:paraId="6576B33A" w14:textId="77777777" w:rsidR="00861B30" w:rsidRPr="00491DCB" w:rsidRDefault="00861B30" w:rsidP="000657EF">
            <w:pPr>
              <w:rPr>
                <w:rFonts w:ascii="Montserrat Medium" w:eastAsia="Times New Roman" w:hAnsi="Montserrat Medium" w:cs="Futura Medium"/>
                <w:color w:val="595959"/>
                <w:sz w:val="16"/>
                <w:szCs w:val="18"/>
                <w:lang w:eastAsia="en-US"/>
              </w:rPr>
            </w:pPr>
            <w:r w:rsidRPr="00491DCB">
              <w:rPr>
                <w:rFonts w:ascii="Montserrat Medium" w:eastAsia="Times New Roman" w:hAnsi="Montserrat Medium" w:cs="Futura Medium"/>
                <w:color w:val="595959"/>
                <w:sz w:val="16"/>
                <w:szCs w:val="18"/>
                <w:lang w:eastAsia="en-US"/>
              </w:rPr>
              <w:t>Contrato de fideicomiso irrevocable de inversión y administración N°745372 de aprovisionamiento para el pago de aguinaldo, es fideicomitente el Estado de Quintana Roo por conducto de la Secretaría de Finanzas y Planeación del Estado de Quintana Roo, es fideicomisario único, el propio Fideicomitente; es fiduciario el Banco Mercantil del Norte, Sociedad Anónima, Institución de Banca Múltiple, Grupo Financiero Banorte.</w:t>
            </w:r>
          </w:p>
          <w:p w14:paraId="15C69416" w14:textId="77777777" w:rsidR="00861B30" w:rsidRPr="00491DCB" w:rsidRDefault="00861B30" w:rsidP="000657EF">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7E2BC590" w14:textId="77777777" w:rsidR="00861B30" w:rsidRPr="00491DCB" w:rsidRDefault="00861B30" w:rsidP="000657EF">
            <w:pPr>
              <w:ind w:left="351" w:hanging="351"/>
              <w:jc w:val="right"/>
              <w:rPr>
                <w:rFonts w:ascii="Montserrat Medium" w:eastAsia="Times New Roman" w:hAnsi="Montserrat Medium" w:cs="Futura Medium"/>
                <w:bCs/>
                <w:color w:val="595959"/>
                <w:sz w:val="16"/>
                <w:szCs w:val="18"/>
              </w:rPr>
            </w:pPr>
            <w:r w:rsidRPr="00491DCB">
              <w:rPr>
                <w:rFonts w:ascii="Montserrat Medium" w:eastAsia="Times New Roman" w:hAnsi="Montserrat Medium" w:cs="Futura Medium"/>
                <w:bCs/>
                <w:color w:val="595959"/>
                <w:sz w:val="16"/>
                <w:szCs w:val="18"/>
              </w:rPr>
              <w:t>205,352,115.70</w:t>
            </w:r>
          </w:p>
        </w:tc>
        <w:tc>
          <w:tcPr>
            <w:tcW w:w="1426" w:type="dxa"/>
            <w:tcBorders>
              <w:top w:val="nil"/>
              <w:left w:val="single" w:sz="4" w:space="0" w:color="auto"/>
              <w:bottom w:val="nil"/>
              <w:right w:val="single" w:sz="4" w:space="0" w:color="auto"/>
            </w:tcBorders>
          </w:tcPr>
          <w:p w14:paraId="704720A4" w14:textId="77777777" w:rsidR="00861B30" w:rsidRPr="00491DCB" w:rsidRDefault="00861B30" w:rsidP="000657EF">
            <w:pPr>
              <w:jc w:val="right"/>
              <w:rPr>
                <w:rFonts w:ascii="Montserrat Medium" w:eastAsia="Times New Roman" w:hAnsi="Montserrat Medium" w:cs="Futura Medium"/>
                <w:bCs/>
                <w:color w:val="595959"/>
                <w:sz w:val="16"/>
                <w:szCs w:val="18"/>
              </w:rPr>
            </w:pPr>
            <w:r w:rsidRPr="00491DCB">
              <w:rPr>
                <w:rFonts w:ascii="Montserrat Medium" w:eastAsia="Times New Roman" w:hAnsi="Montserrat Medium" w:cs="Futura Medium"/>
                <w:color w:val="595959"/>
                <w:sz w:val="16"/>
                <w:szCs w:val="18"/>
              </w:rPr>
              <w:t>21,625.03</w:t>
            </w:r>
          </w:p>
        </w:tc>
      </w:tr>
      <w:tr w:rsidR="00861B30" w:rsidRPr="009C26EF" w14:paraId="7949D57B" w14:textId="77777777" w:rsidTr="00636952">
        <w:trPr>
          <w:trHeight w:val="394"/>
          <w:jc w:val="center"/>
        </w:trPr>
        <w:tc>
          <w:tcPr>
            <w:tcW w:w="6555" w:type="dxa"/>
            <w:tcBorders>
              <w:top w:val="nil"/>
              <w:left w:val="single" w:sz="4" w:space="0" w:color="auto"/>
              <w:bottom w:val="single" w:sz="4" w:space="0" w:color="auto"/>
              <w:right w:val="single" w:sz="4" w:space="0" w:color="auto"/>
            </w:tcBorders>
            <w:shd w:val="clear" w:color="auto" w:fill="FFFFFF"/>
            <w:noWrap/>
          </w:tcPr>
          <w:p w14:paraId="16045271" w14:textId="77777777" w:rsidR="00861B30" w:rsidRPr="00491DCB" w:rsidRDefault="00861B30" w:rsidP="000657EF">
            <w:pPr>
              <w:rPr>
                <w:rFonts w:ascii="Montserrat Medium" w:eastAsia="Times New Roman" w:hAnsi="Montserrat Medium" w:cs="Futura Medium"/>
                <w:color w:val="595959"/>
                <w:sz w:val="16"/>
                <w:szCs w:val="18"/>
                <w:lang w:eastAsia="en-US"/>
              </w:rPr>
            </w:pPr>
            <w:r w:rsidRPr="00491DCB">
              <w:rPr>
                <w:rFonts w:ascii="Montserrat Medium" w:eastAsia="Times New Roman" w:hAnsi="Montserrat Medium" w:cs="Futura Medium"/>
                <w:color w:val="595959"/>
                <w:sz w:val="16"/>
                <w:szCs w:val="18"/>
                <w:lang w:eastAsia="en-US"/>
              </w:rPr>
              <w:t>Fideicomiso Irrevocable de Administración, Inversión y Fuente de Pago número 753641 denominado “Fideicomiso para el Fortalecimiento de la Seguridad del Estado de Quintana Roo” celebrado el 10 de agosto de 2023 por el Gobierno del Estado Libre y Soberano de Quintana Roo como “FIDEICOMITENTE”, la Secretaría de Seguridad Ciudadana del Estado de Quintana Roo como “FIDEICOMISARIO”; y en su calidad de Institución Fiduciaria, Banco Mercantil del Norte, S.A., Institución de Banca Múltiple, Grupo Financiero Banorte, División Fiduciaria. Su objeto es  recibir y administrar los recursos definidos en el artículo 6 último párrafo de la Ley del Impuesto Sobre Nóminas del Estado de Quintana Roo. Los recursos que integran su patrimonio serán destinados a la ejecución de convenios, acciones y proyectos para el fortalecimiento de la Seguridad Ciudadana en el Estado de Quintana Roo.</w:t>
            </w:r>
          </w:p>
          <w:p w14:paraId="3EDB6DBA" w14:textId="77777777" w:rsidR="00861B30" w:rsidRPr="00491DCB" w:rsidRDefault="00861B30" w:rsidP="000657EF">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single" w:sz="4" w:space="0" w:color="auto"/>
              <w:right w:val="single" w:sz="4" w:space="0" w:color="auto"/>
            </w:tcBorders>
            <w:shd w:val="clear" w:color="auto" w:fill="auto"/>
          </w:tcPr>
          <w:p w14:paraId="030D46A6" w14:textId="77777777" w:rsidR="00861B30" w:rsidRPr="00491DCB" w:rsidRDefault="00861B30" w:rsidP="000657EF">
            <w:pPr>
              <w:ind w:left="351" w:hanging="351"/>
              <w:jc w:val="right"/>
              <w:rPr>
                <w:rFonts w:ascii="Montserrat Medium" w:eastAsia="Times New Roman" w:hAnsi="Montserrat Medium" w:cs="Futura Medium"/>
                <w:color w:val="595959"/>
                <w:sz w:val="16"/>
                <w:szCs w:val="18"/>
              </w:rPr>
            </w:pPr>
            <w:r w:rsidRPr="00491DCB">
              <w:rPr>
                <w:rFonts w:ascii="Montserrat Medium" w:eastAsia="Times New Roman" w:hAnsi="Montserrat Medium" w:cs="Futura Medium"/>
                <w:color w:val="595959"/>
                <w:sz w:val="16"/>
                <w:szCs w:val="18"/>
              </w:rPr>
              <w:t>381,812,357.24</w:t>
            </w:r>
          </w:p>
        </w:tc>
        <w:tc>
          <w:tcPr>
            <w:tcW w:w="1426" w:type="dxa"/>
            <w:tcBorders>
              <w:top w:val="nil"/>
              <w:left w:val="single" w:sz="4" w:space="0" w:color="auto"/>
              <w:bottom w:val="single" w:sz="4" w:space="0" w:color="auto"/>
              <w:right w:val="single" w:sz="4" w:space="0" w:color="auto"/>
            </w:tcBorders>
          </w:tcPr>
          <w:p w14:paraId="2F5C0C1F" w14:textId="77777777" w:rsidR="00861B30" w:rsidRPr="00491DCB" w:rsidRDefault="00861B30" w:rsidP="000657EF">
            <w:pPr>
              <w:ind w:left="351" w:hanging="351"/>
              <w:jc w:val="right"/>
              <w:rPr>
                <w:rFonts w:ascii="Montserrat Medium" w:eastAsia="Times New Roman" w:hAnsi="Montserrat Medium" w:cs="Futura Medium"/>
                <w:color w:val="595959"/>
                <w:sz w:val="16"/>
                <w:szCs w:val="18"/>
              </w:rPr>
            </w:pPr>
            <w:r w:rsidRPr="00491DCB">
              <w:rPr>
                <w:rFonts w:ascii="Montserrat Medium" w:eastAsia="Times New Roman" w:hAnsi="Montserrat Medium" w:cs="Futura Medium"/>
                <w:color w:val="595959"/>
                <w:sz w:val="16"/>
                <w:szCs w:val="18"/>
              </w:rPr>
              <w:t>191,656,643.55</w:t>
            </w:r>
          </w:p>
        </w:tc>
      </w:tr>
      <w:tr w:rsidR="00861B30" w:rsidRPr="009C26EF" w14:paraId="1CF98E48" w14:textId="77777777" w:rsidTr="00636952">
        <w:trPr>
          <w:trHeight w:val="394"/>
          <w:jc w:val="center"/>
        </w:trPr>
        <w:tc>
          <w:tcPr>
            <w:tcW w:w="6555" w:type="dxa"/>
            <w:tcBorders>
              <w:top w:val="single" w:sz="4" w:space="0" w:color="auto"/>
              <w:left w:val="single" w:sz="4" w:space="0" w:color="auto"/>
              <w:bottom w:val="nil"/>
              <w:right w:val="single" w:sz="4" w:space="0" w:color="auto"/>
            </w:tcBorders>
            <w:shd w:val="clear" w:color="auto" w:fill="FFFFFF"/>
            <w:noWrap/>
          </w:tcPr>
          <w:p w14:paraId="208FC6D2" w14:textId="77777777" w:rsidR="00861B30" w:rsidRPr="00491DCB" w:rsidRDefault="00861B30" w:rsidP="000657EF">
            <w:pPr>
              <w:rPr>
                <w:rFonts w:ascii="Montserrat Medium" w:eastAsia="Times New Roman" w:hAnsi="Montserrat Medium" w:cs="Futura Medium"/>
                <w:color w:val="595959"/>
                <w:sz w:val="16"/>
                <w:szCs w:val="18"/>
                <w:lang w:eastAsia="en-US"/>
              </w:rPr>
            </w:pPr>
            <w:r w:rsidRPr="00491DCB">
              <w:rPr>
                <w:rFonts w:ascii="Montserrat Medium" w:eastAsia="Times New Roman" w:hAnsi="Montserrat Medium" w:cs="Futura Medium"/>
                <w:color w:val="595959"/>
                <w:sz w:val="16"/>
                <w:szCs w:val="18"/>
                <w:lang w:eastAsia="en-US"/>
              </w:rPr>
              <w:lastRenderedPageBreak/>
              <w:t>Fideicomiso Irrevocable de Administración, Inversión y Fuente de Pago número 753637 denominado “Fideicomiso del Bienestar del Estado de Quintana Roo” celebrado el 14 de agosto de 2023 por el Gobierno del Estado Libre y Soberano de Quintana Roo como “FIDEICOMITENTE”, la Secretaría de Bienestar del Estado de Quintana Roo como “FIDEICOMISARIO”; y en su calidad de Institución Fiduciaria, Banco Mercantil del Norte, S.A., Institución de Banca Múltiple, Grupo Financiero Banorte, División Fiduciaria. Su objeto es recibir y administrar los recursos definidos en el artículo 19 fracción II de la Ley del Impuesto al Hospedaje (aportar un monto equivalente al 10% (diez por ciento) del monto aprobado en la ley de ingresos correspondiente por dicha contribución para la conformación del fideicomiso. los recursos que integran su patrimonio serán destinados al fortalecimiento de proyectos y acciones productivas que promuevan el bienestar social y mejoren la calidad de vida de los ciudadanos en el Estado de Quintana Roo.</w:t>
            </w:r>
          </w:p>
        </w:tc>
        <w:tc>
          <w:tcPr>
            <w:tcW w:w="1701" w:type="dxa"/>
            <w:tcBorders>
              <w:top w:val="single" w:sz="4" w:space="0" w:color="auto"/>
              <w:left w:val="single" w:sz="4" w:space="0" w:color="auto"/>
              <w:bottom w:val="nil"/>
              <w:right w:val="single" w:sz="4" w:space="0" w:color="auto"/>
            </w:tcBorders>
            <w:shd w:val="clear" w:color="auto" w:fill="auto"/>
          </w:tcPr>
          <w:p w14:paraId="46CB38EF" w14:textId="77777777" w:rsidR="00861B30" w:rsidRPr="00491DCB" w:rsidRDefault="00861B30" w:rsidP="000657EF">
            <w:pPr>
              <w:ind w:left="351" w:hanging="351"/>
              <w:jc w:val="right"/>
              <w:rPr>
                <w:rFonts w:ascii="Montserrat Medium" w:eastAsia="Times New Roman" w:hAnsi="Montserrat Medium" w:cs="Futura Medium"/>
                <w:color w:val="595959"/>
                <w:sz w:val="16"/>
                <w:szCs w:val="18"/>
              </w:rPr>
            </w:pPr>
            <w:r w:rsidRPr="00491DCB">
              <w:rPr>
                <w:rFonts w:ascii="Montserrat Medium" w:eastAsia="Times New Roman" w:hAnsi="Montserrat Medium" w:cs="Futura Medium"/>
                <w:color w:val="595959"/>
                <w:sz w:val="16"/>
                <w:szCs w:val="18"/>
              </w:rPr>
              <w:t>230,550,133.45</w:t>
            </w:r>
          </w:p>
        </w:tc>
        <w:tc>
          <w:tcPr>
            <w:tcW w:w="1426" w:type="dxa"/>
            <w:tcBorders>
              <w:top w:val="single" w:sz="4" w:space="0" w:color="auto"/>
              <w:left w:val="single" w:sz="4" w:space="0" w:color="auto"/>
              <w:bottom w:val="nil"/>
              <w:right w:val="single" w:sz="4" w:space="0" w:color="auto"/>
            </w:tcBorders>
          </w:tcPr>
          <w:p w14:paraId="7D541012" w14:textId="77777777" w:rsidR="00861B30" w:rsidRPr="00491DCB" w:rsidRDefault="00861B30" w:rsidP="000657EF">
            <w:pPr>
              <w:ind w:left="351" w:hanging="351"/>
              <w:jc w:val="right"/>
              <w:rPr>
                <w:rFonts w:ascii="Montserrat Medium" w:eastAsia="Times New Roman" w:hAnsi="Montserrat Medium" w:cs="Futura Medium"/>
                <w:color w:val="595959"/>
                <w:sz w:val="16"/>
                <w:szCs w:val="18"/>
              </w:rPr>
            </w:pPr>
            <w:r w:rsidRPr="00491DCB">
              <w:rPr>
                <w:rFonts w:ascii="Montserrat Medium" w:eastAsia="Times New Roman" w:hAnsi="Montserrat Medium" w:cs="Futura Medium"/>
                <w:color w:val="595959"/>
                <w:sz w:val="16"/>
                <w:szCs w:val="18"/>
              </w:rPr>
              <w:t>83,704,928.54</w:t>
            </w:r>
          </w:p>
        </w:tc>
      </w:tr>
      <w:tr w:rsidR="00861B30" w:rsidRPr="009C26EF" w14:paraId="32705CD8" w14:textId="77777777" w:rsidTr="00B552D2">
        <w:trPr>
          <w:trHeight w:val="60"/>
          <w:jc w:val="center"/>
        </w:trPr>
        <w:tc>
          <w:tcPr>
            <w:tcW w:w="6555" w:type="dxa"/>
            <w:tcBorders>
              <w:top w:val="nil"/>
              <w:left w:val="single" w:sz="4" w:space="0" w:color="auto"/>
              <w:bottom w:val="nil"/>
              <w:right w:val="single" w:sz="4" w:space="0" w:color="auto"/>
            </w:tcBorders>
            <w:shd w:val="clear" w:color="auto" w:fill="FFFFFF"/>
            <w:noWrap/>
          </w:tcPr>
          <w:p w14:paraId="2CD430DB" w14:textId="77777777" w:rsidR="00861B30" w:rsidRPr="009C26EF" w:rsidRDefault="00861B30" w:rsidP="000657EF">
            <w:pPr>
              <w:rPr>
                <w:rFonts w:ascii="Montserrat Medium" w:eastAsia="Times New Roman" w:hAnsi="Montserrat Medium" w:cs="Futura Medium"/>
                <w:color w:val="595959"/>
                <w:sz w:val="16"/>
                <w:szCs w:val="18"/>
                <w:highlight w:val="yellow"/>
                <w:lang w:eastAsia="en-US"/>
              </w:rPr>
            </w:pPr>
          </w:p>
        </w:tc>
        <w:tc>
          <w:tcPr>
            <w:tcW w:w="1701" w:type="dxa"/>
            <w:tcBorders>
              <w:top w:val="nil"/>
              <w:left w:val="single" w:sz="4" w:space="0" w:color="auto"/>
              <w:bottom w:val="nil"/>
              <w:right w:val="single" w:sz="4" w:space="0" w:color="auto"/>
            </w:tcBorders>
            <w:shd w:val="clear" w:color="auto" w:fill="auto"/>
          </w:tcPr>
          <w:p w14:paraId="63630D16" w14:textId="77777777" w:rsidR="00861B30" w:rsidRPr="009C26EF" w:rsidRDefault="00861B30" w:rsidP="000657EF">
            <w:pPr>
              <w:ind w:left="351" w:hanging="351"/>
              <w:jc w:val="right"/>
              <w:rPr>
                <w:rFonts w:ascii="Montserrat Medium" w:eastAsia="Times New Roman" w:hAnsi="Montserrat Medium" w:cs="Futura Medium"/>
                <w:color w:val="595959"/>
                <w:sz w:val="16"/>
                <w:szCs w:val="18"/>
                <w:highlight w:val="yellow"/>
              </w:rPr>
            </w:pPr>
          </w:p>
        </w:tc>
        <w:tc>
          <w:tcPr>
            <w:tcW w:w="1426" w:type="dxa"/>
            <w:tcBorders>
              <w:top w:val="nil"/>
              <w:left w:val="single" w:sz="4" w:space="0" w:color="auto"/>
              <w:bottom w:val="nil"/>
              <w:right w:val="single" w:sz="4" w:space="0" w:color="auto"/>
            </w:tcBorders>
          </w:tcPr>
          <w:p w14:paraId="69F9E26D" w14:textId="77777777" w:rsidR="00861B30" w:rsidRPr="009C26EF" w:rsidRDefault="00861B30" w:rsidP="000657EF">
            <w:pPr>
              <w:ind w:left="351" w:hanging="351"/>
              <w:jc w:val="right"/>
              <w:rPr>
                <w:rFonts w:ascii="Montserrat Medium" w:eastAsia="Times New Roman" w:hAnsi="Montserrat Medium" w:cs="Futura Medium"/>
                <w:color w:val="595959"/>
                <w:sz w:val="16"/>
                <w:szCs w:val="18"/>
                <w:highlight w:val="yellow"/>
              </w:rPr>
            </w:pPr>
          </w:p>
        </w:tc>
      </w:tr>
      <w:tr w:rsidR="00861B30" w:rsidRPr="009C26EF" w14:paraId="1ED3E276" w14:textId="77777777" w:rsidTr="000657EF">
        <w:trPr>
          <w:trHeight w:val="2847"/>
          <w:jc w:val="center"/>
        </w:trPr>
        <w:tc>
          <w:tcPr>
            <w:tcW w:w="6555" w:type="dxa"/>
            <w:tcBorders>
              <w:top w:val="nil"/>
              <w:left w:val="single" w:sz="4" w:space="0" w:color="auto"/>
              <w:bottom w:val="nil"/>
              <w:right w:val="single" w:sz="4" w:space="0" w:color="auto"/>
            </w:tcBorders>
            <w:shd w:val="clear" w:color="auto" w:fill="FFFFFF"/>
            <w:noWrap/>
          </w:tcPr>
          <w:p w14:paraId="1BA69DDE" w14:textId="77777777" w:rsidR="00861B30" w:rsidRPr="00491DCB" w:rsidRDefault="00861B30" w:rsidP="000657EF">
            <w:pPr>
              <w:rPr>
                <w:rFonts w:ascii="Montserrat Medium" w:eastAsia="Times New Roman" w:hAnsi="Montserrat Medium" w:cs="Futura Medium"/>
                <w:color w:val="595959"/>
                <w:sz w:val="16"/>
                <w:szCs w:val="18"/>
                <w:lang w:eastAsia="en-US"/>
              </w:rPr>
            </w:pPr>
            <w:r w:rsidRPr="00491DCB">
              <w:rPr>
                <w:rFonts w:ascii="Montserrat Medium" w:eastAsia="Times New Roman" w:hAnsi="Montserrat Medium" w:cs="Futura Medium"/>
                <w:color w:val="595959"/>
                <w:sz w:val="16"/>
                <w:szCs w:val="18"/>
                <w:lang w:eastAsia="en-US"/>
              </w:rPr>
              <w:t>Fideicomiso Irrevocable de Administración, Inversión y Fuente de Pago número 753639 denominado “Fideicomiso para el Mejoramiento de la Salud en el Estado de Quintana Roo” celebrado el 24 de agosto de 2023 por el Gobierno del Estado Libre y Soberano de Quintana Roo como “FIDEICOMITENTE”, el organismo público descentralizado denominado Servicios estatales de Salud del Estado de Quintana Roo como “FIDEICOMISARIO”, y en su calidad de Institución Fiduciaria, Banco Mercantil del Norte, S.A., Institución de Banca Múltiple, Grupo Financiero Banorte, División Fiduciaria. Su objeto es  recibir y administrar los recursos definidos en el artículo 19 fracción III de la Ley del Impuesto al Hospedaje (aportar un monto equivalente al 10% (diez por ciento) del monto aprobado en la ley de ingresos correspondiente por dicha contribución para la conformación del fideicomiso. serán destinados a financiar gasto encaminado a fortalecer los Servicios estatales de Salud del Estado de Quintana Roo.</w:t>
            </w:r>
          </w:p>
          <w:p w14:paraId="6203077E" w14:textId="77777777" w:rsidR="00861B30" w:rsidRPr="00491DCB" w:rsidRDefault="00861B30" w:rsidP="000657EF">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29434F4E" w14:textId="77777777" w:rsidR="00861B30" w:rsidRPr="00491DCB" w:rsidRDefault="00861B30" w:rsidP="000657EF">
            <w:pPr>
              <w:ind w:left="351" w:hanging="351"/>
              <w:jc w:val="right"/>
              <w:rPr>
                <w:rFonts w:ascii="Montserrat Medium" w:eastAsia="Times New Roman" w:hAnsi="Montserrat Medium" w:cs="Futura Medium"/>
                <w:color w:val="595959"/>
                <w:sz w:val="16"/>
                <w:szCs w:val="18"/>
              </w:rPr>
            </w:pPr>
            <w:r w:rsidRPr="00491DCB">
              <w:rPr>
                <w:rFonts w:ascii="Montserrat Medium" w:eastAsia="Times New Roman" w:hAnsi="Montserrat Medium" w:cs="Futura Medium"/>
                <w:color w:val="595959"/>
                <w:sz w:val="16"/>
                <w:szCs w:val="18"/>
              </w:rPr>
              <w:t>97,052,312.56</w:t>
            </w:r>
          </w:p>
        </w:tc>
        <w:tc>
          <w:tcPr>
            <w:tcW w:w="1426" w:type="dxa"/>
            <w:tcBorders>
              <w:top w:val="nil"/>
              <w:left w:val="single" w:sz="4" w:space="0" w:color="auto"/>
              <w:bottom w:val="nil"/>
              <w:right w:val="single" w:sz="4" w:space="0" w:color="auto"/>
            </w:tcBorders>
          </w:tcPr>
          <w:p w14:paraId="164637B5" w14:textId="77777777" w:rsidR="00861B30" w:rsidRPr="00491DCB" w:rsidRDefault="00861B30" w:rsidP="000657EF">
            <w:pPr>
              <w:ind w:left="351" w:hanging="351"/>
              <w:jc w:val="right"/>
              <w:rPr>
                <w:rFonts w:ascii="Montserrat Medium" w:eastAsia="Times New Roman" w:hAnsi="Montserrat Medium" w:cs="Futura Medium"/>
                <w:color w:val="595959"/>
                <w:sz w:val="16"/>
                <w:szCs w:val="18"/>
              </w:rPr>
            </w:pPr>
            <w:r w:rsidRPr="00491DCB">
              <w:rPr>
                <w:rFonts w:ascii="Montserrat Medium" w:eastAsia="Times New Roman" w:hAnsi="Montserrat Medium" w:cs="Futura Medium"/>
                <w:color w:val="595959"/>
                <w:sz w:val="16"/>
                <w:szCs w:val="18"/>
              </w:rPr>
              <w:t>256,680.56</w:t>
            </w:r>
          </w:p>
        </w:tc>
      </w:tr>
      <w:tr w:rsidR="00861B30" w:rsidRPr="009C26EF" w14:paraId="75D9C65D" w14:textId="77777777" w:rsidTr="00B552D2">
        <w:trPr>
          <w:trHeight w:val="1897"/>
          <w:jc w:val="center"/>
        </w:trPr>
        <w:tc>
          <w:tcPr>
            <w:tcW w:w="6555" w:type="dxa"/>
            <w:tcBorders>
              <w:top w:val="nil"/>
              <w:left w:val="single" w:sz="4" w:space="0" w:color="auto"/>
              <w:bottom w:val="nil"/>
              <w:right w:val="single" w:sz="4" w:space="0" w:color="auto"/>
            </w:tcBorders>
            <w:shd w:val="clear" w:color="auto" w:fill="FFFFFF"/>
            <w:noWrap/>
          </w:tcPr>
          <w:p w14:paraId="41A39C30" w14:textId="77777777" w:rsidR="00861B30" w:rsidRPr="00491DCB" w:rsidRDefault="00861B30" w:rsidP="000657EF">
            <w:pPr>
              <w:rPr>
                <w:rFonts w:ascii="Montserrat Medium" w:eastAsia="Times New Roman" w:hAnsi="Montserrat Medium" w:cs="Futura Medium"/>
                <w:color w:val="595959"/>
                <w:sz w:val="16"/>
                <w:szCs w:val="18"/>
                <w:lang w:eastAsia="en-US"/>
              </w:rPr>
            </w:pPr>
            <w:r w:rsidRPr="00491DCB">
              <w:rPr>
                <w:rFonts w:ascii="Montserrat Medium" w:eastAsia="Times New Roman" w:hAnsi="Montserrat Medium" w:cs="Futura Medium"/>
                <w:color w:val="595959"/>
                <w:sz w:val="16"/>
                <w:szCs w:val="18"/>
                <w:lang w:eastAsia="en-US"/>
              </w:rPr>
              <w:t xml:space="preserve">Contrato de Fideicomiso de Administración e Inversión N° 2460773, denominado Fideicomiso para apoyar los programas y proyectos para la conservación de la Biodiversidad en el Estado de Quintana Roo, celebrado el 21 de junio de 2024, por el “FIDEICOMITENTE” por el Gobierno del Estado Libre y Soberano de Quintana Roo, a través de la Secretaría de Finanzas y Planeación del Gobierno del Estado de Quintana Roo; como “FIDEICOMISARIO” el Instituto de Biodiversidad y Áreas Naturales Protegidas del Estado de Quintana Roo y como “FIDUCIARIO” el Banco Santander (México), S.A. Institución de Banca Múltiple, Grupo Financiero Santander. </w:t>
            </w:r>
          </w:p>
          <w:p w14:paraId="3CABB6AD" w14:textId="77777777" w:rsidR="00861B30" w:rsidRPr="00491DCB" w:rsidRDefault="00861B30" w:rsidP="000657EF">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228BF180" w14:textId="77777777" w:rsidR="00861B30" w:rsidRPr="00491DCB" w:rsidRDefault="00861B30" w:rsidP="000657EF">
            <w:pPr>
              <w:ind w:left="351" w:hanging="351"/>
              <w:jc w:val="right"/>
              <w:rPr>
                <w:rFonts w:ascii="Montserrat Medium" w:eastAsia="Times New Roman" w:hAnsi="Montserrat Medium" w:cs="Futura Medium"/>
                <w:color w:val="595959"/>
                <w:sz w:val="16"/>
                <w:szCs w:val="18"/>
              </w:rPr>
            </w:pPr>
            <w:r w:rsidRPr="00491DCB">
              <w:rPr>
                <w:rFonts w:ascii="Montserrat Medium" w:eastAsia="Times New Roman" w:hAnsi="Montserrat Medium" w:cs="Futura Medium"/>
                <w:color w:val="595959"/>
                <w:sz w:val="16"/>
                <w:szCs w:val="18"/>
              </w:rPr>
              <w:t>16,899,998.67</w:t>
            </w:r>
          </w:p>
        </w:tc>
        <w:tc>
          <w:tcPr>
            <w:tcW w:w="1426" w:type="dxa"/>
            <w:tcBorders>
              <w:top w:val="nil"/>
              <w:left w:val="single" w:sz="4" w:space="0" w:color="auto"/>
              <w:bottom w:val="nil"/>
              <w:right w:val="single" w:sz="4" w:space="0" w:color="auto"/>
            </w:tcBorders>
          </w:tcPr>
          <w:p w14:paraId="6DBC8F7E" w14:textId="77777777" w:rsidR="00861B30" w:rsidRPr="00491DCB" w:rsidRDefault="00861B30" w:rsidP="000657EF">
            <w:pPr>
              <w:ind w:left="351" w:hanging="351"/>
              <w:jc w:val="right"/>
              <w:rPr>
                <w:rFonts w:ascii="Montserrat Medium" w:eastAsia="Times New Roman" w:hAnsi="Montserrat Medium" w:cs="Futura Medium"/>
                <w:color w:val="595959"/>
                <w:sz w:val="16"/>
                <w:szCs w:val="18"/>
              </w:rPr>
            </w:pPr>
            <w:r w:rsidRPr="00491DCB">
              <w:rPr>
                <w:rFonts w:ascii="Montserrat Medium" w:eastAsia="Times New Roman" w:hAnsi="Montserrat Medium" w:cs="Futura Medium"/>
                <w:color w:val="595959"/>
                <w:sz w:val="16"/>
                <w:szCs w:val="18"/>
              </w:rPr>
              <w:t>16,899,998.67</w:t>
            </w:r>
          </w:p>
        </w:tc>
      </w:tr>
      <w:tr w:rsidR="00861B30" w:rsidRPr="009C26EF" w14:paraId="69DE21E2" w14:textId="77777777" w:rsidTr="00B552D2">
        <w:trPr>
          <w:trHeight w:val="237"/>
          <w:jc w:val="center"/>
        </w:trPr>
        <w:tc>
          <w:tcPr>
            <w:tcW w:w="6555" w:type="dxa"/>
            <w:tcBorders>
              <w:top w:val="nil"/>
              <w:left w:val="single" w:sz="4" w:space="0" w:color="auto"/>
              <w:bottom w:val="nil"/>
              <w:right w:val="single" w:sz="4" w:space="0" w:color="auto"/>
            </w:tcBorders>
            <w:shd w:val="clear" w:color="auto" w:fill="FFFFFF"/>
            <w:noWrap/>
          </w:tcPr>
          <w:p w14:paraId="241FC776" w14:textId="77777777" w:rsidR="00861B30" w:rsidRDefault="00861B30" w:rsidP="000657EF">
            <w:pPr>
              <w:rPr>
                <w:rFonts w:ascii="Montserrat Medium" w:eastAsia="Times New Roman" w:hAnsi="Montserrat Medium" w:cs="Futura Medium"/>
                <w:color w:val="595959"/>
                <w:sz w:val="16"/>
                <w:szCs w:val="18"/>
                <w:lang w:eastAsia="en-US"/>
              </w:rPr>
            </w:pPr>
            <w:r w:rsidRPr="00491DCB">
              <w:rPr>
                <w:rFonts w:ascii="Montserrat Medium" w:eastAsia="Times New Roman" w:hAnsi="Montserrat Medium" w:cs="Futura Medium"/>
                <w:color w:val="595959"/>
                <w:sz w:val="16"/>
                <w:szCs w:val="18"/>
                <w:lang w:eastAsia="en-US"/>
              </w:rPr>
              <w:t>Fondo de Financiamiento de Quintana Roo</w:t>
            </w:r>
          </w:p>
          <w:p w14:paraId="3E9BC5B6" w14:textId="77777777" w:rsidR="00B552D2" w:rsidRPr="00491DCB" w:rsidRDefault="00B552D2" w:rsidP="000657EF">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78FCAE8E" w14:textId="77777777" w:rsidR="00861B30" w:rsidRPr="00491DCB" w:rsidRDefault="00861B30" w:rsidP="000657EF">
            <w:pPr>
              <w:ind w:left="351" w:hanging="351"/>
              <w:jc w:val="right"/>
              <w:rPr>
                <w:rFonts w:ascii="Montserrat Medium" w:eastAsia="Times New Roman" w:hAnsi="Montserrat Medium" w:cs="Futura Medium"/>
                <w:color w:val="595959"/>
                <w:sz w:val="16"/>
                <w:szCs w:val="18"/>
                <w:lang w:eastAsia="en-US"/>
              </w:rPr>
            </w:pPr>
            <w:r w:rsidRPr="00491DCB">
              <w:rPr>
                <w:rFonts w:ascii="Montserrat Medium" w:eastAsia="Times New Roman" w:hAnsi="Montserrat Medium" w:cs="Futura Medium"/>
                <w:color w:val="595959"/>
                <w:sz w:val="16"/>
                <w:szCs w:val="18"/>
                <w:lang w:eastAsia="en-US"/>
              </w:rPr>
              <w:t>92,583,893.01</w:t>
            </w:r>
          </w:p>
        </w:tc>
        <w:tc>
          <w:tcPr>
            <w:tcW w:w="1426" w:type="dxa"/>
            <w:tcBorders>
              <w:top w:val="nil"/>
              <w:left w:val="single" w:sz="4" w:space="0" w:color="auto"/>
              <w:bottom w:val="nil"/>
              <w:right w:val="single" w:sz="4" w:space="0" w:color="auto"/>
            </w:tcBorders>
          </w:tcPr>
          <w:p w14:paraId="10C17CD1" w14:textId="77777777" w:rsidR="00861B30" w:rsidRPr="00491DCB" w:rsidRDefault="00861B30" w:rsidP="000657EF">
            <w:pPr>
              <w:ind w:left="351" w:hanging="351"/>
              <w:jc w:val="right"/>
              <w:rPr>
                <w:rFonts w:ascii="Montserrat Medium" w:eastAsia="Times New Roman" w:hAnsi="Montserrat Medium" w:cs="Futura Medium"/>
                <w:color w:val="595959"/>
                <w:sz w:val="16"/>
                <w:szCs w:val="18"/>
                <w:lang w:eastAsia="en-US"/>
              </w:rPr>
            </w:pPr>
            <w:r w:rsidRPr="00491DCB">
              <w:rPr>
                <w:rFonts w:ascii="Montserrat Medium" w:eastAsia="Times New Roman" w:hAnsi="Montserrat Medium" w:cs="Futura Medium"/>
                <w:color w:val="595959"/>
                <w:sz w:val="16"/>
                <w:szCs w:val="18"/>
                <w:lang w:eastAsia="en-US"/>
              </w:rPr>
              <w:t>37,363,893.01</w:t>
            </w:r>
          </w:p>
        </w:tc>
      </w:tr>
      <w:tr w:rsidR="00861B30" w:rsidRPr="009C26EF" w14:paraId="223A09F8" w14:textId="77777777" w:rsidTr="00B552D2">
        <w:trPr>
          <w:trHeight w:val="237"/>
          <w:jc w:val="center"/>
        </w:trPr>
        <w:tc>
          <w:tcPr>
            <w:tcW w:w="6555" w:type="dxa"/>
            <w:tcBorders>
              <w:top w:val="nil"/>
              <w:left w:val="single" w:sz="4" w:space="0" w:color="auto"/>
              <w:bottom w:val="nil"/>
              <w:right w:val="single" w:sz="4" w:space="0" w:color="auto"/>
            </w:tcBorders>
            <w:shd w:val="clear" w:color="auto" w:fill="FFFFFF"/>
            <w:noWrap/>
          </w:tcPr>
          <w:p w14:paraId="7233C8C4" w14:textId="77777777" w:rsidR="00861B30" w:rsidRDefault="00861B30" w:rsidP="000657EF">
            <w:pPr>
              <w:rPr>
                <w:rFonts w:ascii="Montserrat Medium" w:eastAsia="Times New Roman" w:hAnsi="Montserrat Medium" w:cs="Futura Medium"/>
                <w:color w:val="595959"/>
                <w:sz w:val="16"/>
                <w:szCs w:val="18"/>
                <w:lang w:eastAsia="en-US"/>
              </w:rPr>
            </w:pPr>
            <w:r w:rsidRPr="00491DCB">
              <w:rPr>
                <w:rFonts w:ascii="Montserrat Medium" w:eastAsia="Times New Roman" w:hAnsi="Montserrat Medium" w:cs="Futura Medium"/>
                <w:color w:val="595959"/>
                <w:sz w:val="16"/>
                <w:szCs w:val="18"/>
                <w:lang w:eastAsia="en-US"/>
              </w:rPr>
              <w:t xml:space="preserve">Fideicomiso para el Bienestar del Turismo </w:t>
            </w:r>
            <w:proofErr w:type="spellStart"/>
            <w:r w:rsidRPr="00491DCB">
              <w:rPr>
                <w:rFonts w:ascii="Montserrat Medium" w:eastAsia="Times New Roman" w:hAnsi="Montserrat Medium" w:cs="Futura Medium"/>
                <w:color w:val="595959"/>
                <w:sz w:val="16"/>
                <w:szCs w:val="18"/>
                <w:lang w:eastAsia="en-US"/>
              </w:rPr>
              <w:t>Crucerista</w:t>
            </w:r>
            <w:proofErr w:type="spellEnd"/>
            <w:r w:rsidRPr="00491DCB">
              <w:rPr>
                <w:rFonts w:ascii="Montserrat Medium" w:eastAsia="Times New Roman" w:hAnsi="Montserrat Medium" w:cs="Futura Medium"/>
                <w:color w:val="595959"/>
                <w:sz w:val="16"/>
                <w:szCs w:val="18"/>
                <w:lang w:eastAsia="en-US"/>
              </w:rPr>
              <w:t xml:space="preserve"> del Estado de Quintana Roo Fideicomiso 187451</w:t>
            </w:r>
          </w:p>
          <w:p w14:paraId="09C6D1A4" w14:textId="77777777" w:rsidR="00B552D2" w:rsidRPr="00491DCB" w:rsidRDefault="00B552D2" w:rsidP="000657EF">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vAlign w:val="bottom"/>
          </w:tcPr>
          <w:p w14:paraId="2B6541B1" w14:textId="77777777" w:rsidR="00861B30" w:rsidRPr="00491DCB" w:rsidRDefault="00861B30" w:rsidP="000657EF">
            <w:pPr>
              <w:ind w:left="351" w:hanging="351"/>
              <w:jc w:val="right"/>
              <w:rPr>
                <w:rFonts w:ascii="Montserrat Medium" w:eastAsia="Times New Roman" w:hAnsi="Montserrat Medium" w:cs="Futura Medium"/>
                <w:color w:val="595959"/>
                <w:sz w:val="16"/>
                <w:szCs w:val="16"/>
              </w:rPr>
            </w:pPr>
            <w:r w:rsidRPr="00491DCB">
              <w:rPr>
                <w:rFonts w:ascii="Montserrat Medium" w:eastAsia="Times New Roman" w:hAnsi="Montserrat Medium" w:cs="Futura Medium"/>
                <w:color w:val="595959"/>
                <w:sz w:val="16"/>
                <w:szCs w:val="16"/>
              </w:rPr>
              <w:t>307,643,223.78</w:t>
            </w:r>
          </w:p>
        </w:tc>
        <w:tc>
          <w:tcPr>
            <w:tcW w:w="1426" w:type="dxa"/>
            <w:tcBorders>
              <w:top w:val="nil"/>
              <w:left w:val="single" w:sz="4" w:space="0" w:color="auto"/>
              <w:bottom w:val="nil"/>
              <w:right w:val="single" w:sz="4" w:space="0" w:color="auto"/>
            </w:tcBorders>
            <w:vAlign w:val="bottom"/>
          </w:tcPr>
          <w:p w14:paraId="6695F738" w14:textId="77777777" w:rsidR="00861B30" w:rsidRPr="00491DCB" w:rsidRDefault="00861B30" w:rsidP="000657EF">
            <w:pPr>
              <w:ind w:left="351" w:hanging="351"/>
              <w:jc w:val="right"/>
              <w:rPr>
                <w:rFonts w:ascii="Montserrat Medium" w:eastAsia="Times New Roman" w:hAnsi="Montserrat Medium" w:cs="Futura Medium"/>
                <w:color w:val="595959"/>
                <w:sz w:val="16"/>
                <w:szCs w:val="16"/>
              </w:rPr>
            </w:pPr>
            <w:r w:rsidRPr="00491DCB">
              <w:rPr>
                <w:rFonts w:ascii="Montserrat Medium" w:eastAsia="Times New Roman" w:hAnsi="Montserrat Medium" w:cs="Futura Medium"/>
                <w:color w:val="595959"/>
                <w:sz w:val="16"/>
                <w:szCs w:val="16"/>
              </w:rPr>
              <w:t>0.00</w:t>
            </w:r>
          </w:p>
        </w:tc>
      </w:tr>
      <w:tr w:rsidR="00861B30" w:rsidRPr="009C26EF" w14:paraId="570719B9" w14:textId="77777777" w:rsidTr="00B552D2">
        <w:trPr>
          <w:trHeight w:val="237"/>
          <w:jc w:val="center"/>
        </w:trPr>
        <w:tc>
          <w:tcPr>
            <w:tcW w:w="6555" w:type="dxa"/>
            <w:tcBorders>
              <w:top w:val="nil"/>
              <w:left w:val="single" w:sz="4" w:space="0" w:color="auto"/>
              <w:bottom w:val="single" w:sz="4" w:space="0" w:color="auto"/>
              <w:right w:val="single" w:sz="4" w:space="0" w:color="auto"/>
            </w:tcBorders>
            <w:shd w:val="clear" w:color="auto" w:fill="FFFFFF"/>
            <w:noWrap/>
          </w:tcPr>
          <w:p w14:paraId="279D34C7" w14:textId="77777777" w:rsidR="00861B30" w:rsidRPr="00491DCB" w:rsidRDefault="00861B30" w:rsidP="000657EF">
            <w:pPr>
              <w:rPr>
                <w:rFonts w:ascii="Montserrat Medium" w:eastAsia="Times New Roman" w:hAnsi="Montserrat Medium" w:cs="Futura Medium"/>
                <w:color w:val="595959"/>
                <w:sz w:val="16"/>
                <w:szCs w:val="18"/>
                <w:lang w:eastAsia="en-US"/>
              </w:rPr>
            </w:pPr>
            <w:r w:rsidRPr="00491DCB">
              <w:rPr>
                <w:rFonts w:ascii="Montserrat Medium" w:eastAsia="Times New Roman" w:hAnsi="Montserrat Medium" w:cs="Futura Medium"/>
                <w:color w:val="595959"/>
                <w:sz w:val="16"/>
                <w:szCs w:val="18"/>
                <w:lang w:eastAsia="en-US"/>
              </w:rPr>
              <w:t>Fideicomiso para el Fortalecimiento a la Actividad Turística en el Estado de Quintana Roo (FOATQROO)</w:t>
            </w:r>
          </w:p>
        </w:tc>
        <w:tc>
          <w:tcPr>
            <w:tcW w:w="1701" w:type="dxa"/>
            <w:tcBorders>
              <w:top w:val="nil"/>
              <w:left w:val="single" w:sz="4" w:space="0" w:color="auto"/>
              <w:bottom w:val="single" w:sz="4" w:space="0" w:color="auto"/>
              <w:right w:val="single" w:sz="4" w:space="0" w:color="auto"/>
            </w:tcBorders>
            <w:shd w:val="clear" w:color="auto" w:fill="auto"/>
            <w:vAlign w:val="bottom"/>
          </w:tcPr>
          <w:p w14:paraId="54FE8D49" w14:textId="77777777" w:rsidR="00861B30" w:rsidRPr="00491DCB" w:rsidRDefault="00861B30" w:rsidP="000657EF">
            <w:pPr>
              <w:ind w:left="351" w:hanging="351"/>
              <w:jc w:val="right"/>
              <w:rPr>
                <w:rFonts w:ascii="Montserrat Medium" w:eastAsia="Times New Roman" w:hAnsi="Montserrat Medium" w:cs="Futura Medium"/>
                <w:color w:val="595959"/>
                <w:sz w:val="16"/>
                <w:szCs w:val="16"/>
              </w:rPr>
            </w:pPr>
            <w:r w:rsidRPr="00491DCB">
              <w:rPr>
                <w:rFonts w:ascii="Montserrat Medium" w:eastAsia="Times New Roman" w:hAnsi="Montserrat Medium" w:cs="Futura Medium"/>
                <w:color w:val="595959"/>
                <w:sz w:val="16"/>
                <w:szCs w:val="16"/>
              </w:rPr>
              <w:t>20,000,000.00</w:t>
            </w:r>
          </w:p>
        </w:tc>
        <w:tc>
          <w:tcPr>
            <w:tcW w:w="1426" w:type="dxa"/>
            <w:tcBorders>
              <w:top w:val="nil"/>
              <w:left w:val="single" w:sz="4" w:space="0" w:color="auto"/>
              <w:bottom w:val="single" w:sz="4" w:space="0" w:color="auto"/>
              <w:right w:val="single" w:sz="4" w:space="0" w:color="auto"/>
            </w:tcBorders>
            <w:vAlign w:val="bottom"/>
          </w:tcPr>
          <w:p w14:paraId="447EFEF0" w14:textId="77777777" w:rsidR="00861B30" w:rsidRPr="00491DCB" w:rsidRDefault="00861B30" w:rsidP="000657EF">
            <w:pPr>
              <w:ind w:left="351" w:hanging="351"/>
              <w:jc w:val="right"/>
              <w:rPr>
                <w:rFonts w:ascii="Montserrat Medium" w:eastAsia="Times New Roman" w:hAnsi="Montserrat Medium" w:cs="Futura Medium"/>
                <w:color w:val="595959"/>
                <w:sz w:val="16"/>
                <w:szCs w:val="16"/>
              </w:rPr>
            </w:pPr>
            <w:r w:rsidRPr="00491DCB">
              <w:rPr>
                <w:rFonts w:ascii="Montserrat Medium" w:eastAsia="Times New Roman" w:hAnsi="Montserrat Medium" w:cs="Futura Medium"/>
                <w:color w:val="595959"/>
                <w:sz w:val="16"/>
                <w:szCs w:val="16"/>
              </w:rPr>
              <w:t>0.00</w:t>
            </w:r>
          </w:p>
        </w:tc>
      </w:tr>
      <w:tr w:rsidR="00861B30" w:rsidRPr="00B52292" w14:paraId="026035B3" w14:textId="77777777" w:rsidTr="000657EF">
        <w:trPr>
          <w:trHeight w:val="247"/>
          <w:jc w:val="center"/>
        </w:trPr>
        <w:tc>
          <w:tcPr>
            <w:tcW w:w="655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672B48F" w14:textId="77777777" w:rsidR="00861B30" w:rsidRPr="00491DCB" w:rsidRDefault="00861B30" w:rsidP="000657EF">
            <w:pPr>
              <w:jc w:val="both"/>
              <w:rPr>
                <w:rFonts w:ascii="Montserrat Medium" w:eastAsia="Times New Roman" w:hAnsi="Montserrat Medium" w:cs="Futura Medium"/>
                <w:sz w:val="16"/>
                <w:szCs w:val="18"/>
                <w:lang w:eastAsia="en-US"/>
              </w:rPr>
            </w:pPr>
            <w:r w:rsidRPr="00491DCB">
              <w:rPr>
                <w:rFonts w:ascii="Montserrat Medium" w:eastAsia="Times New Roman" w:hAnsi="Montserrat Medium" w:cs="Futura Medium"/>
                <w:b/>
                <w:bCs/>
                <w:sz w:val="16"/>
                <w:szCs w:val="18"/>
                <w:lang w:eastAsia="en-US"/>
              </w:rPr>
              <w:t>Total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985B06F" w14:textId="77777777" w:rsidR="00861B30" w:rsidRPr="00491DCB" w:rsidRDefault="00861B30" w:rsidP="000657EF">
            <w:pPr>
              <w:ind w:left="351" w:hanging="351"/>
              <w:jc w:val="right"/>
              <w:rPr>
                <w:rFonts w:ascii="Montserrat Medium" w:eastAsia="Times New Roman" w:hAnsi="Montserrat Medium" w:cs="Futura Medium"/>
                <w:b/>
                <w:sz w:val="17"/>
                <w:szCs w:val="17"/>
                <w:lang w:eastAsia="en-US"/>
              </w:rPr>
            </w:pPr>
            <w:r w:rsidRPr="00491DCB">
              <w:rPr>
                <w:rFonts w:ascii="Montserrat Medium" w:eastAsia="Times New Roman" w:hAnsi="Montserrat Medium" w:cs="Futura Medium"/>
                <w:b/>
                <w:sz w:val="17"/>
                <w:szCs w:val="17"/>
                <w:lang w:eastAsia="en-US"/>
              </w:rPr>
              <w:t>1,745,400,500.75</w:t>
            </w:r>
          </w:p>
        </w:tc>
        <w:tc>
          <w:tcPr>
            <w:tcW w:w="1426" w:type="dxa"/>
            <w:tcBorders>
              <w:top w:val="single" w:sz="4" w:space="0" w:color="auto"/>
              <w:left w:val="single" w:sz="4" w:space="0" w:color="auto"/>
              <w:bottom w:val="single" w:sz="4" w:space="0" w:color="auto"/>
              <w:right w:val="single" w:sz="4" w:space="0" w:color="auto"/>
            </w:tcBorders>
            <w:vAlign w:val="bottom"/>
          </w:tcPr>
          <w:p w14:paraId="58CE6E09" w14:textId="77777777" w:rsidR="00861B30" w:rsidRPr="00B52292" w:rsidRDefault="00861B30" w:rsidP="000657EF">
            <w:pPr>
              <w:ind w:left="351" w:hanging="351"/>
              <w:jc w:val="right"/>
              <w:rPr>
                <w:rFonts w:ascii="Montserrat Medium" w:eastAsia="Times New Roman" w:hAnsi="Montserrat Medium" w:cs="Futura Medium"/>
                <w:b/>
                <w:sz w:val="17"/>
                <w:szCs w:val="17"/>
                <w:lang w:eastAsia="en-US"/>
              </w:rPr>
            </w:pPr>
            <w:r w:rsidRPr="00491DCB">
              <w:rPr>
                <w:rFonts w:ascii="Montserrat Medium" w:eastAsia="Times New Roman" w:hAnsi="Montserrat Medium" w:cs="Futura Medium"/>
                <w:b/>
                <w:sz w:val="17"/>
                <w:szCs w:val="17"/>
                <w:lang w:eastAsia="en-US"/>
              </w:rPr>
              <w:t>788,422,337.15</w:t>
            </w:r>
          </w:p>
        </w:tc>
      </w:tr>
    </w:tbl>
    <w:p w14:paraId="2EEA6026" w14:textId="77777777" w:rsidR="00861B30" w:rsidRDefault="00861B30" w:rsidP="002F131C">
      <w:pPr>
        <w:jc w:val="both"/>
        <w:rPr>
          <w:rFonts w:ascii="Montserrat Medium" w:eastAsia="Times New Roman" w:hAnsi="Montserrat Medium" w:cs="Arial"/>
          <w:color w:val="595959"/>
          <w:sz w:val="22"/>
          <w:highlight w:val="yellow"/>
          <w:lang w:eastAsia="en-US"/>
        </w:rPr>
      </w:pPr>
    </w:p>
    <w:p w14:paraId="214F29E6" w14:textId="77777777" w:rsidR="00861B30" w:rsidRPr="00407404" w:rsidRDefault="00861B30" w:rsidP="002F131C">
      <w:pPr>
        <w:jc w:val="both"/>
        <w:rPr>
          <w:rFonts w:ascii="Montserrat Medium" w:eastAsia="Times New Roman" w:hAnsi="Montserrat Medium" w:cs="Arial"/>
          <w:color w:val="595959"/>
          <w:sz w:val="22"/>
          <w:highlight w:val="yellow"/>
          <w:lang w:eastAsia="en-US"/>
        </w:rPr>
      </w:pPr>
    </w:p>
    <w:p w14:paraId="591A0502" w14:textId="77777777" w:rsidR="001E3866" w:rsidRPr="00861B30" w:rsidRDefault="002F1386" w:rsidP="002F131C">
      <w:pPr>
        <w:rPr>
          <w:rFonts w:ascii="Montserrat Medium" w:eastAsia="Times New Roman" w:hAnsi="Montserrat Medium" w:cs="Arial"/>
          <w:b/>
          <w:iCs/>
          <w:color w:val="595959"/>
          <w:sz w:val="22"/>
        </w:rPr>
      </w:pPr>
      <w:r w:rsidRPr="00861B30">
        <w:rPr>
          <w:rFonts w:ascii="Montserrat Medium" w:eastAsia="Times New Roman" w:hAnsi="Montserrat Medium" w:cs="Arial"/>
          <w:b/>
          <w:iCs/>
          <w:color w:val="595959"/>
          <w:sz w:val="22"/>
        </w:rPr>
        <w:t>7</w:t>
      </w:r>
      <w:r w:rsidR="005853F2" w:rsidRPr="00861B30">
        <w:rPr>
          <w:rFonts w:ascii="Montserrat Medium" w:eastAsia="Times New Roman" w:hAnsi="Montserrat Medium" w:cs="Arial"/>
          <w:b/>
          <w:iCs/>
          <w:color w:val="595959"/>
          <w:sz w:val="22"/>
        </w:rPr>
        <w:t>.</w:t>
      </w:r>
      <w:r w:rsidR="001E3866" w:rsidRPr="00861B30">
        <w:rPr>
          <w:rFonts w:ascii="Montserrat Medium" w:eastAsia="Times New Roman" w:hAnsi="Montserrat Medium" w:cs="Arial"/>
          <w:b/>
          <w:iCs/>
          <w:color w:val="595959"/>
          <w:sz w:val="22"/>
        </w:rPr>
        <w:t xml:space="preserve"> Participaciones y aportaciones de capital </w:t>
      </w:r>
    </w:p>
    <w:p w14:paraId="563F04E7" w14:textId="77777777" w:rsidR="001E3866" w:rsidRPr="00407404" w:rsidRDefault="001E3866" w:rsidP="002F131C">
      <w:pPr>
        <w:jc w:val="both"/>
        <w:rPr>
          <w:rFonts w:ascii="Montserrat Medium" w:eastAsia="Times New Roman" w:hAnsi="Montserrat Medium" w:cs="Arial"/>
          <w:color w:val="595959"/>
          <w:sz w:val="22"/>
          <w:highlight w:val="yellow"/>
          <w:lang w:eastAsia="en-US"/>
        </w:rPr>
      </w:pPr>
    </w:p>
    <w:p w14:paraId="4AABF054" w14:textId="77777777" w:rsidR="005853F2" w:rsidRPr="00861B30" w:rsidRDefault="005853F2" w:rsidP="002F131C">
      <w:pPr>
        <w:jc w:val="both"/>
        <w:rPr>
          <w:rFonts w:ascii="Montserrat Medium" w:eastAsia="Times New Roman" w:hAnsi="Montserrat Medium" w:cs="Arial"/>
          <w:color w:val="595959"/>
          <w:sz w:val="22"/>
          <w:lang w:eastAsia="en-US"/>
        </w:rPr>
      </w:pPr>
      <w:r w:rsidRPr="00861B30">
        <w:rPr>
          <w:rFonts w:ascii="Montserrat Medium" w:eastAsia="Times New Roman" w:hAnsi="Montserrat Medium" w:cs="Arial"/>
          <w:color w:val="595959"/>
          <w:sz w:val="22"/>
          <w:lang w:eastAsia="en-US"/>
        </w:rPr>
        <w:t>Representa el monto de las participaciones y aportaciones de capital directo o mediante la adquisición de acciones u otros valores representativos de capital en los sectores público,</w:t>
      </w:r>
      <w:r w:rsidR="00EB7C9D" w:rsidRPr="00861B30">
        <w:rPr>
          <w:rFonts w:ascii="Montserrat Medium" w:eastAsia="Times New Roman" w:hAnsi="Montserrat Medium" w:cs="Arial"/>
          <w:color w:val="595959"/>
          <w:sz w:val="22"/>
          <w:lang w:eastAsia="en-US"/>
        </w:rPr>
        <w:t xml:space="preserve"> privado y externo.</w:t>
      </w:r>
    </w:p>
    <w:p w14:paraId="412F9B43" w14:textId="77777777" w:rsidR="001E3866" w:rsidRPr="00861B30" w:rsidRDefault="001E3866" w:rsidP="002F131C">
      <w:pPr>
        <w:jc w:val="both"/>
        <w:rPr>
          <w:rFonts w:ascii="Montserrat Medium" w:eastAsia="Times New Roman" w:hAnsi="Montserrat Medium" w:cs="Arial"/>
          <w:color w:val="595959"/>
          <w:sz w:val="22"/>
          <w:lang w:eastAsia="en-US"/>
        </w:rPr>
      </w:pPr>
      <w:r w:rsidRPr="00861B30">
        <w:rPr>
          <w:rFonts w:ascii="Montserrat Medium" w:eastAsia="Times New Roman" w:hAnsi="Montserrat Medium" w:cs="Arial"/>
          <w:color w:val="595959"/>
          <w:sz w:val="22"/>
          <w:lang w:eastAsia="en-US"/>
        </w:rPr>
        <w:lastRenderedPageBreak/>
        <w:t xml:space="preserve">En la cuenta de participaciones y aportaciones de capital se encuentra registrada la inversión en acciones de empresas con participación estatal. </w:t>
      </w:r>
    </w:p>
    <w:p w14:paraId="4DCD82C2" w14:textId="77777777" w:rsidR="001E3866" w:rsidRPr="00861B30" w:rsidRDefault="005853F2" w:rsidP="002F131C">
      <w:pPr>
        <w:jc w:val="both"/>
        <w:rPr>
          <w:rFonts w:ascii="Montserrat Medium" w:eastAsia="Times New Roman" w:hAnsi="Montserrat Medium" w:cs="Arial"/>
          <w:color w:val="595959"/>
          <w:sz w:val="22"/>
          <w:lang w:eastAsia="en-US"/>
        </w:rPr>
      </w:pPr>
      <w:r w:rsidRPr="00861B30">
        <w:rPr>
          <w:rFonts w:ascii="Montserrat Medium" w:eastAsia="Times New Roman" w:hAnsi="Montserrat Medium" w:cs="Arial"/>
          <w:color w:val="595959"/>
          <w:sz w:val="22"/>
          <w:lang w:eastAsia="en-US"/>
        </w:rPr>
        <w:t>L</w:t>
      </w:r>
      <w:r w:rsidR="001E3866" w:rsidRPr="00861B30">
        <w:rPr>
          <w:rFonts w:ascii="Montserrat Medium" w:eastAsia="Times New Roman" w:hAnsi="Montserrat Medium" w:cs="Arial"/>
          <w:color w:val="595959"/>
          <w:sz w:val="22"/>
          <w:lang w:eastAsia="en-US"/>
        </w:rPr>
        <w:t xml:space="preserve">as inversiones en acciones se encuentran valuadas a través del método de participación en cumplimiento a la normatividad contable emitida por el Consejo Nacional de Armonización Contable, excepto la inversión en acciones de la empresa Desarrolladora de la Riviera Maya, S.A. de C.V. donde el gobierno no tiene el control de la sociedad y cuyas acciones se encuentran registradas al costo de adquisición. </w:t>
      </w:r>
    </w:p>
    <w:p w14:paraId="601E2796" w14:textId="77777777" w:rsidR="00A54DEB" w:rsidRPr="00407404" w:rsidRDefault="00A54DEB" w:rsidP="002F131C">
      <w:pPr>
        <w:jc w:val="both"/>
        <w:rPr>
          <w:rFonts w:ascii="Montserrat Medium" w:eastAsia="Times New Roman" w:hAnsi="Montserrat Medium" w:cs="Arial"/>
          <w:color w:val="595959"/>
          <w:sz w:val="22"/>
          <w:highlight w:val="yellow"/>
          <w:lang w:eastAsia="en-US"/>
        </w:rPr>
      </w:pPr>
    </w:p>
    <w:p w14:paraId="7F560E5B" w14:textId="7BD2932E" w:rsidR="008C25D8" w:rsidRPr="00861B30" w:rsidRDefault="000901FA" w:rsidP="002F131C">
      <w:pPr>
        <w:jc w:val="both"/>
        <w:rPr>
          <w:rFonts w:ascii="Montserrat Medium" w:eastAsia="Times New Roman" w:hAnsi="Montserrat Medium" w:cs="Arial"/>
          <w:color w:val="595959"/>
          <w:sz w:val="18"/>
          <w:szCs w:val="20"/>
          <w:lang w:eastAsia="en-US"/>
        </w:rPr>
      </w:pPr>
      <w:r w:rsidRPr="00861B30">
        <w:rPr>
          <w:rFonts w:ascii="Montserrat Medium" w:eastAsia="Times New Roman" w:hAnsi="Montserrat Medium" w:cs="Arial"/>
          <w:color w:val="595959"/>
          <w:sz w:val="22"/>
          <w:lang w:eastAsia="en-US"/>
        </w:rPr>
        <w:t>A</w:t>
      </w:r>
      <w:r w:rsidR="00A4586C" w:rsidRPr="00861B30">
        <w:rPr>
          <w:rFonts w:ascii="Montserrat Medium" w:eastAsia="Times New Roman" w:hAnsi="Montserrat Medium" w:cs="Arial"/>
          <w:color w:val="595959"/>
          <w:sz w:val="22"/>
          <w:lang w:eastAsia="en-US"/>
        </w:rPr>
        <w:t>l 3</w:t>
      </w:r>
      <w:r w:rsidR="00861B30" w:rsidRPr="00861B30">
        <w:rPr>
          <w:rFonts w:ascii="Montserrat Medium" w:eastAsia="Times New Roman" w:hAnsi="Montserrat Medium" w:cs="Arial"/>
          <w:color w:val="595959"/>
          <w:sz w:val="22"/>
          <w:lang w:eastAsia="en-US"/>
        </w:rPr>
        <w:t>0</w:t>
      </w:r>
      <w:r w:rsidR="00A4586C" w:rsidRPr="00861B30">
        <w:rPr>
          <w:rFonts w:ascii="Montserrat Medium" w:eastAsia="Times New Roman" w:hAnsi="Montserrat Medium" w:cs="Arial"/>
          <w:color w:val="595959"/>
          <w:sz w:val="22"/>
          <w:lang w:eastAsia="en-US"/>
        </w:rPr>
        <w:t xml:space="preserve"> de </w:t>
      </w:r>
      <w:r w:rsidR="00861B30" w:rsidRPr="00861B30">
        <w:rPr>
          <w:rFonts w:ascii="Montserrat Medium" w:eastAsia="Times New Roman" w:hAnsi="Montserrat Medium" w:cs="Arial"/>
          <w:color w:val="595959"/>
          <w:sz w:val="22"/>
          <w:lang w:eastAsia="en-US"/>
        </w:rPr>
        <w:t>junio</w:t>
      </w:r>
      <w:r w:rsidR="00A4586C" w:rsidRPr="00861B30">
        <w:rPr>
          <w:rFonts w:ascii="Montserrat Medium" w:eastAsia="Times New Roman" w:hAnsi="Montserrat Medium" w:cs="Arial"/>
          <w:color w:val="595959"/>
          <w:sz w:val="22"/>
          <w:lang w:eastAsia="en-US"/>
        </w:rPr>
        <w:t xml:space="preserve"> de 202</w:t>
      </w:r>
      <w:r w:rsidR="00306BD0" w:rsidRPr="00861B30">
        <w:rPr>
          <w:rFonts w:ascii="Montserrat Medium" w:eastAsia="Times New Roman" w:hAnsi="Montserrat Medium" w:cs="Arial"/>
          <w:color w:val="595959"/>
          <w:sz w:val="22"/>
          <w:lang w:eastAsia="en-US"/>
        </w:rPr>
        <w:t>5</w:t>
      </w:r>
      <w:r w:rsidR="00700992" w:rsidRPr="00861B30">
        <w:rPr>
          <w:rFonts w:ascii="Montserrat Medium" w:eastAsia="Times New Roman" w:hAnsi="Montserrat Medium" w:cs="Arial"/>
          <w:color w:val="595959"/>
          <w:sz w:val="22"/>
          <w:lang w:eastAsia="en-US"/>
        </w:rPr>
        <w:t xml:space="preserve"> y ejercicio fiscal 202</w:t>
      </w:r>
      <w:r w:rsidR="00306BD0" w:rsidRPr="00861B30">
        <w:rPr>
          <w:rFonts w:ascii="Montserrat Medium" w:eastAsia="Times New Roman" w:hAnsi="Montserrat Medium" w:cs="Arial"/>
          <w:color w:val="595959"/>
          <w:sz w:val="22"/>
          <w:lang w:eastAsia="en-US"/>
        </w:rPr>
        <w:t>4</w:t>
      </w:r>
      <w:r w:rsidR="00D73B96" w:rsidRPr="00861B30">
        <w:rPr>
          <w:rFonts w:ascii="Montserrat Medium" w:eastAsia="Times New Roman" w:hAnsi="Montserrat Medium" w:cs="Arial"/>
          <w:color w:val="595959"/>
          <w:sz w:val="22"/>
          <w:lang w:eastAsia="en-US"/>
        </w:rPr>
        <w:t xml:space="preserve">, </w:t>
      </w:r>
      <w:r w:rsidR="001E3866" w:rsidRPr="00861B30">
        <w:rPr>
          <w:rFonts w:ascii="Montserrat Medium" w:eastAsia="Times New Roman" w:hAnsi="Montserrat Medium" w:cs="Arial"/>
          <w:color w:val="595959"/>
          <w:sz w:val="22"/>
          <w:lang w:eastAsia="en-US"/>
        </w:rPr>
        <w:t>las inversiones en acciones se encuentran representadas por la participación directa en el capital soci</w:t>
      </w:r>
      <w:r w:rsidR="00B6167D" w:rsidRPr="00861B30">
        <w:rPr>
          <w:rFonts w:ascii="Montserrat Medium" w:eastAsia="Times New Roman" w:hAnsi="Montserrat Medium" w:cs="Arial"/>
          <w:color w:val="595959"/>
          <w:sz w:val="22"/>
          <w:lang w:eastAsia="en-US"/>
        </w:rPr>
        <w:t xml:space="preserve">al de las siguientes empresas: </w:t>
      </w:r>
    </w:p>
    <w:p w14:paraId="6B0497AC" w14:textId="77777777" w:rsidR="00422E4B" w:rsidRPr="00407404" w:rsidRDefault="00422E4B" w:rsidP="002F131C">
      <w:pPr>
        <w:jc w:val="both"/>
        <w:rPr>
          <w:rFonts w:ascii="Montserrat Medium" w:eastAsia="Times New Roman" w:hAnsi="Montserrat Medium" w:cs="Arial"/>
          <w:color w:val="595959"/>
          <w:sz w:val="18"/>
          <w:szCs w:val="20"/>
          <w:highlight w:val="yellow"/>
          <w:lang w:eastAsia="en-US"/>
        </w:rPr>
      </w:pPr>
    </w:p>
    <w:tbl>
      <w:tblPr>
        <w:tblpPr w:leftFromText="141" w:rightFromText="141" w:vertAnchor="text" w:horzAnchor="margin" w:tblpXSpec="center" w:tblpY="115"/>
        <w:tblW w:w="8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1"/>
        <w:gridCol w:w="1278"/>
        <w:gridCol w:w="1488"/>
        <w:gridCol w:w="1488"/>
      </w:tblGrid>
      <w:tr w:rsidR="00700992" w:rsidRPr="00861B30" w14:paraId="35087B7B" w14:textId="65001C6C" w:rsidTr="006707EC">
        <w:trPr>
          <w:trHeight w:val="554"/>
          <w:tblHeader/>
        </w:trPr>
        <w:tc>
          <w:tcPr>
            <w:tcW w:w="459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D8796C7" w14:textId="77777777" w:rsidR="00700992" w:rsidRPr="00861B30" w:rsidRDefault="00700992" w:rsidP="002F131C">
            <w:pPr>
              <w:jc w:val="center"/>
              <w:rPr>
                <w:rFonts w:ascii="Montserrat Medium" w:eastAsia="Times New Roman" w:hAnsi="Montserrat Medium" w:cs="Arial"/>
                <w:b/>
                <w:sz w:val="17"/>
                <w:szCs w:val="17"/>
                <w:lang w:eastAsia="en-US"/>
              </w:rPr>
            </w:pPr>
            <w:r w:rsidRPr="00861B30">
              <w:rPr>
                <w:rFonts w:ascii="Montserrat Medium" w:eastAsia="Times New Roman" w:hAnsi="Montserrat Medium" w:cs="Arial"/>
                <w:b/>
                <w:sz w:val="17"/>
                <w:szCs w:val="17"/>
                <w:lang w:eastAsia="en-US"/>
              </w:rPr>
              <w:t>Empresa</w:t>
            </w:r>
          </w:p>
        </w:tc>
        <w:tc>
          <w:tcPr>
            <w:tcW w:w="12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B03AD8" w14:textId="77777777" w:rsidR="00700992" w:rsidRPr="00861B30" w:rsidRDefault="00700992" w:rsidP="002F131C">
            <w:pPr>
              <w:jc w:val="center"/>
              <w:rPr>
                <w:rFonts w:ascii="Montserrat Medium" w:eastAsia="Times New Roman" w:hAnsi="Montserrat Medium" w:cs="Arial"/>
                <w:b/>
                <w:sz w:val="17"/>
                <w:szCs w:val="17"/>
                <w:lang w:eastAsia="en-US"/>
              </w:rPr>
            </w:pPr>
            <w:r w:rsidRPr="00861B30">
              <w:rPr>
                <w:rFonts w:ascii="Montserrat Medium" w:eastAsia="Times New Roman" w:hAnsi="Montserrat Medium" w:cs="Arial"/>
                <w:b/>
                <w:sz w:val="17"/>
                <w:szCs w:val="17"/>
                <w:lang w:eastAsia="en-US"/>
              </w:rPr>
              <w:t>Porcentaje de participación</w:t>
            </w:r>
          </w:p>
        </w:tc>
        <w:tc>
          <w:tcPr>
            <w:tcW w:w="1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CE2F2F" w14:textId="4B920B4A" w:rsidR="00700992" w:rsidRPr="00861B30" w:rsidRDefault="006707EC" w:rsidP="00861B30">
            <w:pPr>
              <w:jc w:val="center"/>
              <w:rPr>
                <w:rFonts w:ascii="Montserrat Medium" w:eastAsia="Times New Roman" w:hAnsi="Montserrat Medium" w:cs="Arial"/>
                <w:b/>
                <w:sz w:val="17"/>
                <w:szCs w:val="17"/>
                <w:lang w:eastAsia="en-US"/>
              </w:rPr>
            </w:pPr>
            <w:r w:rsidRPr="00861B30">
              <w:rPr>
                <w:rFonts w:ascii="Montserrat Medium" w:eastAsia="Times New Roman" w:hAnsi="Montserrat Medium" w:cs="Arial"/>
                <w:b/>
                <w:sz w:val="17"/>
                <w:szCs w:val="17"/>
                <w:lang w:eastAsia="en-US"/>
              </w:rPr>
              <w:t>Al 3</w:t>
            </w:r>
            <w:r w:rsidR="00861B30" w:rsidRPr="00861B30">
              <w:rPr>
                <w:rFonts w:ascii="Montserrat Medium" w:eastAsia="Times New Roman" w:hAnsi="Montserrat Medium" w:cs="Arial"/>
                <w:b/>
                <w:sz w:val="17"/>
                <w:szCs w:val="17"/>
                <w:lang w:eastAsia="en-US"/>
              </w:rPr>
              <w:t>0</w:t>
            </w:r>
            <w:r w:rsidRPr="00861B30">
              <w:rPr>
                <w:rFonts w:ascii="Montserrat Medium" w:eastAsia="Times New Roman" w:hAnsi="Montserrat Medium" w:cs="Arial"/>
                <w:b/>
                <w:sz w:val="17"/>
                <w:szCs w:val="17"/>
                <w:lang w:eastAsia="en-US"/>
              </w:rPr>
              <w:t xml:space="preserve"> de </w:t>
            </w:r>
            <w:r w:rsidR="00861B30" w:rsidRPr="00861B30">
              <w:rPr>
                <w:rFonts w:ascii="Montserrat Medium" w:eastAsia="Times New Roman" w:hAnsi="Montserrat Medium" w:cs="Arial"/>
                <w:b/>
                <w:sz w:val="17"/>
                <w:szCs w:val="17"/>
                <w:lang w:eastAsia="en-US"/>
              </w:rPr>
              <w:t>Junio</w:t>
            </w:r>
            <w:r w:rsidRPr="00861B30">
              <w:rPr>
                <w:rFonts w:ascii="Montserrat Medium" w:eastAsia="Times New Roman" w:hAnsi="Montserrat Medium" w:cs="Arial"/>
                <w:b/>
                <w:sz w:val="17"/>
                <w:szCs w:val="17"/>
                <w:lang w:eastAsia="en-US"/>
              </w:rPr>
              <w:t xml:space="preserve"> de </w:t>
            </w:r>
            <w:r w:rsidR="00A4586C" w:rsidRPr="00861B30">
              <w:rPr>
                <w:rFonts w:ascii="Montserrat Medium" w:eastAsia="Times New Roman" w:hAnsi="Montserrat Medium" w:cs="Arial"/>
                <w:b/>
                <w:sz w:val="17"/>
                <w:szCs w:val="17"/>
                <w:lang w:eastAsia="en-US"/>
              </w:rPr>
              <w:t>202</w:t>
            </w:r>
            <w:r w:rsidRPr="00861B30">
              <w:rPr>
                <w:rFonts w:ascii="Montserrat Medium" w:eastAsia="Times New Roman" w:hAnsi="Montserrat Medium" w:cs="Arial"/>
                <w:b/>
                <w:sz w:val="17"/>
                <w:szCs w:val="17"/>
                <w:lang w:eastAsia="en-US"/>
              </w:rPr>
              <w:t>5</w:t>
            </w:r>
          </w:p>
        </w:tc>
        <w:tc>
          <w:tcPr>
            <w:tcW w:w="1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4F4B67" w14:textId="7435720F" w:rsidR="00700992" w:rsidRPr="00861B30" w:rsidRDefault="006707EC" w:rsidP="002F131C">
            <w:pPr>
              <w:jc w:val="center"/>
              <w:rPr>
                <w:rFonts w:ascii="Montserrat Medium" w:eastAsia="Times New Roman" w:hAnsi="Montserrat Medium" w:cs="Arial"/>
                <w:b/>
                <w:sz w:val="17"/>
                <w:szCs w:val="17"/>
                <w:lang w:eastAsia="en-US"/>
              </w:rPr>
            </w:pPr>
            <w:r w:rsidRPr="00861B30">
              <w:rPr>
                <w:rFonts w:ascii="Montserrat Medium" w:eastAsia="Times New Roman" w:hAnsi="Montserrat Medium" w:cs="Arial"/>
                <w:b/>
                <w:sz w:val="17"/>
                <w:szCs w:val="17"/>
                <w:lang w:eastAsia="en-US"/>
              </w:rPr>
              <w:t>2024</w:t>
            </w:r>
          </w:p>
        </w:tc>
      </w:tr>
      <w:tr w:rsidR="00700992" w:rsidRPr="00861B30" w14:paraId="522020B9" w14:textId="0D0C9C0B" w:rsidTr="006707EC">
        <w:trPr>
          <w:trHeight w:val="113"/>
        </w:trPr>
        <w:tc>
          <w:tcPr>
            <w:tcW w:w="4591" w:type="dxa"/>
            <w:tcBorders>
              <w:top w:val="single" w:sz="4" w:space="0" w:color="auto"/>
              <w:left w:val="single" w:sz="4" w:space="0" w:color="auto"/>
              <w:bottom w:val="nil"/>
              <w:right w:val="single" w:sz="4" w:space="0" w:color="auto"/>
            </w:tcBorders>
            <w:shd w:val="clear" w:color="auto" w:fill="FFFFFF"/>
            <w:noWrap/>
          </w:tcPr>
          <w:p w14:paraId="2175FDBE" w14:textId="77777777" w:rsidR="00700992" w:rsidRPr="00861B30" w:rsidRDefault="00700992" w:rsidP="002F131C">
            <w:pPr>
              <w:jc w:val="both"/>
              <w:rPr>
                <w:rFonts w:ascii="Montserrat Medium" w:eastAsia="Times New Roman" w:hAnsi="Montserrat Medium" w:cs="Arial"/>
                <w:b/>
                <w:sz w:val="17"/>
                <w:szCs w:val="17"/>
                <w:lang w:eastAsia="en-US"/>
              </w:rPr>
            </w:pPr>
            <w:r w:rsidRPr="00861B30">
              <w:rPr>
                <w:rFonts w:ascii="Montserrat Medium" w:eastAsia="Times New Roman" w:hAnsi="Montserrat Medium" w:cs="Arial"/>
                <w:b/>
                <w:sz w:val="17"/>
                <w:szCs w:val="17"/>
                <w:lang w:eastAsia="en-US"/>
              </w:rPr>
              <w:t>Empresas de participación estatal mayoritaria:</w:t>
            </w:r>
          </w:p>
        </w:tc>
        <w:tc>
          <w:tcPr>
            <w:tcW w:w="1278" w:type="dxa"/>
            <w:tcBorders>
              <w:top w:val="single" w:sz="4" w:space="0" w:color="auto"/>
              <w:left w:val="single" w:sz="4" w:space="0" w:color="auto"/>
              <w:bottom w:val="nil"/>
              <w:right w:val="single" w:sz="4" w:space="0" w:color="auto"/>
            </w:tcBorders>
            <w:shd w:val="clear" w:color="auto" w:fill="FFFFFF"/>
          </w:tcPr>
          <w:p w14:paraId="4694369E" w14:textId="77777777" w:rsidR="00700992" w:rsidRPr="00861B30" w:rsidRDefault="00700992" w:rsidP="002F131C">
            <w:pPr>
              <w:jc w:val="right"/>
              <w:rPr>
                <w:rFonts w:ascii="Montserrat Medium" w:eastAsia="Times New Roman" w:hAnsi="Montserrat Medium" w:cs="Arial"/>
                <w:sz w:val="17"/>
                <w:szCs w:val="17"/>
                <w:lang w:eastAsia="en-US"/>
              </w:rPr>
            </w:pPr>
          </w:p>
        </w:tc>
        <w:tc>
          <w:tcPr>
            <w:tcW w:w="1488" w:type="dxa"/>
            <w:tcBorders>
              <w:top w:val="single" w:sz="4" w:space="0" w:color="auto"/>
              <w:left w:val="single" w:sz="4" w:space="0" w:color="auto"/>
              <w:bottom w:val="nil"/>
              <w:right w:val="single" w:sz="4" w:space="0" w:color="auto"/>
            </w:tcBorders>
            <w:shd w:val="clear" w:color="auto" w:fill="FFFFFF"/>
          </w:tcPr>
          <w:p w14:paraId="3F002803" w14:textId="77777777" w:rsidR="00700992" w:rsidRPr="00C04293" w:rsidRDefault="00700992" w:rsidP="002F131C">
            <w:pPr>
              <w:jc w:val="right"/>
              <w:rPr>
                <w:rFonts w:ascii="Montserrat Medium" w:eastAsia="Times New Roman" w:hAnsi="Montserrat Medium" w:cs="Arial"/>
                <w:sz w:val="17"/>
                <w:szCs w:val="17"/>
                <w:lang w:eastAsia="en-US"/>
              </w:rPr>
            </w:pPr>
          </w:p>
        </w:tc>
        <w:tc>
          <w:tcPr>
            <w:tcW w:w="1488" w:type="dxa"/>
            <w:tcBorders>
              <w:top w:val="single" w:sz="4" w:space="0" w:color="auto"/>
              <w:left w:val="single" w:sz="4" w:space="0" w:color="auto"/>
              <w:bottom w:val="nil"/>
              <w:right w:val="single" w:sz="4" w:space="0" w:color="auto"/>
            </w:tcBorders>
            <w:shd w:val="clear" w:color="auto" w:fill="FFFFFF"/>
            <w:vAlign w:val="bottom"/>
          </w:tcPr>
          <w:p w14:paraId="37CAFB82" w14:textId="77777777" w:rsidR="00700992" w:rsidRPr="00861B30" w:rsidRDefault="00700992" w:rsidP="002F131C">
            <w:pPr>
              <w:jc w:val="right"/>
              <w:rPr>
                <w:rFonts w:ascii="Montserrat Medium" w:eastAsia="Times New Roman" w:hAnsi="Montserrat Medium" w:cs="Arial"/>
                <w:sz w:val="17"/>
                <w:szCs w:val="17"/>
                <w:lang w:eastAsia="en-US"/>
              </w:rPr>
            </w:pPr>
          </w:p>
        </w:tc>
      </w:tr>
      <w:tr w:rsidR="00804833" w:rsidRPr="00861B30" w14:paraId="4D350C90" w14:textId="011F75D5" w:rsidTr="006707EC">
        <w:trPr>
          <w:trHeight w:val="227"/>
        </w:trPr>
        <w:tc>
          <w:tcPr>
            <w:tcW w:w="4591" w:type="dxa"/>
            <w:tcBorders>
              <w:top w:val="nil"/>
              <w:left w:val="single" w:sz="4" w:space="0" w:color="auto"/>
              <w:bottom w:val="nil"/>
              <w:right w:val="single" w:sz="4" w:space="0" w:color="auto"/>
            </w:tcBorders>
            <w:shd w:val="clear" w:color="auto" w:fill="FFFFFF"/>
            <w:noWrap/>
            <w:vAlign w:val="bottom"/>
          </w:tcPr>
          <w:p w14:paraId="3594354B" w14:textId="77777777" w:rsidR="00804833" w:rsidRPr="00861B30" w:rsidRDefault="00804833" w:rsidP="002F131C">
            <w:pPr>
              <w:ind w:left="209"/>
              <w:jc w:val="both"/>
              <w:rPr>
                <w:rFonts w:ascii="Montserrat Medium" w:eastAsia="Times New Roman" w:hAnsi="Montserrat Medium" w:cs="Arial"/>
                <w:sz w:val="17"/>
                <w:szCs w:val="17"/>
                <w:lang w:eastAsia="en-US"/>
              </w:rPr>
            </w:pPr>
            <w:r w:rsidRPr="00861B30">
              <w:rPr>
                <w:rFonts w:ascii="Montserrat Medium" w:eastAsia="Times New Roman" w:hAnsi="Montserrat Medium" w:cs="Arial"/>
                <w:sz w:val="17"/>
                <w:szCs w:val="17"/>
                <w:lang w:eastAsia="en-US"/>
              </w:rPr>
              <w:t>VIP Servicios Aéreos Ejecutivos, S.A. de C.V.</w:t>
            </w:r>
          </w:p>
        </w:tc>
        <w:tc>
          <w:tcPr>
            <w:tcW w:w="1278" w:type="dxa"/>
            <w:tcBorders>
              <w:top w:val="nil"/>
              <w:left w:val="single" w:sz="4" w:space="0" w:color="auto"/>
              <w:bottom w:val="nil"/>
              <w:right w:val="single" w:sz="4" w:space="0" w:color="auto"/>
            </w:tcBorders>
            <w:shd w:val="clear" w:color="auto" w:fill="FFFFFF"/>
            <w:vAlign w:val="bottom"/>
          </w:tcPr>
          <w:p w14:paraId="11CD6128" w14:textId="77777777" w:rsidR="00804833" w:rsidRPr="00861B30" w:rsidRDefault="00804833" w:rsidP="002F131C">
            <w:pPr>
              <w:ind w:left="351" w:hanging="351"/>
              <w:jc w:val="center"/>
              <w:rPr>
                <w:rFonts w:ascii="Montserrat Medium" w:eastAsia="Times New Roman" w:hAnsi="Montserrat Medium" w:cs="Calibri"/>
                <w:sz w:val="17"/>
                <w:szCs w:val="17"/>
              </w:rPr>
            </w:pPr>
            <w:r w:rsidRPr="00861B30">
              <w:rPr>
                <w:rFonts w:ascii="Montserrat Medium" w:eastAsia="Times New Roman" w:hAnsi="Montserrat Medium" w:cs="Calibri"/>
                <w:sz w:val="17"/>
                <w:szCs w:val="17"/>
              </w:rPr>
              <w:t>99</w:t>
            </w:r>
          </w:p>
        </w:tc>
        <w:tc>
          <w:tcPr>
            <w:tcW w:w="1488" w:type="dxa"/>
            <w:tcBorders>
              <w:top w:val="nil"/>
              <w:left w:val="single" w:sz="4" w:space="0" w:color="auto"/>
              <w:bottom w:val="nil"/>
              <w:right w:val="single" w:sz="4" w:space="0" w:color="auto"/>
            </w:tcBorders>
            <w:shd w:val="clear" w:color="auto" w:fill="FFFFFF"/>
            <w:vAlign w:val="center"/>
          </w:tcPr>
          <w:p w14:paraId="0F14E605" w14:textId="63FB4C27" w:rsidR="00804833" w:rsidRPr="00C04293" w:rsidRDefault="00804833" w:rsidP="002F131C">
            <w:pPr>
              <w:jc w:val="right"/>
              <w:rPr>
                <w:rFonts w:ascii="Montserrat Medium" w:eastAsia="Times New Roman" w:hAnsi="Montserrat Medium" w:cs="Calibri"/>
                <w:sz w:val="17"/>
                <w:szCs w:val="17"/>
              </w:rPr>
            </w:pPr>
            <w:r w:rsidRPr="00C04293">
              <w:rPr>
                <w:rFonts w:ascii="Montserrat Medium" w:hAnsi="Montserrat Medium" w:cs="Calibri"/>
                <w:color w:val="000000"/>
                <w:sz w:val="17"/>
                <w:szCs w:val="17"/>
              </w:rPr>
              <w:t>14,343,378.84</w:t>
            </w:r>
          </w:p>
        </w:tc>
        <w:tc>
          <w:tcPr>
            <w:tcW w:w="1488" w:type="dxa"/>
            <w:tcBorders>
              <w:top w:val="nil"/>
              <w:left w:val="single" w:sz="4" w:space="0" w:color="auto"/>
              <w:bottom w:val="nil"/>
              <w:right w:val="single" w:sz="4" w:space="0" w:color="auto"/>
            </w:tcBorders>
            <w:shd w:val="clear" w:color="auto" w:fill="FFFFFF"/>
            <w:vAlign w:val="center"/>
          </w:tcPr>
          <w:p w14:paraId="2EF82A6C" w14:textId="74E79ACA" w:rsidR="00804833" w:rsidRPr="00861B30" w:rsidRDefault="00804833" w:rsidP="002F131C">
            <w:pPr>
              <w:jc w:val="right"/>
              <w:rPr>
                <w:rFonts w:ascii="Montserrat Medium" w:eastAsia="Times New Roman" w:hAnsi="Montserrat Medium" w:cs="Calibri"/>
                <w:sz w:val="17"/>
                <w:szCs w:val="17"/>
              </w:rPr>
            </w:pPr>
            <w:r w:rsidRPr="00861B30">
              <w:rPr>
                <w:rFonts w:ascii="Montserrat Medium" w:hAnsi="Montserrat Medium" w:cs="Calibri"/>
                <w:color w:val="000000"/>
                <w:sz w:val="17"/>
                <w:szCs w:val="17"/>
              </w:rPr>
              <w:t>14,343,378.84</w:t>
            </w:r>
          </w:p>
        </w:tc>
      </w:tr>
      <w:tr w:rsidR="00804833" w:rsidRPr="00861B30" w14:paraId="301057CC" w14:textId="01803400" w:rsidTr="006707EC">
        <w:trPr>
          <w:trHeight w:val="227"/>
        </w:trPr>
        <w:tc>
          <w:tcPr>
            <w:tcW w:w="4591" w:type="dxa"/>
            <w:tcBorders>
              <w:top w:val="nil"/>
              <w:left w:val="single" w:sz="4" w:space="0" w:color="auto"/>
              <w:bottom w:val="nil"/>
              <w:right w:val="single" w:sz="4" w:space="0" w:color="auto"/>
            </w:tcBorders>
            <w:shd w:val="clear" w:color="auto" w:fill="FFFFFF"/>
            <w:noWrap/>
            <w:vAlign w:val="bottom"/>
          </w:tcPr>
          <w:p w14:paraId="072FDE50" w14:textId="77777777" w:rsidR="00804833" w:rsidRPr="00861B30" w:rsidRDefault="00804833" w:rsidP="002F131C">
            <w:pPr>
              <w:ind w:left="209"/>
              <w:jc w:val="both"/>
              <w:rPr>
                <w:rFonts w:ascii="Montserrat Medium" w:eastAsia="Times New Roman" w:hAnsi="Montserrat Medium" w:cs="Arial"/>
                <w:sz w:val="17"/>
                <w:szCs w:val="17"/>
                <w:lang w:eastAsia="en-US"/>
              </w:rPr>
            </w:pPr>
            <w:r w:rsidRPr="00861B30">
              <w:rPr>
                <w:rFonts w:ascii="Montserrat Medium" w:eastAsia="Times New Roman" w:hAnsi="Montserrat Medium" w:cs="Arial"/>
                <w:sz w:val="17"/>
                <w:szCs w:val="17"/>
                <w:lang w:eastAsia="en-US"/>
              </w:rPr>
              <w:t>Administración Portuaria Integral de Quintana Roo, S.A. de C.V.</w:t>
            </w:r>
          </w:p>
        </w:tc>
        <w:tc>
          <w:tcPr>
            <w:tcW w:w="1278" w:type="dxa"/>
            <w:tcBorders>
              <w:top w:val="nil"/>
              <w:left w:val="single" w:sz="4" w:space="0" w:color="auto"/>
              <w:bottom w:val="nil"/>
              <w:right w:val="single" w:sz="4" w:space="0" w:color="auto"/>
            </w:tcBorders>
            <w:shd w:val="clear" w:color="auto" w:fill="FFFFFF"/>
            <w:vAlign w:val="bottom"/>
          </w:tcPr>
          <w:p w14:paraId="5270490D" w14:textId="77777777" w:rsidR="00804833" w:rsidRPr="00861B30" w:rsidRDefault="00804833" w:rsidP="002F131C">
            <w:pPr>
              <w:ind w:left="351" w:hanging="351"/>
              <w:jc w:val="center"/>
              <w:rPr>
                <w:rFonts w:ascii="Montserrat Medium" w:eastAsia="Times New Roman" w:hAnsi="Montserrat Medium" w:cs="Calibri"/>
                <w:sz w:val="17"/>
                <w:szCs w:val="17"/>
              </w:rPr>
            </w:pPr>
            <w:r w:rsidRPr="00861B30">
              <w:rPr>
                <w:rFonts w:ascii="Montserrat Medium" w:eastAsia="Times New Roman" w:hAnsi="Montserrat Medium" w:cs="Calibri"/>
                <w:sz w:val="17"/>
                <w:szCs w:val="17"/>
              </w:rPr>
              <w:t>96</w:t>
            </w:r>
          </w:p>
        </w:tc>
        <w:tc>
          <w:tcPr>
            <w:tcW w:w="1488" w:type="dxa"/>
            <w:tcBorders>
              <w:top w:val="nil"/>
              <w:left w:val="single" w:sz="4" w:space="0" w:color="auto"/>
              <w:bottom w:val="nil"/>
              <w:right w:val="single" w:sz="4" w:space="0" w:color="auto"/>
            </w:tcBorders>
            <w:shd w:val="clear" w:color="auto" w:fill="FFFFFF"/>
            <w:vAlign w:val="center"/>
          </w:tcPr>
          <w:p w14:paraId="38AF5516" w14:textId="110559DD" w:rsidR="00804833" w:rsidRPr="00C04293" w:rsidRDefault="00804833" w:rsidP="002F131C">
            <w:pPr>
              <w:jc w:val="right"/>
              <w:rPr>
                <w:rFonts w:ascii="Montserrat Medium" w:eastAsia="Times New Roman" w:hAnsi="Montserrat Medium" w:cs="Calibri"/>
                <w:sz w:val="17"/>
                <w:szCs w:val="17"/>
              </w:rPr>
            </w:pPr>
            <w:r w:rsidRPr="00C04293">
              <w:rPr>
                <w:rFonts w:ascii="Montserrat Medium" w:hAnsi="Montserrat Medium" w:cs="Calibri"/>
                <w:color w:val="000000"/>
                <w:sz w:val="17"/>
                <w:szCs w:val="17"/>
              </w:rPr>
              <w:t>235,980,804.43</w:t>
            </w:r>
          </w:p>
        </w:tc>
        <w:tc>
          <w:tcPr>
            <w:tcW w:w="1488" w:type="dxa"/>
            <w:tcBorders>
              <w:top w:val="nil"/>
              <w:left w:val="single" w:sz="4" w:space="0" w:color="auto"/>
              <w:bottom w:val="nil"/>
              <w:right w:val="single" w:sz="4" w:space="0" w:color="auto"/>
            </w:tcBorders>
            <w:shd w:val="clear" w:color="auto" w:fill="FFFFFF"/>
            <w:vAlign w:val="center"/>
          </w:tcPr>
          <w:p w14:paraId="2E579CE9" w14:textId="026BAE19" w:rsidR="00804833" w:rsidRPr="00861B30" w:rsidRDefault="00804833" w:rsidP="002F131C">
            <w:pPr>
              <w:jc w:val="right"/>
              <w:rPr>
                <w:rFonts w:ascii="Montserrat Medium" w:eastAsia="Times New Roman" w:hAnsi="Montserrat Medium" w:cs="Calibri"/>
                <w:sz w:val="17"/>
                <w:szCs w:val="17"/>
              </w:rPr>
            </w:pPr>
            <w:r w:rsidRPr="00861B30">
              <w:rPr>
                <w:rFonts w:ascii="Montserrat Medium" w:hAnsi="Montserrat Medium" w:cs="Calibri"/>
                <w:color w:val="000000"/>
                <w:sz w:val="17"/>
                <w:szCs w:val="17"/>
              </w:rPr>
              <w:t>235,980,804.43</w:t>
            </w:r>
          </w:p>
        </w:tc>
      </w:tr>
      <w:tr w:rsidR="00804833" w:rsidRPr="00861B30" w14:paraId="16EAE163" w14:textId="722B5B9D" w:rsidTr="006707EC">
        <w:trPr>
          <w:trHeight w:val="227"/>
        </w:trPr>
        <w:tc>
          <w:tcPr>
            <w:tcW w:w="4591" w:type="dxa"/>
            <w:tcBorders>
              <w:top w:val="nil"/>
              <w:left w:val="single" w:sz="4" w:space="0" w:color="auto"/>
              <w:bottom w:val="nil"/>
              <w:right w:val="single" w:sz="4" w:space="0" w:color="auto"/>
            </w:tcBorders>
            <w:shd w:val="clear" w:color="auto" w:fill="FFFFFF"/>
            <w:noWrap/>
            <w:vAlign w:val="bottom"/>
          </w:tcPr>
          <w:p w14:paraId="7E050CF0" w14:textId="77777777" w:rsidR="00804833" w:rsidRPr="00861B30" w:rsidRDefault="00804833" w:rsidP="002F131C">
            <w:pPr>
              <w:ind w:left="209"/>
              <w:jc w:val="both"/>
              <w:rPr>
                <w:rFonts w:ascii="Montserrat Medium" w:eastAsia="Times New Roman" w:hAnsi="Montserrat Medium" w:cs="Arial"/>
                <w:sz w:val="17"/>
                <w:szCs w:val="17"/>
                <w:lang w:eastAsia="en-US"/>
              </w:rPr>
            </w:pPr>
            <w:r w:rsidRPr="00861B30">
              <w:rPr>
                <w:rFonts w:ascii="Montserrat Medium" w:eastAsia="Times New Roman" w:hAnsi="Montserrat Medium" w:cs="Arial"/>
                <w:sz w:val="17"/>
                <w:szCs w:val="17"/>
                <w:lang w:eastAsia="en-US"/>
              </w:rPr>
              <w:t>Procesadora de Carnes la Alianza, S.A. de C.V.</w:t>
            </w:r>
          </w:p>
        </w:tc>
        <w:tc>
          <w:tcPr>
            <w:tcW w:w="1278" w:type="dxa"/>
            <w:tcBorders>
              <w:top w:val="nil"/>
              <w:left w:val="single" w:sz="4" w:space="0" w:color="auto"/>
              <w:bottom w:val="nil"/>
              <w:right w:val="single" w:sz="4" w:space="0" w:color="auto"/>
            </w:tcBorders>
            <w:shd w:val="clear" w:color="auto" w:fill="FFFFFF"/>
            <w:vAlign w:val="bottom"/>
          </w:tcPr>
          <w:p w14:paraId="22CE5F9B" w14:textId="77777777" w:rsidR="00804833" w:rsidRPr="00861B30" w:rsidRDefault="00804833" w:rsidP="002F131C">
            <w:pPr>
              <w:ind w:left="351" w:hanging="351"/>
              <w:jc w:val="center"/>
              <w:rPr>
                <w:rFonts w:ascii="Montserrat Medium" w:eastAsia="Times New Roman" w:hAnsi="Montserrat Medium" w:cs="Calibri"/>
                <w:sz w:val="17"/>
                <w:szCs w:val="17"/>
              </w:rPr>
            </w:pPr>
            <w:r w:rsidRPr="00861B30">
              <w:rPr>
                <w:rFonts w:ascii="Montserrat Medium" w:eastAsia="Times New Roman" w:hAnsi="Montserrat Medium" w:cs="Calibri"/>
                <w:sz w:val="17"/>
                <w:szCs w:val="17"/>
              </w:rPr>
              <w:t>99</w:t>
            </w:r>
          </w:p>
        </w:tc>
        <w:tc>
          <w:tcPr>
            <w:tcW w:w="1488" w:type="dxa"/>
            <w:tcBorders>
              <w:top w:val="nil"/>
              <w:left w:val="single" w:sz="4" w:space="0" w:color="auto"/>
              <w:bottom w:val="nil"/>
              <w:right w:val="single" w:sz="4" w:space="0" w:color="auto"/>
            </w:tcBorders>
            <w:shd w:val="clear" w:color="auto" w:fill="FFFFFF"/>
            <w:vAlign w:val="center"/>
          </w:tcPr>
          <w:p w14:paraId="62368011" w14:textId="179F17EC" w:rsidR="00804833" w:rsidRPr="00C04293" w:rsidRDefault="00804833" w:rsidP="002F131C">
            <w:pPr>
              <w:jc w:val="right"/>
              <w:rPr>
                <w:rFonts w:ascii="Montserrat Medium" w:eastAsia="Times New Roman" w:hAnsi="Montserrat Medium" w:cs="Calibri"/>
                <w:sz w:val="17"/>
                <w:szCs w:val="17"/>
              </w:rPr>
            </w:pPr>
            <w:r w:rsidRPr="00C04293">
              <w:rPr>
                <w:rFonts w:ascii="Montserrat Medium" w:hAnsi="Montserrat Medium" w:cs="Calibri"/>
                <w:color w:val="000000"/>
                <w:sz w:val="17"/>
                <w:szCs w:val="17"/>
              </w:rPr>
              <w:t>2,643,016.37</w:t>
            </w:r>
          </w:p>
        </w:tc>
        <w:tc>
          <w:tcPr>
            <w:tcW w:w="1488" w:type="dxa"/>
            <w:tcBorders>
              <w:top w:val="nil"/>
              <w:left w:val="single" w:sz="4" w:space="0" w:color="auto"/>
              <w:bottom w:val="nil"/>
              <w:right w:val="single" w:sz="4" w:space="0" w:color="auto"/>
            </w:tcBorders>
            <w:shd w:val="clear" w:color="auto" w:fill="FFFFFF"/>
            <w:vAlign w:val="center"/>
          </w:tcPr>
          <w:p w14:paraId="0466963E" w14:textId="47AD1D03" w:rsidR="00804833" w:rsidRPr="00861B30" w:rsidRDefault="00804833" w:rsidP="002F131C">
            <w:pPr>
              <w:jc w:val="right"/>
              <w:rPr>
                <w:rFonts w:ascii="Montserrat Medium" w:eastAsia="Times New Roman" w:hAnsi="Montserrat Medium" w:cs="Calibri"/>
                <w:sz w:val="17"/>
                <w:szCs w:val="17"/>
              </w:rPr>
            </w:pPr>
            <w:r w:rsidRPr="00861B30">
              <w:rPr>
                <w:rFonts w:ascii="Montserrat Medium" w:hAnsi="Montserrat Medium" w:cs="Calibri"/>
                <w:color w:val="000000"/>
                <w:sz w:val="17"/>
                <w:szCs w:val="17"/>
              </w:rPr>
              <w:t>2,643,016.37</w:t>
            </w:r>
          </w:p>
        </w:tc>
      </w:tr>
      <w:tr w:rsidR="00804833" w:rsidRPr="00861B30" w14:paraId="1B334136" w14:textId="6E9E73E8" w:rsidTr="006707EC">
        <w:trPr>
          <w:trHeight w:val="227"/>
        </w:trPr>
        <w:tc>
          <w:tcPr>
            <w:tcW w:w="4591" w:type="dxa"/>
            <w:tcBorders>
              <w:top w:val="nil"/>
              <w:left w:val="single" w:sz="4" w:space="0" w:color="auto"/>
              <w:bottom w:val="nil"/>
              <w:right w:val="single" w:sz="4" w:space="0" w:color="auto"/>
            </w:tcBorders>
            <w:shd w:val="clear" w:color="auto" w:fill="FFFFFF"/>
            <w:noWrap/>
            <w:vAlign w:val="bottom"/>
          </w:tcPr>
          <w:p w14:paraId="4BD560E4" w14:textId="77777777" w:rsidR="00804833" w:rsidRPr="00861B30" w:rsidRDefault="00804833" w:rsidP="002F131C">
            <w:pPr>
              <w:ind w:left="209"/>
              <w:jc w:val="both"/>
              <w:rPr>
                <w:rFonts w:ascii="Montserrat Medium" w:eastAsia="Times New Roman" w:hAnsi="Montserrat Medium" w:cs="Arial"/>
                <w:sz w:val="17"/>
                <w:szCs w:val="17"/>
                <w:lang w:eastAsia="en-US"/>
              </w:rPr>
            </w:pPr>
            <w:r w:rsidRPr="00861B30">
              <w:rPr>
                <w:rFonts w:ascii="Montserrat Medium" w:eastAsia="Times New Roman" w:hAnsi="Montserrat Medium" w:cs="Arial"/>
                <w:sz w:val="17"/>
                <w:szCs w:val="17"/>
                <w:lang w:eastAsia="en-US"/>
              </w:rPr>
              <w:t>Desarrolladora de la Rivera Maya, S.A de C.V.</w:t>
            </w:r>
          </w:p>
        </w:tc>
        <w:tc>
          <w:tcPr>
            <w:tcW w:w="1278" w:type="dxa"/>
            <w:tcBorders>
              <w:top w:val="nil"/>
              <w:left w:val="single" w:sz="4" w:space="0" w:color="auto"/>
              <w:bottom w:val="nil"/>
              <w:right w:val="single" w:sz="4" w:space="0" w:color="auto"/>
            </w:tcBorders>
            <w:shd w:val="clear" w:color="auto" w:fill="FFFFFF"/>
            <w:vAlign w:val="bottom"/>
          </w:tcPr>
          <w:p w14:paraId="53F2E112" w14:textId="77777777" w:rsidR="00804833" w:rsidRPr="00861B30" w:rsidRDefault="00804833" w:rsidP="002F131C">
            <w:pPr>
              <w:ind w:left="351" w:hanging="351"/>
              <w:jc w:val="center"/>
              <w:rPr>
                <w:rFonts w:ascii="Montserrat Medium" w:eastAsia="Times New Roman" w:hAnsi="Montserrat Medium" w:cs="Calibri"/>
                <w:sz w:val="17"/>
                <w:szCs w:val="17"/>
              </w:rPr>
            </w:pPr>
            <w:r w:rsidRPr="00861B30">
              <w:rPr>
                <w:rFonts w:ascii="Montserrat Medium" w:eastAsia="Times New Roman" w:hAnsi="Montserrat Medium" w:cs="Calibri"/>
                <w:sz w:val="17"/>
                <w:szCs w:val="17"/>
              </w:rPr>
              <w:t>51</w:t>
            </w:r>
          </w:p>
        </w:tc>
        <w:tc>
          <w:tcPr>
            <w:tcW w:w="1488" w:type="dxa"/>
            <w:tcBorders>
              <w:top w:val="nil"/>
              <w:left w:val="single" w:sz="4" w:space="0" w:color="auto"/>
              <w:bottom w:val="nil"/>
              <w:right w:val="single" w:sz="4" w:space="0" w:color="auto"/>
            </w:tcBorders>
            <w:shd w:val="clear" w:color="auto" w:fill="FFFFFF"/>
            <w:vAlign w:val="center"/>
          </w:tcPr>
          <w:p w14:paraId="27B14C01" w14:textId="214895A2" w:rsidR="00804833" w:rsidRPr="00C04293" w:rsidRDefault="00804833" w:rsidP="002F131C">
            <w:pPr>
              <w:jc w:val="right"/>
              <w:rPr>
                <w:rFonts w:ascii="Montserrat Medium" w:eastAsia="Times New Roman" w:hAnsi="Montserrat Medium" w:cs="Calibri"/>
                <w:sz w:val="17"/>
                <w:szCs w:val="17"/>
              </w:rPr>
            </w:pPr>
            <w:r w:rsidRPr="00C04293">
              <w:rPr>
                <w:rFonts w:ascii="Montserrat Medium" w:hAnsi="Montserrat Medium" w:cs="Calibri"/>
                <w:color w:val="000000"/>
                <w:sz w:val="17"/>
                <w:szCs w:val="17"/>
              </w:rPr>
              <w:t>510,000.00</w:t>
            </w:r>
          </w:p>
        </w:tc>
        <w:tc>
          <w:tcPr>
            <w:tcW w:w="1488" w:type="dxa"/>
            <w:tcBorders>
              <w:top w:val="nil"/>
              <w:left w:val="single" w:sz="4" w:space="0" w:color="auto"/>
              <w:bottom w:val="nil"/>
              <w:right w:val="single" w:sz="4" w:space="0" w:color="auto"/>
            </w:tcBorders>
            <w:shd w:val="clear" w:color="auto" w:fill="FFFFFF"/>
            <w:vAlign w:val="center"/>
          </w:tcPr>
          <w:p w14:paraId="4FD16BA3" w14:textId="5BFD8502" w:rsidR="00804833" w:rsidRPr="00861B30" w:rsidRDefault="00804833" w:rsidP="002F131C">
            <w:pPr>
              <w:jc w:val="right"/>
              <w:rPr>
                <w:rFonts w:ascii="Montserrat Medium" w:eastAsia="Times New Roman" w:hAnsi="Montserrat Medium" w:cs="Calibri"/>
                <w:sz w:val="17"/>
                <w:szCs w:val="17"/>
              </w:rPr>
            </w:pPr>
            <w:r w:rsidRPr="00861B30">
              <w:rPr>
                <w:rFonts w:ascii="Montserrat Medium" w:hAnsi="Montserrat Medium" w:cs="Calibri"/>
                <w:color w:val="000000"/>
                <w:sz w:val="17"/>
                <w:szCs w:val="17"/>
              </w:rPr>
              <w:t>510,000.00</w:t>
            </w:r>
          </w:p>
        </w:tc>
      </w:tr>
      <w:tr w:rsidR="00804833" w:rsidRPr="00861B30" w14:paraId="4DC4C5AC" w14:textId="301B3CD5" w:rsidTr="006707EC">
        <w:trPr>
          <w:trHeight w:val="227"/>
        </w:trPr>
        <w:tc>
          <w:tcPr>
            <w:tcW w:w="4591" w:type="dxa"/>
            <w:tcBorders>
              <w:top w:val="nil"/>
              <w:left w:val="single" w:sz="4" w:space="0" w:color="auto"/>
              <w:bottom w:val="nil"/>
              <w:right w:val="single" w:sz="4" w:space="0" w:color="auto"/>
            </w:tcBorders>
            <w:shd w:val="clear" w:color="auto" w:fill="FFFFFF"/>
            <w:noWrap/>
          </w:tcPr>
          <w:p w14:paraId="18596998" w14:textId="77777777" w:rsidR="00804833" w:rsidRPr="00861B30" w:rsidRDefault="00804833" w:rsidP="002F131C">
            <w:pPr>
              <w:jc w:val="both"/>
              <w:rPr>
                <w:rFonts w:ascii="Montserrat Medium" w:eastAsia="Times New Roman" w:hAnsi="Montserrat Medium" w:cs="Arial"/>
                <w:b/>
                <w:sz w:val="17"/>
                <w:szCs w:val="17"/>
                <w:lang w:eastAsia="en-US"/>
              </w:rPr>
            </w:pPr>
            <w:r w:rsidRPr="00861B30">
              <w:rPr>
                <w:rFonts w:ascii="Montserrat Medium" w:eastAsia="Times New Roman" w:hAnsi="Montserrat Medium" w:cs="Arial"/>
                <w:b/>
                <w:sz w:val="17"/>
                <w:szCs w:val="17"/>
                <w:lang w:eastAsia="en-US"/>
              </w:rPr>
              <w:t>Empresas de participación estatal minoritaria:</w:t>
            </w:r>
          </w:p>
        </w:tc>
        <w:tc>
          <w:tcPr>
            <w:tcW w:w="1278" w:type="dxa"/>
            <w:tcBorders>
              <w:top w:val="nil"/>
              <w:left w:val="single" w:sz="4" w:space="0" w:color="auto"/>
              <w:bottom w:val="nil"/>
              <w:right w:val="single" w:sz="4" w:space="0" w:color="auto"/>
            </w:tcBorders>
            <w:shd w:val="clear" w:color="auto" w:fill="FFFFFF"/>
            <w:vAlign w:val="bottom"/>
          </w:tcPr>
          <w:p w14:paraId="3934AFCE" w14:textId="77777777" w:rsidR="00804833" w:rsidRPr="00861B30" w:rsidRDefault="00804833" w:rsidP="002F131C">
            <w:pPr>
              <w:ind w:left="351" w:hanging="351"/>
              <w:jc w:val="center"/>
              <w:rPr>
                <w:rFonts w:ascii="Montserrat Medium" w:eastAsia="Times New Roman" w:hAnsi="Montserrat Medium" w:cs="Calibri"/>
                <w:sz w:val="17"/>
                <w:szCs w:val="17"/>
              </w:rPr>
            </w:pPr>
          </w:p>
        </w:tc>
        <w:tc>
          <w:tcPr>
            <w:tcW w:w="1488" w:type="dxa"/>
            <w:tcBorders>
              <w:top w:val="nil"/>
              <w:left w:val="single" w:sz="4" w:space="0" w:color="auto"/>
              <w:bottom w:val="nil"/>
              <w:right w:val="single" w:sz="4" w:space="0" w:color="auto"/>
            </w:tcBorders>
            <w:shd w:val="clear" w:color="auto" w:fill="FFFFFF"/>
            <w:vAlign w:val="center"/>
          </w:tcPr>
          <w:p w14:paraId="35494588" w14:textId="0497B2A9" w:rsidR="00804833" w:rsidRPr="00C04293" w:rsidRDefault="00804833" w:rsidP="002F131C">
            <w:pPr>
              <w:jc w:val="right"/>
              <w:rPr>
                <w:rFonts w:ascii="Montserrat Medium" w:eastAsia="Times New Roman" w:hAnsi="Montserrat Medium" w:cs="Calibri"/>
                <w:sz w:val="17"/>
                <w:szCs w:val="17"/>
              </w:rPr>
            </w:pPr>
            <w:r w:rsidRPr="00C04293">
              <w:rPr>
                <w:rFonts w:ascii="Montserrat Medium" w:hAnsi="Montserrat Medium" w:cs="Calibri"/>
                <w:color w:val="000000"/>
                <w:sz w:val="17"/>
                <w:szCs w:val="17"/>
              </w:rPr>
              <w:t> </w:t>
            </w:r>
          </w:p>
        </w:tc>
        <w:tc>
          <w:tcPr>
            <w:tcW w:w="1488" w:type="dxa"/>
            <w:tcBorders>
              <w:top w:val="nil"/>
              <w:left w:val="single" w:sz="4" w:space="0" w:color="auto"/>
              <w:bottom w:val="nil"/>
              <w:right w:val="single" w:sz="4" w:space="0" w:color="auto"/>
            </w:tcBorders>
            <w:shd w:val="clear" w:color="auto" w:fill="FFFFFF"/>
            <w:vAlign w:val="center"/>
          </w:tcPr>
          <w:p w14:paraId="1FF99172" w14:textId="0341F9E1" w:rsidR="00804833" w:rsidRPr="00861B30" w:rsidRDefault="00804833" w:rsidP="002F131C">
            <w:pPr>
              <w:jc w:val="right"/>
              <w:rPr>
                <w:rFonts w:ascii="Montserrat Medium" w:eastAsia="Times New Roman" w:hAnsi="Montserrat Medium" w:cs="Calibri"/>
                <w:sz w:val="17"/>
                <w:szCs w:val="17"/>
              </w:rPr>
            </w:pPr>
            <w:r w:rsidRPr="00861B30">
              <w:rPr>
                <w:rFonts w:ascii="Montserrat Medium" w:hAnsi="Montserrat Medium" w:cs="Calibri"/>
                <w:color w:val="000000"/>
                <w:sz w:val="17"/>
                <w:szCs w:val="17"/>
              </w:rPr>
              <w:t> </w:t>
            </w:r>
          </w:p>
        </w:tc>
      </w:tr>
      <w:tr w:rsidR="00804833" w:rsidRPr="00861B30" w14:paraId="57C878E8" w14:textId="444D82A1" w:rsidTr="006707EC">
        <w:trPr>
          <w:trHeight w:val="227"/>
        </w:trPr>
        <w:tc>
          <w:tcPr>
            <w:tcW w:w="4591" w:type="dxa"/>
            <w:tcBorders>
              <w:top w:val="nil"/>
              <w:left w:val="single" w:sz="4" w:space="0" w:color="auto"/>
              <w:bottom w:val="single" w:sz="4" w:space="0" w:color="auto"/>
              <w:right w:val="single" w:sz="4" w:space="0" w:color="auto"/>
            </w:tcBorders>
            <w:shd w:val="clear" w:color="auto" w:fill="FFFFFF"/>
            <w:noWrap/>
          </w:tcPr>
          <w:p w14:paraId="10E02D5B" w14:textId="77777777" w:rsidR="00804833" w:rsidRPr="00861B30" w:rsidRDefault="00804833" w:rsidP="002F131C">
            <w:pPr>
              <w:ind w:left="209"/>
              <w:jc w:val="both"/>
              <w:rPr>
                <w:rFonts w:ascii="Montserrat Medium" w:eastAsia="Times New Roman" w:hAnsi="Montserrat Medium" w:cs="Arial"/>
                <w:sz w:val="17"/>
                <w:szCs w:val="17"/>
                <w:lang w:eastAsia="en-US"/>
              </w:rPr>
            </w:pPr>
            <w:r w:rsidRPr="00861B30">
              <w:rPr>
                <w:rFonts w:ascii="Montserrat Medium" w:eastAsia="Times New Roman" w:hAnsi="Montserrat Medium" w:cs="Arial"/>
                <w:sz w:val="17"/>
                <w:szCs w:val="17"/>
                <w:lang w:eastAsia="en-US"/>
              </w:rPr>
              <w:t>Administración Costera Integral Sustentable de Cozumel, S.A. de C.V.</w:t>
            </w:r>
          </w:p>
        </w:tc>
        <w:tc>
          <w:tcPr>
            <w:tcW w:w="1278" w:type="dxa"/>
            <w:tcBorders>
              <w:top w:val="nil"/>
              <w:left w:val="single" w:sz="4" w:space="0" w:color="auto"/>
              <w:bottom w:val="single" w:sz="4" w:space="0" w:color="auto"/>
              <w:right w:val="single" w:sz="4" w:space="0" w:color="auto"/>
            </w:tcBorders>
            <w:shd w:val="clear" w:color="auto" w:fill="FFFFFF"/>
            <w:vAlign w:val="bottom"/>
          </w:tcPr>
          <w:p w14:paraId="0338B5AF" w14:textId="77777777" w:rsidR="00804833" w:rsidRPr="00861B30" w:rsidRDefault="00804833" w:rsidP="002F131C">
            <w:pPr>
              <w:jc w:val="right"/>
              <w:rPr>
                <w:rFonts w:ascii="Montserrat Medium" w:eastAsia="Times New Roman" w:hAnsi="Montserrat Medium" w:cs="Calibri"/>
                <w:sz w:val="17"/>
                <w:szCs w:val="17"/>
              </w:rPr>
            </w:pPr>
          </w:p>
        </w:tc>
        <w:tc>
          <w:tcPr>
            <w:tcW w:w="1488" w:type="dxa"/>
            <w:tcBorders>
              <w:top w:val="nil"/>
              <w:left w:val="single" w:sz="4" w:space="0" w:color="auto"/>
              <w:bottom w:val="single" w:sz="4" w:space="0" w:color="auto"/>
              <w:right w:val="single" w:sz="4" w:space="0" w:color="auto"/>
            </w:tcBorders>
            <w:shd w:val="clear" w:color="auto" w:fill="FFFFFF"/>
            <w:vAlign w:val="center"/>
          </w:tcPr>
          <w:p w14:paraId="319EA1D6" w14:textId="6924F346" w:rsidR="00804833" w:rsidRPr="00C04293" w:rsidRDefault="00804833" w:rsidP="002F131C">
            <w:pPr>
              <w:jc w:val="right"/>
              <w:rPr>
                <w:rFonts w:ascii="Montserrat Medium" w:eastAsia="Times New Roman" w:hAnsi="Montserrat Medium" w:cs="Calibri"/>
                <w:sz w:val="17"/>
                <w:szCs w:val="17"/>
              </w:rPr>
            </w:pPr>
            <w:r w:rsidRPr="00C04293">
              <w:rPr>
                <w:rFonts w:ascii="Montserrat Medium" w:hAnsi="Montserrat Medium" w:cs="Calibri"/>
                <w:color w:val="000000"/>
                <w:sz w:val="17"/>
                <w:szCs w:val="17"/>
              </w:rPr>
              <w:t>3,049,000.00</w:t>
            </w:r>
          </w:p>
        </w:tc>
        <w:tc>
          <w:tcPr>
            <w:tcW w:w="1488" w:type="dxa"/>
            <w:tcBorders>
              <w:top w:val="nil"/>
              <w:left w:val="single" w:sz="4" w:space="0" w:color="auto"/>
              <w:bottom w:val="single" w:sz="4" w:space="0" w:color="auto"/>
              <w:right w:val="single" w:sz="4" w:space="0" w:color="auto"/>
            </w:tcBorders>
            <w:shd w:val="clear" w:color="auto" w:fill="FFFFFF"/>
            <w:vAlign w:val="center"/>
          </w:tcPr>
          <w:p w14:paraId="6C992783" w14:textId="0F52474C" w:rsidR="00804833" w:rsidRPr="00861B30" w:rsidRDefault="00804833" w:rsidP="002F131C">
            <w:pPr>
              <w:jc w:val="right"/>
              <w:rPr>
                <w:rFonts w:ascii="Montserrat Medium" w:eastAsia="Times New Roman" w:hAnsi="Montserrat Medium" w:cs="Calibri"/>
                <w:sz w:val="17"/>
                <w:szCs w:val="17"/>
              </w:rPr>
            </w:pPr>
            <w:r w:rsidRPr="00861B30">
              <w:rPr>
                <w:rFonts w:ascii="Montserrat Medium" w:hAnsi="Montserrat Medium" w:cs="Calibri"/>
                <w:color w:val="000000"/>
                <w:sz w:val="17"/>
                <w:szCs w:val="17"/>
              </w:rPr>
              <w:t>3,049,000.00</w:t>
            </w:r>
          </w:p>
        </w:tc>
      </w:tr>
      <w:tr w:rsidR="00804833" w:rsidRPr="00407404" w14:paraId="06D1A4C0" w14:textId="4A8DC24D" w:rsidTr="006707EC">
        <w:trPr>
          <w:trHeight w:val="227"/>
        </w:trPr>
        <w:tc>
          <w:tcPr>
            <w:tcW w:w="4591" w:type="dxa"/>
            <w:tcBorders>
              <w:top w:val="single" w:sz="4" w:space="0" w:color="auto"/>
              <w:left w:val="single" w:sz="4" w:space="0" w:color="auto"/>
              <w:bottom w:val="single" w:sz="4" w:space="0" w:color="auto"/>
              <w:right w:val="nil"/>
            </w:tcBorders>
            <w:shd w:val="clear" w:color="auto" w:fill="FFFFFF"/>
            <w:noWrap/>
            <w:vAlign w:val="center"/>
          </w:tcPr>
          <w:p w14:paraId="40D3311A" w14:textId="77777777" w:rsidR="00804833" w:rsidRPr="00861B30" w:rsidRDefault="00804833" w:rsidP="002F131C">
            <w:pPr>
              <w:jc w:val="both"/>
              <w:rPr>
                <w:rFonts w:ascii="Montserrat Medium" w:eastAsia="Times New Roman" w:hAnsi="Montserrat Medium" w:cs="Arial"/>
                <w:b/>
                <w:sz w:val="17"/>
                <w:szCs w:val="17"/>
                <w:lang w:eastAsia="en-US"/>
              </w:rPr>
            </w:pPr>
            <w:r w:rsidRPr="00861B30">
              <w:rPr>
                <w:rFonts w:ascii="Montserrat Medium" w:eastAsia="Times New Roman" w:hAnsi="Montserrat Medium" w:cs="Tahoma"/>
                <w:b/>
                <w:bCs/>
                <w:sz w:val="17"/>
                <w:szCs w:val="17"/>
                <w:lang w:eastAsia="en-US"/>
              </w:rPr>
              <w:t>Total</w:t>
            </w:r>
          </w:p>
        </w:tc>
        <w:tc>
          <w:tcPr>
            <w:tcW w:w="1278" w:type="dxa"/>
            <w:tcBorders>
              <w:top w:val="single" w:sz="4" w:space="0" w:color="auto"/>
              <w:left w:val="nil"/>
              <w:bottom w:val="single" w:sz="4" w:space="0" w:color="auto"/>
              <w:right w:val="single" w:sz="4" w:space="0" w:color="auto"/>
            </w:tcBorders>
            <w:shd w:val="clear" w:color="auto" w:fill="FFFFFF"/>
            <w:vAlign w:val="center"/>
          </w:tcPr>
          <w:p w14:paraId="010F7D9A" w14:textId="77777777" w:rsidR="00804833" w:rsidRPr="00861B30" w:rsidRDefault="00804833" w:rsidP="002F131C">
            <w:pPr>
              <w:ind w:left="351" w:hanging="351"/>
              <w:jc w:val="right"/>
              <w:rPr>
                <w:rFonts w:ascii="Montserrat Medium" w:eastAsia="Times New Roman" w:hAnsi="Montserrat Medium" w:cs="Calibri"/>
                <w:b/>
                <w:sz w:val="17"/>
                <w:szCs w:val="17"/>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14:paraId="4A52378A" w14:textId="4689C8CB" w:rsidR="00804833" w:rsidRPr="00C04293" w:rsidRDefault="00804833" w:rsidP="002F131C">
            <w:pPr>
              <w:jc w:val="right"/>
              <w:rPr>
                <w:rFonts w:ascii="Montserrat Medium" w:eastAsia="Times New Roman" w:hAnsi="Montserrat Medium" w:cs="Calibri"/>
                <w:b/>
                <w:sz w:val="17"/>
                <w:szCs w:val="17"/>
              </w:rPr>
            </w:pPr>
            <w:r w:rsidRPr="00C04293">
              <w:rPr>
                <w:rFonts w:ascii="Montserrat Medium" w:hAnsi="Montserrat Medium" w:cs="Calibri"/>
                <w:b/>
                <w:bCs/>
                <w:color w:val="000000"/>
                <w:sz w:val="17"/>
                <w:szCs w:val="17"/>
              </w:rPr>
              <w:t>256,526,199.64</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14:paraId="3B63EB99" w14:textId="36D5DD59" w:rsidR="00804833" w:rsidRPr="00861B30" w:rsidRDefault="00804833" w:rsidP="002F131C">
            <w:pPr>
              <w:jc w:val="right"/>
              <w:rPr>
                <w:rFonts w:ascii="Montserrat Medium" w:eastAsia="Times New Roman" w:hAnsi="Montserrat Medium" w:cs="Calibri"/>
                <w:b/>
                <w:sz w:val="17"/>
                <w:szCs w:val="17"/>
              </w:rPr>
            </w:pPr>
            <w:r w:rsidRPr="00861B30">
              <w:rPr>
                <w:rFonts w:ascii="Montserrat Medium" w:hAnsi="Montserrat Medium" w:cs="Calibri"/>
                <w:b/>
                <w:bCs/>
                <w:color w:val="000000"/>
                <w:sz w:val="17"/>
                <w:szCs w:val="17"/>
              </w:rPr>
              <w:t>256,526,199.64</w:t>
            </w:r>
          </w:p>
        </w:tc>
      </w:tr>
    </w:tbl>
    <w:p w14:paraId="2A3B9E64" w14:textId="77777777" w:rsidR="00422E4B" w:rsidRPr="00407404" w:rsidRDefault="00422E4B" w:rsidP="002F131C">
      <w:pPr>
        <w:jc w:val="both"/>
        <w:rPr>
          <w:rFonts w:ascii="Montserrat Medium" w:eastAsia="Times New Roman" w:hAnsi="Montserrat Medium" w:cs="Arial"/>
          <w:color w:val="595959"/>
          <w:sz w:val="22"/>
          <w:highlight w:val="yellow"/>
          <w:lang w:eastAsia="en-US"/>
        </w:rPr>
      </w:pPr>
    </w:p>
    <w:p w14:paraId="4C383460" w14:textId="77777777" w:rsidR="00422E4B" w:rsidRPr="00407404" w:rsidRDefault="00422E4B" w:rsidP="002F131C">
      <w:pPr>
        <w:jc w:val="both"/>
        <w:rPr>
          <w:rFonts w:ascii="Montserrat Medium" w:eastAsia="Times New Roman" w:hAnsi="Montserrat Medium" w:cs="Arial"/>
          <w:color w:val="595959"/>
          <w:sz w:val="22"/>
          <w:highlight w:val="yellow"/>
          <w:lang w:eastAsia="en-US"/>
        </w:rPr>
      </w:pPr>
    </w:p>
    <w:p w14:paraId="233E1CBF" w14:textId="77777777" w:rsidR="00422E4B" w:rsidRPr="00407404" w:rsidRDefault="00422E4B" w:rsidP="002F131C">
      <w:pPr>
        <w:jc w:val="both"/>
        <w:rPr>
          <w:rFonts w:ascii="Montserrat Medium" w:eastAsia="Times New Roman" w:hAnsi="Montserrat Medium" w:cs="Arial"/>
          <w:color w:val="595959"/>
          <w:sz w:val="22"/>
          <w:highlight w:val="yellow"/>
          <w:lang w:eastAsia="en-US"/>
        </w:rPr>
      </w:pPr>
    </w:p>
    <w:p w14:paraId="20E18502" w14:textId="77777777" w:rsidR="00422E4B" w:rsidRPr="00407404" w:rsidRDefault="00422E4B" w:rsidP="002F131C">
      <w:pPr>
        <w:jc w:val="both"/>
        <w:rPr>
          <w:rFonts w:ascii="Montserrat Medium" w:eastAsia="Times New Roman" w:hAnsi="Montserrat Medium" w:cs="Arial"/>
          <w:color w:val="595959"/>
          <w:sz w:val="22"/>
          <w:highlight w:val="yellow"/>
          <w:lang w:eastAsia="en-US"/>
        </w:rPr>
      </w:pPr>
    </w:p>
    <w:p w14:paraId="06B86B5B" w14:textId="77777777" w:rsidR="00422E4B" w:rsidRPr="00407404" w:rsidRDefault="00422E4B" w:rsidP="002F131C">
      <w:pPr>
        <w:jc w:val="both"/>
        <w:rPr>
          <w:rFonts w:ascii="Montserrat Medium" w:eastAsia="Times New Roman" w:hAnsi="Montserrat Medium" w:cs="Arial"/>
          <w:color w:val="595959"/>
          <w:sz w:val="22"/>
          <w:highlight w:val="yellow"/>
          <w:lang w:eastAsia="en-US"/>
        </w:rPr>
      </w:pPr>
    </w:p>
    <w:p w14:paraId="6BFB3C6D" w14:textId="77777777" w:rsidR="00422E4B" w:rsidRPr="00407404" w:rsidRDefault="00422E4B" w:rsidP="00E92510">
      <w:pPr>
        <w:ind w:left="708" w:hanging="708"/>
        <w:jc w:val="both"/>
        <w:rPr>
          <w:rFonts w:ascii="Montserrat Medium" w:eastAsia="Times New Roman" w:hAnsi="Montserrat Medium" w:cs="Arial"/>
          <w:color w:val="595959"/>
          <w:sz w:val="22"/>
          <w:highlight w:val="yellow"/>
          <w:lang w:eastAsia="en-US"/>
        </w:rPr>
      </w:pPr>
    </w:p>
    <w:p w14:paraId="204A0E8C" w14:textId="77777777" w:rsidR="00422E4B" w:rsidRPr="00407404" w:rsidRDefault="00422E4B" w:rsidP="002F131C">
      <w:pPr>
        <w:jc w:val="both"/>
        <w:rPr>
          <w:rFonts w:ascii="Montserrat Medium" w:eastAsia="Times New Roman" w:hAnsi="Montserrat Medium" w:cs="Arial"/>
          <w:color w:val="595959"/>
          <w:sz w:val="22"/>
          <w:highlight w:val="yellow"/>
          <w:lang w:eastAsia="en-US"/>
        </w:rPr>
      </w:pPr>
    </w:p>
    <w:p w14:paraId="541CC888" w14:textId="77777777" w:rsidR="00422E4B" w:rsidRPr="00407404" w:rsidRDefault="00422E4B" w:rsidP="002F131C">
      <w:pPr>
        <w:jc w:val="both"/>
        <w:rPr>
          <w:rFonts w:ascii="Montserrat Medium" w:eastAsia="Times New Roman" w:hAnsi="Montserrat Medium" w:cs="Arial"/>
          <w:color w:val="595959"/>
          <w:sz w:val="22"/>
          <w:highlight w:val="yellow"/>
          <w:lang w:eastAsia="en-US"/>
        </w:rPr>
      </w:pPr>
    </w:p>
    <w:p w14:paraId="6F45E1AB" w14:textId="77777777" w:rsidR="00422E4B" w:rsidRPr="00407404" w:rsidRDefault="00422E4B" w:rsidP="002F131C">
      <w:pPr>
        <w:jc w:val="both"/>
        <w:rPr>
          <w:rFonts w:ascii="Montserrat Medium" w:eastAsia="Times New Roman" w:hAnsi="Montserrat Medium" w:cs="Arial"/>
          <w:color w:val="595959"/>
          <w:sz w:val="22"/>
          <w:highlight w:val="yellow"/>
          <w:lang w:eastAsia="en-US"/>
        </w:rPr>
      </w:pPr>
    </w:p>
    <w:p w14:paraId="66EF5C46" w14:textId="77777777" w:rsidR="00422E4B" w:rsidRPr="00407404" w:rsidRDefault="00422E4B" w:rsidP="002F131C">
      <w:pPr>
        <w:jc w:val="both"/>
        <w:rPr>
          <w:rFonts w:ascii="Montserrat Medium" w:eastAsia="Times New Roman" w:hAnsi="Montserrat Medium" w:cs="Arial"/>
          <w:color w:val="595959"/>
          <w:sz w:val="22"/>
          <w:highlight w:val="yellow"/>
          <w:lang w:eastAsia="en-US"/>
        </w:rPr>
      </w:pPr>
    </w:p>
    <w:p w14:paraId="07B3CCB7" w14:textId="77777777" w:rsidR="00422E4B" w:rsidRPr="00407404" w:rsidRDefault="00422E4B" w:rsidP="002F131C">
      <w:pPr>
        <w:jc w:val="both"/>
        <w:rPr>
          <w:rFonts w:ascii="Montserrat Medium" w:eastAsia="Times New Roman" w:hAnsi="Montserrat Medium" w:cs="Arial"/>
          <w:color w:val="595959"/>
          <w:sz w:val="22"/>
          <w:highlight w:val="yellow"/>
          <w:lang w:eastAsia="en-US"/>
        </w:rPr>
      </w:pPr>
    </w:p>
    <w:p w14:paraId="06043234" w14:textId="77777777" w:rsidR="00C04293" w:rsidRPr="00C04293" w:rsidRDefault="00C04293" w:rsidP="00C04293">
      <w:pPr>
        <w:jc w:val="both"/>
        <w:rPr>
          <w:rFonts w:ascii="Montserrat Medium" w:eastAsia="Times New Roman" w:hAnsi="Montserrat Medium" w:cs="Arial"/>
          <w:color w:val="595959"/>
          <w:sz w:val="22"/>
          <w:lang w:eastAsia="en-US"/>
        </w:rPr>
      </w:pPr>
      <w:r w:rsidRPr="00C04293">
        <w:rPr>
          <w:rFonts w:ascii="Montserrat Medium" w:eastAsia="Times New Roman" w:hAnsi="Montserrat Medium" w:cs="Arial"/>
          <w:color w:val="595959"/>
          <w:sz w:val="22"/>
          <w:lang w:eastAsia="en-US"/>
        </w:rPr>
        <w:t>El saldo de aportación a capital social de cada empresa, se encuentra afectado con los ajustes por el método de participación.</w:t>
      </w:r>
    </w:p>
    <w:p w14:paraId="38E6BFDF" w14:textId="77777777" w:rsidR="00EC1A3D" w:rsidRPr="00C04293" w:rsidRDefault="00EC1A3D" w:rsidP="002F131C">
      <w:pPr>
        <w:jc w:val="both"/>
        <w:rPr>
          <w:rFonts w:ascii="Montserrat Medium" w:eastAsia="Times New Roman" w:hAnsi="Montserrat Medium" w:cs="Arial"/>
          <w:color w:val="595959"/>
          <w:sz w:val="22"/>
          <w:lang w:eastAsia="en-US"/>
        </w:rPr>
      </w:pPr>
    </w:p>
    <w:p w14:paraId="202E8033" w14:textId="3FD54338" w:rsidR="00BD3E46" w:rsidRPr="00C04293" w:rsidRDefault="00C903A4" w:rsidP="002F131C">
      <w:pPr>
        <w:jc w:val="both"/>
        <w:rPr>
          <w:rFonts w:ascii="Montserrat Medium" w:eastAsia="Times New Roman" w:hAnsi="Montserrat Medium" w:cs="Arial"/>
          <w:color w:val="595959"/>
          <w:sz w:val="22"/>
          <w:lang w:eastAsia="en-US"/>
        </w:rPr>
      </w:pPr>
      <w:r w:rsidRPr="00C04293">
        <w:rPr>
          <w:rFonts w:ascii="Montserrat Medium" w:eastAsia="Times New Roman" w:hAnsi="Montserrat Medium" w:cs="Arial"/>
          <w:color w:val="595959"/>
          <w:sz w:val="22"/>
          <w:lang w:eastAsia="en-US"/>
        </w:rPr>
        <w:t xml:space="preserve">Al 31 de </w:t>
      </w:r>
      <w:r w:rsidR="00AA57A2" w:rsidRPr="00C04293">
        <w:rPr>
          <w:rFonts w:ascii="Montserrat Medium" w:eastAsia="Times New Roman" w:hAnsi="Montserrat Medium" w:cs="Arial"/>
          <w:color w:val="595959"/>
          <w:sz w:val="22"/>
          <w:lang w:eastAsia="en-US"/>
        </w:rPr>
        <w:t>diciembre de 2021</w:t>
      </w:r>
      <w:r w:rsidR="00BD3E46" w:rsidRPr="00C04293">
        <w:rPr>
          <w:rFonts w:ascii="Montserrat Medium" w:eastAsia="Times New Roman" w:hAnsi="Montserrat Medium" w:cs="Arial"/>
          <w:color w:val="595959"/>
          <w:sz w:val="22"/>
          <w:lang w:eastAsia="en-US"/>
        </w:rPr>
        <w:t xml:space="preserve"> el registro del método de participación de las empresas controladas afectó el resultado de actividades por un importe neto de </w:t>
      </w:r>
      <w:r w:rsidR="0045785D" w:rsidRPr="00C04293">
        <w:rPr>
          <w:rFonts w:ascii="Montserrat Medium" w:eastAsia="Times New Roman" w:hAnsi="Montserrat Medium" w:cs="Arial"/>
          <w:color w:val="595959"/>
          <w:sz w:val="22"/>
          <w:lang w:eastAsia="en-US"/>
        </w:rPr>
        <w:t>44,</w:t>
      </w:r>
      <w:r w:rsidR="00AE478F" w:rsidRPr="00C04293">
        <w:rPr>
          <w:rFonts w:ascii="Montserrat Medium" w:eastAsia="Times New Roman" w:hAnsi="Montserrat Medium" w:cs="Arial"/>
          <w:color w:val="595959"/>
          <w:sz w:val="22"/>
          <w:lang w:eastAsia="en-US"/>
        </w:rPr>
        <w:t>613</w:t>
      </w:r>
      <w:r w:rsidR="00BD3E46" w:rsidRPr="00C04293">
        <w:rPr>
          <w:rFonts w:ascii="Montserrat Medium" w:eastAsia="Times New Roman" w:hAnsi="Montserrat Medium" w:cs="Arial"/>
          <w:color w:val="595959"/>
          <w:sz w:val="22"/>
          <w:lang w:eastAsia="en-US"/>
        </w:rPr>
        <w:t>.</w:t>
      </w:r>
      <w:r w:rsidR="006322E5" w:rsidRPr="00C04293">
        <w:rPr>
          <w:rFonts w:ascii="Montserrat Medium" w:eastAsia="Times New Roman" w:hAnsi="Montserrat Medium" w:cs="Arial"/>
          <w:color w:val="595959"/>
          <w:sz w:val="22"/>
          <w:lang w:eastAsia="en-US"/>
        </w:rPr>
        <w:t xml:space="preserve"> (PESOS CON CENTAVOS</w:t>
      </w:r>
    </w:p>
    <w:p w14:paraId="32F8DC20" w14:textId="77777777" w:rsidR="00DE053C" w:rsidRPr="00C04293" w:rsidRDefault="00DE053C" w:rsidP="002F131C">
      <w:pPr>
        <w:autoSpaceDE w:val="0"/>
        <w:autoSpaceDN w:val="0"/>
        <w:adjustRightInd w:val="0"/>
        <w:jc w:val="both"/>
        <w:rPr>
          <w:rFonts w:ascii="Montserrat Medium" w:eastAsia="Times New Roman" w:hAnsi="Montserrat Medium" w:cs="Arial"/>
          <w:color w:val="595959"/>
          <w:sz w:val="22"/>
          <w:lang w:eastAsia="en-US"/>
        </w:rPr>
      </w:pPr>
    </w:p>
    <w:p w14:paraId="102188ED" w14:textId="77777777" w:rsidR="00BD3E46" w:rsidRPr="00C04293" w:rsidRDefault="00BD3E46" w:rsidP="002F131C">
      <w:pPr>
        <w:autoSpaceDE w:val="0"/>
        <w:autoSpaceDN w:val="0"/>
        <w:adjustRightInd w:val="0"/>
        <w:jc w:val="both"/>
        <w:rPr>
          <w:rFonts w:ascii="Montserrat Medium" w:eastAsia="Times New Roman" w:hAnsi="Montserrat Medium" w:cs="Arial"/>
          <w:color w:val="595959"/>
          <w:sz w:val="22"/>
          <w:lang w:eastAsia="en-US"/>
        </w:rPr>
      </w:pPr>
      <w:r w:rsidRPr="00C04293">
        <w:rPr>
          <w:rFonts w:ascii="Montserrat Medium" w:eastAsia="Times New Roman" w:hAnsi="Montserrat Medium" w:cs="Arial"/>
          <w:color w:val="595959"/>
          <w:sz w:val="22"/>
          <w:lang w:eastAsia="en-US"/>
        </w:rPr>
        <w:t xml:space="preserve">Disolución y Liquidación de la Empresa Hidroponía Maya, S.A. </w:t>
      </w:r>
      <w:r w:rsidR="009441CE" w:rsidRPr="00C04293">
        <w:rPr>
          <w:rFonts w:ascii="Montserrat Medium" w:eastAsia="Times New Roman" w:hAnsi="Montserrat Medium" w:cs="Arial"/>
          <w:color w:val="595959"/>
          <w:sz w:val="22"/>
          <w:lang w:eastAsia="en-US"/>
        </w:rPr>
        <w:t>de C.V.</w:t>
      </w:r>
    </w:p>
    <w:p w14:paraId="718EA2A5" w14:textId="77777777" w:rsidR="00905004" w:rsidRPr="00C04293" w:rsidRDefault="00905004" w:rsidP="002F131C">
      <w:pPr>
        <w:autoSpaceDE w:val="0"/>
        <w:autoSpaceDN w:val="0"/>
        <w:adjustRightInd w:val="0"/>
        <w:jc w:val="both"/>
        <w:rPr>
          <w:rFonts w:ascii="Montserrat Medium" w:eastAsia="Times New Roman" w:hAnsi="Montserrat Medium" w:cs="Arial"/>
          <w:color w:val="595959"/>
          <w:sz w:val="22"/>
          <w:lang w:eastAsia="en-US"/>
        </w:rPr>
      </w:pPr>
    </w:p>
    <w:p w14:paraId="080276C7" w14:textId="77777777" w:rsidR="00BD3E46" w:rsidRPr="00C04293" w:rsidRDefault="00BD3E46" w:rsidP="002F131C">
      <w:pPr>
        <w:jc w:val="both"/>
        <w:rPr>
          <w:rFonts w:ascii="Montserrat Medium" w:eastAsia="Times New Roman" w:hAnsi="Montserrat Medium" w:cs="Arial"/>
          <w:color w:val="595959"/>
          <w:sz w:val="22"/>
          <w:lang w:eastAsia="en-US"/>
        </w:rPr>
      </w:pPr>
      <w:r w:rsidRPr="00C04293">
        <w:rPr>
          <w:rFonts w:ascii="Montserrat Medium" w:eastAsia="Times New Roman" w:hAnsi="Montserrat Medium" w:cs="Arial"/>
          <w:color w:val="595959"/>
          <w:sz w:val="22"/>
          <w:lang w:eastAsia="en-US"/>
        </w:rPr>
        <w:t xml:space="preserve">Con fecha 19 de abril del año 2016, se publica en el Periódico Oficial del Estado de Quintana Roo, Tomo I, número 23, Extraordinario Bis, Octava Época, el Acuerdo por el que se autoriza la Disolución y Liquidación de la Empresa de Participación Estatal Mayoritaria Hidroponía Maya, S.A. de C.V., suscrito el 21 de enero de 2016. Derivado de lo anterior, la empresa no </w:t>
      </w:r>
      <w:r w:rsidR="00CC71F5" w:rsidRPr="00C04293">
        <w:rPr>
          <w:rFonts w:ascii="Montserrat Medium" w:eastAsia="Times New Roman" w:hAnsi="Montserrat Medium" w:cs="Arial"/>
          <w:color w:val="595959"/>
          <w:sz w:val="22"/>
          <w:lang w:eastAsia="en-US"/>
        </w:rPr>
        <w:t xml:space="preserve">ha </w:t>
      </w:r>
      <w:r w:rsidRPr="00C04293">
        <w:rPr>
          <w:rFonts w:ascii="Montserrat Medium" w:eastAsia="Times New Roman" w:hAnsi="Montserrat Medium" w:cs="Arial"/>
          <w:color w:val="595959"/>
          <w:sz w:val="22"/>
          <w:lang w:eastAsia="en-US"/>
        </w:rPr>
        <w:t>efectu</w:t>
      </w:r>
      <w:r w:rsidR="00CC71F5" w:rsidRPr="00C04293">
        <w:rPr>
          <w:rFonts w:ascii="Montserrat Medium" w:eastAsia="Times New Roman" w:hAnsi="Montserrat Medium" w:cs="Arial"/>
          <w:color w:val="595959"/>
          <w:sz w:val="22"/>
          <w:lang w:eastAsia="en-US"/>
        </w:rPr>
        <w:t>ado</w:t>
      </w:r>
      <w:r w:rsidRPr="00C04293">
        <w:rPr>
          <w:rFonts w:ascii="Montserrat Medium" w:eastAsia="Times New Roman" w:hAnsi="Montserrat Medium" w:cs="Arial"/>
          <w:color w:val="595959"/>
          <w:sz w:val="22"/>
          <w:lang w:eastAsia="en-US"/>
        </w:rPr>
        <w:t xml:space="preserve"> operación alguna, ni realiz</w:t>
      </w:r>
      <w:r w:rsidR="00CC71F5" w:rsidRPr="00C04293">
        <w:rPr>
          <w:rFonts w:ascii="Montserrat Medium" w:eastAsia="Times New Roman" w:hAnsi="Montserrat Medium" w:cs="Arial"/>
          <w:color w:val="595959"/>
          <w:sz w:val="22"/>
          <w:lang w:eastAsia="en-US"/>
        </w:rPr>
        <w:t>ado</w:t>
      </w:r>
      <w:r w:rsidRPr="00C04293">
        <w:rPr>
          <w:rFonts w:ascii="Montserrat Medium" w:eastAsia="Times New Roman" w:hAnsi="Montserrat Medium" w:cs="Arial"/>
          <w:color w:val="595959"/>
          <w:sz w:val="22"/>
          <w:lang w:eastAsia="en-US"/>
        </w:rPr>
        <w:t xml:space="preserve"> movimientos en sus cuentas bancarias; motivo por el cual, no presenta cifras en la Cuenta Pública del Gobierno del Estado de Quintana Roo.</w:t>
      </w:r>
    </w:p>
    <w:p w14:paraId="619353E2" w14:textId="77777777" w:rsidR="00BD3E46" w:rsidRPr="00C04293" w:rsidRDefault="00BD3E46" w:rsidP="002F131C">
      <w:pPr>
        <w:ind w:firstLine="567"/>
        <w:jc w:val="both"/>
        <w:rPr>
          <w:rFonts w:ascii="Montserrat Medium" w:eastAsia="Times New Roman" w:hAnsi="Montserrat Medium" w:cs="Arial"/>
          <w:b/>
          <w:color w:val="595959"/>
          <w:sz w:val="22"/>
          <w:lang w:eastAsia="en-US"/>
        </w:rPr>
      </w:pPr>
    </w:p>
    <w:p w14:paraId="6C05E9A7" w14:textId="735838A4" w:rsidR="00BD3E46" w:rsidRPr="00C04293" w:rsidRDefault="00BD3E46" w:rsidP="002F131C">
      <w:pPr>
        <w:autoSpaceDE w:val="0"/>
        <w:autoSpaceDN w:val="0"/>
        <w:adjustRightInd w:val="0"/>
        <w:jc w:val="both"/>
        <w:rPr>
          <w:rFonts w:ascii="Montserrat Medium" w:eastAsia="Times New Roman" w:hAnsi="Montserrat Medium" w:cs="Arial"/>
          <w:color w:val="595959"/>
          <w:sz w:val="22"/>
          <w:lang w:eastAsia="en-US"/>
        </w:rPr>
      </w:pPr>
      <w:r w:rsidRPr="00C04293">
        <w:rPr>
          <w:rFonts w:ascii="Montserrat Medium" w:eastAsia="Times New Roman" w:hAnsi="Montserrat Medium" w:cs="Arial"/>
          <w:color w:val="595959"/>
          <w:sz w:val="22"/>
          <w:lang w:eastAsia="en-US"/>
        </w:rPr>
        <w:t>Disolución y Liquidación de la Empresa Procesadora de Carnes la Alianza S.A. de C.V.</w:t>
      </w:r>
    </w:p>
    <w:p w14:paraId="39E1A2BB" w14:textId="77777777" w:rsidR="00BD3E46" w:rsidRPr="00C04293" w:rsidRDefault="00BD3E46" w:rsidP="002F131C">
      <w:pPr>
        <w:autoSpaceDE w:val="0"/>
        <w:autoSpaceDN w:val="0"/>
        <w:adjustRightInd w:val="0"/>
        <w:jc w:val="both"/>
        <w:rPr>
          <w:rFonts w:ascii="Montserrat Medium" w:eastAsia="Times New Roman" w:hAnsi="Montserrat Medium" w:cs="Arial"/>
          <w:color w:val="595959"/>
          <w:sz w:val="22"/>
          <w:lang w:eastAsia="en-US"/>
        </w:rPr>
      </w:pPr>
    </w:p>
    <w:p w14:paraId="202CAB8A" w14:textId="19FA89EC" w:rsidR="00BD3E46" w:rsidRPr="00C04293" w:rsidRDefault="00BD3E46" w:rsidP="002F131C">
      <w:pPr>
        <w:jc w:val="both"/>
        <w:rPr>
          <w:rFonts w:ascii="Montserrat Medium" w:eastAsia="Times New Roman" w:hAnsi="Montserrat Medium" w:cs="Arial"/>
          <w:color w:val="595959"/>
          <w:sz w:val="22"/>
          <w:lang w:eastAsia="en-US"/>
        </w:rPr>
      </w:pPr>
      <w:r w:rsidRPr="00C04293">
        <w:rPr>
          <w:rFonts w:ascii="Montserrat Medium" w:eastAsia="Times New Roman" w:hAnsi="Montserrat Medium" w:cs="Arial"/>
          <w:color w:val="595959"/>
          <w:sz w:val="22"/>
          <w:lang w:eastAsia="en-US"/>
        </w:rPr>
        <w:t xml:space="preserve">Mediante Asamblea General extraordinaria llevada a cabo el 28 de Agosto de 2017, en </w:t>
      </w:r>
      <w:r w:rsidR="00757E66" w:rsidRPr="00C04293">
        <w:rPr>
          <w:rFonts w:ascii="Montserrat Medium" w:eastAsia="Times New Roman" w:hAnsi="Montserrat Medium" w:cs="Arial"/>
          <w:color w:val="595959"/>
          <w:sz w:val="22"/>
          <w:lang w:eastAsia="en-US"/>
        </w:rPr>
        <w:t xml:space="preserve">el </w:t>
      </w:r>
      <w:r w:rsidRPr="00C04293">
        <w:rPr>
          <w:rFonts w:ascii="Montserrat Medium" w:eastAsia="Times New Roman" w:hAnsi="Montserrat Medium" w:cs="Arial"/>
          <w:color w:val="595959"/>
          <w:sz w:val="22"/>
          <w:lang w:eastAsia="en-US"/>
        </w:rPr>
        <w:t xml:space="preserve">acuerdo número 02/ISE/AGA/24082017, los socios accionistas, por unanimidad de votos acordaron la Disolución y Liquidación de la Empresa Procesadora de Carnes la Alianza, </w:t>
      </w:r>
      <w:r w:rsidRPr="00C04293">
        <w:rPr>
          <w:rFonts w:ascii="Montserrat Medium" w:eastAsia="Times New Roman" w:hAnsi="Montserrat Medium" w:cs="Arial"/>
          <w:color w:val="595959"/>
          <w:sz w:val="22"/>
          <w:lang w:eastAsia="en-US"/>
        </w:rPr>
        <w:lastRenderedPageBreak/>
        <w:t>S.A. de C.V.</w:t>
      </w:r>
      <w:r w:rsidR="000657EF" w:rsidRPr="00C04293">
        <w:rPr>
          <w:rFonts w:ascii="Montserrat Medium" w:eastAsia="Times New Roman" w:hAnsi="Montserrat Medium" w:cs="Arial"/>
          <w:color w:val="595959"/>
          <w:sz w:val="22"/>
          <w:lang w:eastAsia="en-US"/>
        </w:rPr>
        <w:t xml:space="preserve"> L</w:t>
      </w:r>
      <w:r w:rsidRPr="00C04293">
        <w:rPr>
          <w:rFonts w:ascii="Montserrat Medium" w:eastAsia="Times New Roman" w:hAnsi="Montserrat Medium" w:cs="Arial"/>
          <w:color w:val="595959"/>
          <w:sz w:val="22"/>
          <w:lang w:eastAsia="en-US"/>
        </w:rPr>
        <w:t xml:space="preserve">o anterior de la imposibilidad para cumplir su objeto derivado de la pérdida de más de las 2 terceras partes de su capital social. </w:t>
      </w:r>
    </w:p>
    <w:p w14:paraId="6CBD8B2C" w14:textId="77777777" w:rsidR="00850ED7" w:rsidRPr="00C04293" w:rsidRDefault="00850ED7" w:rsidP="002F131C">
      <w:pPr>
        <w:jc w:val="both"/>
        <w:rPr>
          <w:rFonts w:ascii="Montserrat Medium" w:eastAsia="Times New Roman" w:hAnsi="Montserrat Medium" w:cs="Arial"/>
          <w:color w:val="595959"/>
          <w:sz w:val="22"/>
          <w:lang w:eastAsia="en-US"/>
        </w:rPr>
      </w:pPr>
    </w:p>
    <w:p w14:paraId="3E91001C" w14:textId="77777777" w:rsidR="00BD3E46" w:rsidRPr="00C04293" w:rsidRDefault="00BD3E46" w:rsidP="002F131C">
      <w:pPr>
        <w:jc w:val="both"/>
        <w:rPr>
          <w:rFonts w:ascii="Montserrat Medium" w:eastAsia="Times New Roman" w:hAnsi="Montserrat Medium" w:cs="Arial"/>
          <w:color w:val="595959"/>
          <w:sz w:val="22"/>
          <w:lang w:eastAsia="en-US"/>
        </w:rPr>
      </w:pPr>
      <w:r w:rsidRPr="00C04293">
        <w:rPr>
          <w:rFonts w:ascii="Montserrat Medium" w:eastAsia="Times New Roman" w:hAnsi="Montserrat Medium" w:cs="Arial"/>
          <w:color w:val="595959"/>
          <w:sz w:val="22"/>
          <w:lang w:eastAsia="en-US"/>
        </w:rPr>
        <w:t xml:space="preserve">Con fecha 6 de </w:t>
      </w:r>
      <w:r w:rsidR="00D73B96" w:rsidRPr="00C04293">
        <w:rPr>
          <w:rFonts w:ascii="Montserrat Medium" w:eastAsia="Times New Roman" w:hAnsi="Montserrat Medium" w:cs="Arial"/>
          <w:color w:val="595959"/>
          <w:sz w:val="22"/>
          <w:lang w:eastAsia="en-US"/>
        </w:rPr>
        <w:t>j</w:t>
      </w:r>
      <w:r w:rsidRPr="00C04293">
        <w:rPr>
          <w:rFonts w:ascii="Montserrat Medium" w:eastAsia="Times New Roman" w:hAnsi="Montserrat Medium" w:cs="Arial"/>
          <w:color w:val="595959"/>
          <w:sz w:val="22"/>
          <w:lang w:eastAsia="en-US"/>
        </w:rPr>
        <w:t xml:space="preserve">ulio de 2018, se publica en el Periódico Oficial del Estado de Quintana Roo, Tomo II, número 91 Extraordinario Novena Época, el acuerdo por </w:t>
      </w:r>
      <w:r w:rsidR="00757E66" w:rsidRPr="00C04293">
        <w:rPr>
          <w:rFonts w:ascii="Montserrat Medium" w:eastAsia="Times New Roman" w:hAnsi="Montserrat Medium" w:cs="Arial"/>
          <w:color w:val="595959"/>
          <w:sz w:val="22"/>
          <w:lang w:eastAsia="en-US"/>
        </w:rPr>
        <w:t>el</w:t>
      </w:r>
      <w:r w:rsidRPr="00C04293">
        <w:rPr>
          <w:rFonts w:ascii="Montserrat Medium" w:eastAsia="Times New Roman" w:hAnsi="Montserrat Medium" w:cs="Arial"/>
          <w:color w:val="595959"/>
          <w:sz w:val="22"/>
          <w:lang w:eastAsia="en-US"/>
        </w:rPr>
        <w:t xml:space="preserve"> que se autoriza la Disolución y Liquidación de la empresa con Participación Estatal Mayoritaria Procesadora de Carnes la Alianza S.A. de C.V., suscrito el 11 de junio de 2018. Derivado de lo anterior, la empresa no </w:t>
      </w:r>
      <w:r w:rsidR="00757E66" w:rsidRPr="00C04293">
        <w:rPr>
          <w:rFonts w:ascii="Montserrat Medium" w:eastAsia="Times New Roman" w:hAnsi="Montserrat Medium" w:cs="Arial"/>
          <w:color w:val="595959"/>
          <w:sz w:val="22"/>
          <w:lang w:eastAsia="en-US"/>
        </w:rPr>
        <w:t>ha efectuado</w:t>
      </w:r>
      <w:r w:rsidRPr="00C04293">
        <w:rPr>
          <w:rFonts w:ascii="Montserrat Medium" w:eastAsia="Times New Roman" w:hAnsi="Montserrat Medium" w:cs="Arial"/>
          <w:color w:val="595959"/>
          <w:sz w:val="22"/>
          <w:lang w:eastAsia="en-US"/>
        </w:rPr>
        <w:t xml:space="preserve"> operación alguna, ni realiz</w:t>
      </w:r>
      <w:r w:rsidR="00757E66" w:rsidRPr="00C04293">
        <w:rPr>
          <w:rFonts w:ascii="Montserrat Medium" w:eastAsia="Times New Roman" w:hAnsi="Montserrat Medium" w:cs="Arial"/>
          <w:color w:val="595959"/>
          <w:sz w:val="22"/>
          <w:lang w:eastAsia="en-US"/>
        </w:rPr>
        <w:t>ado</w:t>
      </w:r>
      <w:r w:rsidRPr="00C04293">
        <w:rPr>
          <w:rFonts w:ascii="Montserrat Medium" w:eastAsia="Times New Roman" w:hAnsi="Montserrat Medium" w:cs="Arial"/>
          <w:color w:val="595959"/>
          <w:sz w:val="22"/>
          <w:lang w:eastAsia="en-US"/>
        </w:rPr>
        <w:t xml:space="preserve"> movimientos en sus cuentas bancarias; motivo por el cual, no presenta cifras en la Cuenta Pública del Gobierno del Estado de Quintana Roo. </w:t>
      </w:r>
    </w:p>
    <w:p w14:paraId="2C3A799D" w14:textId="77777777" w:rsidR="00804833" w:rsidRPr="00407404" w:rsidRDefault="00804833" w:rsidP="002F131C">
      <w:pPr>
        <w:jc w:val="both"/>
        <w:rPr>
          <w:rFonts w:ascii="Montserrat Medium" w:eastAsia="Times New Roman" w:hAnsi="Montserrat Medium" w:cs="Arial"/>
          <w:color w:val="595959"/>
          <w:sz w:val="22"/>
          <w:highlight w:val="yellow"/>
          <w:lang w:eastAsia="en-US"/>
        </w:rPr>
      </w:pPr>
    </w:p>
    <w:p w14:paraId="23F9AB1C" w14:textId="77777777" w:rsidR="004F1F55" w:rsidRPr="00407404" w:rsidRDefault="004F1F55" w:rsidP="002F131C">
      <w:pPr>
        <w:keepNext/>
        <w:keepLines/>
        <w:jc w:val="both"/>
        <w:outlineLvl w:val="6"/>
        <w:rPr>
          <w:rFonts w:ascii="Montserrat Medium" w:eastAsia="Times New Roman" w:hAnsi="Montserrat Medium" w:cs="Arial"/>
          <w:b/>
          <w:iCs/>
          <w:color w:val="595959"/>
          <w:sz w:val="22"/>
        </w:rPr>
      </w:pPr>
      <w:r w:rsidRPr="00F46A66">
        <w:rPr>
          <w:rFonts w:ascii="Montserrat Medium" w:eastAsia="Times New Roman" w:hAnsi="Montserrat Medium" w:cs="Arial"/>
          <w:b/>
          <w:iCs/>
          <w:color w:val="595959"/>
          <w:sz w:val="22"/>
        </w:rPr>
        <w:t>Derechos a Recibir Efectivo o Equivalentes a Largo Plazo</w:t>
      </w:r>
    </w:p>
    <w:p w14:paraId="3C261AFA" w14:textId="77777777" w:rsidR="004F1F55" w:rsidRPr="00407404" w:rsidRDefault="004F1F55" w:rsidP="002F131C">
      <w:pPr>
        <w:jc w:val="both"/>
        <w:rPr>
          <w:rFonts w:ascii="Montserrat Medium" w:eastAsia="Times New Roman" w:hAnsi="Montserrat Medium" w:cs="Arial"/>
          <w:color w:val="595959"/>
          <w:sz w:val="22"/>
          <w:lang w:eastAsia="en-US"/>
        </w:rPr>
      </w:pPr>
    </w:p>
    <w:p w14:paraId="1CE5BF71" w14:textId="77777777" w:rsidR="00776CF5" w:rsidRPr="00407404" w:rsidRDefault="004F1F55" w:rsidP="002F131C">
      <w:pPr>
        <w:autoSpaceDE w:val="0"/>
        <w:autoSpaceDN w:val="0"/>
        <w:adjustRightInd w:val="0"/>
        <w:jc w:val="both"/>
        <w:rPr>
          <w:rFonts w:ascii="Montserrat Medium" w:eastAsia="Times New Roman" w:hAnsi="Montserrat Medium" w:cs="Arial"/>
          <w:color w:val="595959"/>
          <w:sz w:val="22"/>
          <w:lang w:eastAsia="en-US"/>
        </w:rPr>
      </w:pPr>
      <w:r w:rsidRPr="00407404">
        <w:rPr>
          <w:rFonts w:ascii="Montserrat Medium" w:eastAsia="Times New Roman" w:hAnsi="Montserrat Medium" w:cs="Arial"/>
          <w:color w:val="595959"/>
          <w:sz w:val="22"/>
          <w:lang w:eastAsia="en-US"/>
        </w:rPr>
        <w:t xml:space="preserve">Representan los derechos de cobro originados en el desarrollo de las actividades del ente público, de los cuales se espera recibir una contraprestación representada en recursos, bienes o servicios; exigibles en un plazo mayor a doce meses. </w:t>
      </w:r>
      <w:r w:rsidR="00776CF5" w:rsidRPr="00407404">
        <w:rPr>
          <w:rFonts w:ascii="Montserrat Medium" w:eastAsia="Times New Roman" w:hAnsi="Montserrat Medium" w:cs="Arial"/>
          <w:color w:val="595959"/>
          <w:sz w:val="22"/>
          <w:lang w:eastAsia="en-US"/>
        </w:rPr>
        <w:t xml:space="preserve"> Se encuentr</w:t>
      </w:r>
      <w:r w:rsidR="000E76AD" w:rsidRPr="00407404">
        <w:rPr>
          <w:rFonts w:ascii="Montserrat Medium" w:eastAsia="Times New Roman" w:hAnsi="Montserrat Medium" w:cs="Arial"/>
          <w:color w:val="595959"/>
          <w:sz w:val="22"/>
          <w:lang w:eastAsia="en-US"/>
        </w:rPr>
        <w:t xml:space="preserve">a conformada principalmente por:  </w:t>
      </w:r>
      <w:r w:rsidR="00776CF5" w:rsidRPr="00407404">
        <w:rPr>
          <w:rFonts w:ascii="Montserrat Medium" w:eastAsia="Times New Roman" w:hAnsi="Montserrat Medium" w:cs="Arial"/>
          <w:color w:val="595959"/>
          <w:sz w:val="22"/>
          <w:lang w:eastAsia="en-US"/>
        </w:rPr>
        <w:t>Documentos por Cobrar SEDETUS</w:t>
      </w:r>
      <w:r w:rsidR="000E76AD" w:rsidRPr="00407404">
        <w:rPr>
          <w:rFonts w:ascii="Montserrat Medium" w:eastAsia="Times New Roman" w:hAnsi="Montserrat Medium" w:cs="Arial"/>
          <w:color w:val="595959"/>
          <w:sz w:val="22"/>
          <w:lang w:eastAsia="en-US"/>
        </w:rPr>
        <w:t>, e</w:t>
      </w:r>
      <w:r w:rsidR="00776CF5" w:rsidRPr="00407404">
        <w:rPr>
          <w:rFonts w:ascii="Montserrat Medium" w:eastAsia="Times New Roman" w:hAnsi="Montserrat Medium" w:cs="Arial"/>
          <w:color w:val="595959"/>
          <w:sz w:val="22"/>
          <w:lang w:eastAsia="en-US"/>
        </w:rPr>
        <w:t>sta cuenta representa el derecho de recuperar el valor del crédito otorgado al beneficiario por la asignación de un lote comercial urbanizado, venta</w:t>
      </w:r>
      <w:r w:rsidR="00757E66" w:rsidRPr="00407404">
        <w:rPr>
          <w:rFonts w:ascii="Montserrat Medium" w:eastAsia="Times New Roman" w:hAnsi="Montserrat Medium" w:cs="Arial"/>
          <w:color w:val="595959"/>
          <w:sz w:val="22"/>
          <w:lang w:eastAsia="en-US"/>
        </w:rPr>
        <w:t xml:space="preserve"> de reserva territorial o pagaré</w:t>
      </w:r>
      <w:r w:rsidR="00776CF5" w:rsidRPr="00407404">
        <w:rPr>
          <w:rFonts w:ascii="Montserrat Medium" w:eastAsia="Times New Roman" w:hAnsi="Montserrat Medium" w:cs="Arial"/>
          <w:color w:val="595959"/>
          <w:sz w:val="22"/>
          <w:lang w:eastAsia="en-US"/>
        </w:rPr>
        <w:t>s firmados para pago de enganches para la adquisición de un lote habitacional</w:t>
      </w:r>
      <w:r w:rsidR="000E76AD" w:rsidRPr="00407404">
        <w:rPr>
          <w:rFonts w:ascii="Montserrat Medium" w:eastAsia="Times New Roman" w:hAnsi="Montserrat Medium" w:cs="Arial"/>
          <w:color w:val="595959"/>
          <w:sz w:val="22"/>
          <w:lang w:eastAsia="en-US"/>
        </w:rPr>
        <w:t xml:space="preserve"> y Cuentas por Cobrar por SEDETUS, esta cuenta representa el derecho de recuperar el valor del crédito otorgado al beneficiario por la asignación de un lote habitacional urbanizado, pies de casa o crédito de material para vivienda</w:t>
      </w:r>
      <w:r w:rsidR="00EB7C9D" w:rsidRPr="00407404">
        <w:rPr>
          <w:rFonts w:ascii="Montserrat Medium" w:eastAsia="Times New Roman" w:hAnsi="Montserrat Medium" w:cs="Arial"/>
          <w:color w:val="595959"/>
          <w:sz w:val="22"/>
          <w:lang w:eastAsia="en-US"/>
        </w:rPr>
        <w:t>.</w:t>
      </w:r>
    </w:p>
    <w:p w14:paraId="34EE04A1" w14:textId="77777777" w:rsidR="00776CF5" w:rsidRPr="00407404" w:rsidRDefault="00776CF5" w:rsidP="002F131C">
      <w:pPr>
        <w:jc w:val="both"/>
        <w:rPr>
          <w:rFonts w:ascii="Montserrat Medium" w:hAnsi="Montserrat Medium" w:cs="Tahoma"/>
          <w:sz w:val="22"/>
        </w:rPr>
      </w:pPr>
    </w:p>
    <w:p w14:paraId="6F90F1DC" w14:textId="53B4D197" w:rsidR="00257A6B" w:rsidRPr="00407404" w:rsidRDefault="004F1F55" w:rsidP="002F131C">
      <w:pPr>
        <w:autoSpaceDE w:val="0"/>
        <w:autoSpaceDN w:val="0"/>
        <w:adjustRightInd w:val="0"/>
        <w:jc w:val="both"/>
        <w:rPr>
          <w:rFonts w:ascii="Montserrat Medium" w:eastAsia="Times New Roman" w:hAnsi="Montserrat Medium" w:cs="Arial"/>
          <w:color w:val="595959"/>
          <w:sz w:val="22"/>
          <w:lang w:eastAsia="en-US"/>
        </w:rPr>
      </w:pPr>
      <w:r w:rsidRPr="00407404">
        <w:rPr>
          <w:rFonts w:ascii="Montserrat Medium" w:eastAsia="Times New Roman" w:hAnsi="Montserrat Medium" w:cs="Arial"/>
          <w:color w:val="595959"/>
          <w:sz w:val="22"/>
          <w:lang w:eastAsia="en-US"/>
        </w:rPr>
        <w:t>A</w:t>
      </w:r>
      <w:r w:rsidR="00A4586C" w:rsidRPr="00407404">
        <w:rPr>
          <w:rFonts w:ascii="Montserrat Medium" w:eastAsia="Times New Roman" w:hAnsi="Montserrat Medium" w:cs="Arial"/>
          <w:color w:val="595959"/>
          <w:sz w:val="22"/>
          <w:lang w:eastAsia="en-US"/>
        </w:rPr>
        <w:t>l 3</w:t>
      </w:r>
      <w:r w:rsidR="00407404">
        <w:rPr>
          <w:rFonts w:ascii="Montserrat Medium" w:eastAsia="Times New Roman" w:hAnsi="Montserrat Medium" w:cs="Arial"/>
          <w:color w:val="595959"/>
          <w:sz w:val="22"/>
          <w:lang w:eastAsia="en-US"/>
        </w:rPr>
        <w:t>0</w:t>
      </w:r>
      <w:r w:rsidR="00A4586C" w:rsidRPr="00407404">
        <w:rPr>
          <w:rFonts w:ascii="Montserrat Medium" w:eastAsia="Times New Roman" w:hAnsi="Montserrat Medium" w:cs="Arial"/>
          <w:color w:val="595959"/>
          <w:sz w:val="22"/>
          <w:lang w:eastAsia="en-US"/>
        </w:rPr>
        <w:t xml:space="preserve"> de </w:t>
      </w:r>
      <w:r w:rsidR="00407404">
        <w:rPr>
          <w:rFonts w:ascii="Montserrat Medium" w:eastAsia="Times New Roman" w:hAnsi="Montserrat Medium" w:cs="Arial"/>
          <w:color w:val="595959"/>
          <w:sz w:val="22"/>
          <w:lang w:eastAsia="en-US"/>
        </w:rPr>
        <w:t>junio</w:t>
      </w:r>
      <w:r w:rsidR="00A4586C" w:rsidRPr="00407404">
        <w:rPr>
          <w:rFonts w:ascii="Montserrat Medium" w:eastAsia="Times New Roman" w:hAnsi="Montserrat Medium" w:cs="Arial"/>
          <w:color w:val="595959"/>
          <w:sz w:val="22"/>
          <w:lang w:eastAsia="en-US"/>
        </w:rPr>
        <w:t xml:space="preserve"> de 202</w:t>
      </w:r>
      <w:r w:rsidR="00982CC5" w:rsidRPr="00407404">
        <w:rPr>
          <w:rFonts w:ascii="Montserrat Medium" w:eastAsia="Times New Roman" w:hAnsi="Montserrat Medium" w:cs="Arial"/>
          <w:color w:val="595959"/>
          <w:sz w:val="22"/>
          <w:lang w:eastAsia="en-US"/>
        </w:rPr>
        <w:t>5</w:t>
      </w:r>
      <w:r w:rsidR="00700992" w:rsidRPr="00407404">
        <w:rPr>
          <w:rFonts w:ascii="Montserrat Medium" w:eastAsia="Times New Roman" w:hAnsi="Montserrat Medium" w:cs="Arial"/>
          <w:color w:val="595959"/>
          <w:sz w:val="22"/>
          <w:lang w:eastAsia="en-US"/>
        </w:rPr>
        <w:t xml:space="preserve"> y ejercicio 202</w:t>
      </w:r>
      <w:r w:rsidR="00982CC5" w:rsidRPr="00407404">
        <w:rPr>
          <w:rFonts w:ascii="Montserrat Medium" w:eastAsia="Times New Roman" w:hAnsi="Montserrat Medium" w:cs="Arial"/>
          <w:color w:val="595959"/>
          <w:sz w:val="22"/>
          <w:lang w:eastAsia="en-US"/>
        </w:rPr>
        <w:t>4</w:t>
      </w:r>
      <w:r w:rsidRPr="00407404">
        <w:rPr>
          <w:rFonts w:ascii="Montserrat Medium" w:eastAsia="Times New Roman" w:hAnsi="Montserrat Medium" w:cs="Arial"/>
          <w:color w:val="595959"/>
          <w:sz w:val="22"/>
          <w:lang w:eastAsia="en-US"/>
        </w:rPr>
        <w:t xml:space="preserve">, los saldos que componen los derechos a recibir efectivo o equivalentes a largo plazo se integran como sigue:  </w:t>
      </w:r>
    </w:p>
    <w:tbl>
      <w:tblPr>
        <w:tblpPr w:leftFromText="141" w:rightFromText="141" w:vertAnchor="text" w:horzAnchor="margin" w:tblpXSpec="center" w:tblpY="180"/>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66"/>
        <w:gridCol w:w="1497"/>
        <w:gridCol w:w="204"/>
        <w:gridCol w:w="1701"/>
      </w:tblGrid>
      <w:tr w:rsidR="005671FD" w:rsidRPr="00407404" w14:paraId="02EF2F68" w14:textId="2EA9BA7F" w:rsidTr="00257A6B">
        <w:trPr>
          <w:trHeight w:hRule="exact" w:val="431"/>
        </w:trPr>
        <w:tc>
          <w:tcPr>
            <w:tcW w:w="6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7B60A7C" w14:textId="77777777" w:rsidR="005671FD" w:rsidRPr="00407404" w:rsidRDefault="005671FD" w:rsidP="002F131C">
            <w:pPr>
              <w:jc w:val="center"/>
              <w:rPr>
                <w:rFonts w:ascii="Montserrat Medium" w:eastAsia="Times New Roman" w:hAnsi="Montserrat Medium" w:cs="Arial"/>
                <w:b/>
                <w:sz w:val="18"/>
                <w:szCs w:val="18"/>
                <w:lang w:eastAsia="en-US"/>
              </w:rPr>
            </w:pPr>
            <w:r w:rsidRPr="00407404">
              <w:rPr>
                <w:rFonts w:ascii="Montserrat Medium" w:eastAsia="Times New Roman" w:hAnsi="Montserrat Medium" w:cs="Arial"/>
                <w:b/>
                <w:sz w:val="18"/>
                <w:szCs w:val="18"/>
                <w:lang w:eastAsia="en-US"/>
              </w:rPr>
              <w:t>Concepto</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BD141B" w14:textId="7FCADD5F" w:rsidR="005671FD" w:rsidRPr="00407404" w:rsidRDefault="00982CC5" w:rsidP="002F131C">
            <w:pPr>
              <w:jc w:val="center"/>
              <w:rPr>
                <w:rFonts w:ascii="Montserrat Medium" w:eastAsia="Times New Roman" w:hAnsi="Montserrat Medium" w:cs="Arial"/>
                <w:b/>
                <w:sz w:val="18"/>
                <w:szCs w:val="18"/>
                <w:lang w:eastAsia="en-US"/>
              </w:rPr>
            </w:pPr>
            <w:r w:rsidRPr="00407404">
              <w:rPr>
                <w:rFonts w:ascii="Montserrat Medium" w:eastAsia="Times New Roman" w:hAnsi="Montserrat Medium" w:cs="Arial"/>
                <w:b/>
                <w:sz w:val="18"/>
                <w:szCs w:val="18"/>
                <w:lang w:eastAsia="en-US"/>
              </w:rPr>
              <w:t>Al 3</w:t>
            </w:r>
            <w:r w:rsidR="00F46A66">
              <w:rPr>
                <w:rFonts w:ascii="Montserrat Medium" w:eastAsia="Times New Roman" w:hAnsi="Montserrat Medium" w:cs="Arial"/>
                <w:b/>
                <w:sz w:val="18"/>
                <w:szCs w:val="18"/>
                <w:lang w:eastAsia="en-US"/>
              </w:rPr>
              <w:t>0</w:t>
            </w:r>
            <w:r w:rsidRPr="00407404">
              <w:rPr>
                <w:rFonts w:ascii="Montserrat Medium" w:eastAsia="Times New Roman" w:hAnsi="Montserrat Medium" w:cs="Arial"/>
                <w:b/>
                <w:sz w:val="18"/>
                <w:szCs w:val="18"/>
                <w:lang w:eastAsia="en-US"/>
              </w:rPr>
              <w:t xml:space="preserve"> de </w:t>
            </w:r>
            <w:r w:rsidR="00F46A66">
              <w:rPr>
                <w:rFonts w:ascii="Montserrat Medium" w:eastAsia="Times New Roman" w:hAnsi="Montserrat Medium" w:cs="Arial"/>
                <w:b/>
                <w:sz w:val="18"/>
                <w:szCs w:val="18"/>
                <w:lang w:eastAsia="en-US"/>
              </w:rPr>
              <w:t>Junio</w:t>
            </w:r>
            <w:r w:rsidRPr="00407404">
              <w:rPr>
                <w:rFonts w:ascii="Montserrat Medium" w:eastAsia="Times New Roman" w:hAnsi="Montserrat Medium" w:cs="Arial"/>
                <w:b/>
                <w:sz w:val="18"/>
                <w:szCs w:val="18"/>
                <w:lang w:eastAsia="en-US"/>
              </w:rPr>
              <w:t xml:space="preserve"> de </w:t>
            </w:r>
            <w:r w:rsidR="005671FD" w:rsidRPr="00407404">
              <w:rPr>
                <w:rFonts w:ascii="Montserrat Medium" w:eastAsia="Times New Roman" w:hAnsi="Montserrat Medium" w:cs="Arial"/>
                <w:b/>
                <w:sz w:val="18"/>
                <w:szCs w:val="18"/>
                <w:lang w:eastAsia="en-US"/>
              </w:rPr>
              <w:t>202</w:t>
            </w:r>
            <w:r w:rsidRPr="00407404">
              <w:rPr>
                <w:rFonts w:ascii="Montserrat Medium" w:eastAsia="Times New Roman" w:hAnsi="Montserrat Medium" w:cs="Arial"/>
                <w:b/>
                <w:sz w:val="18"/>
                <w:szCs w:val="18"/>
                <w:lang w:eastAsia="en-US"/>
              </w:rPr>
              <w:t>5</w:t>
            </w:r>
          </w:p>
        </w:tc>
        <w:tc>
          <w:tcPr>
            <w:tcW w:w="1701" w:type="dxa"/>
            <w:tcBorders>
              <w:bottom w:val="single" w:sz="4" w:space="0" w:color="auto"/>
            </w:tcBorders>
            <w:shd w:val="clear" w:color="auto" w:fill="BFBFBF" w:themeFill="background1" w:themeFillShade="BF"/>
            <w:vAlign w:val="center"/>
          </w:tcPr>
          <w:p w14:paraId="4064770C" w14:textId="1E8F3FBF" w:rsidR="005671FD" w:rsidRPr="00407404" w:rsidRDefault="005671FD" w:rsidP="002F131C">
            <w:pPr>
              <w:jc w:val="center"/>
              <w:rPr>
                <w:rFonts w:ascii="Montserrat Medium" w:eastAsia="Times New Roman" w:hAnsi="Montserrat Medium" w:cs="Arial"/>
                <w:b/>
                <w:sz w:val="18"/>
                <w:szCs w:val="18"/>
                <w:lang w:eastAsia="en-US"/>
              </w:rPr>
            </w:pPr>
            <w:r w:rsidRPr="00407404">
              <w:rPr>
                <w:rFonts w:ascii="Montserrat Medium" w:eastAsia="Times New Roman" w:hAnsi="Montserrat Medium" w:cs="Arial"/>
                <w:b/>
                <w:sz w:val="18"/>
                <w:szCs w:val="18"/>
                <w:lang w:eastAsia="en-US"/>
              </w:rPr>
              <w:t>202</w:t>
            </w:r>
            <w:r w:rsidR="00982CC5" w:rsidRPr="00407404">
              <w:rPr>
                <w:rFonts w:ascii="Montserrat Medium" w:eastAsia="Times New Roman" w:hAnsi="Montserrat Medium" w:cs="Arial"/>
                <w:b/>
                <w:sz w:val="18"/>
                <w:szCs w:val="18"/>
                <w:lang w:eastAsia="en-US"/>
              </w:rPr>
              <w:t>4</w:t>
            </w:r>
          </w:p>
        </w:tc>
      </w:tr>
      <w:tr w:rsidR="00F46A66" w:rsidRPr="00407404" w14:paraId="3ADFDD5A" w14:textId="212023AF" w:rsidTr="00257A6B">
        <w:trPr>
          <w:trHeight w:hRule="exact" w:val="227"/>
        </w:trPr>
        <w:tc>
          <w:tcPr>
            <w:tcW w:w="6166" w:type="dxa"/>
            <w:tcBorders>
              <w:top w:val="single" w:sz="4" w:space="0" w:color="auto"/>
              <w:left w:val="single" w:sz="4" w:space="0" w:color="auto"/>
              <w:bottom w:val="nil"/>
              <w:right w:val="single" w:sz="4" w:space="0" w:color="auto"/>
            </w:tcBorders>
            <w:shd w:val="clear" w:color="auto" w:fill="FFFFFF"/>
            <w:noWrap/>
            <w:vAlign w:val="bottom"/>
          </w:tcPr>
          <w:p w14:paraId="2CFA60C1" w14:textId="77777777" w:rsidR="00F46A66" w:rsidRPr="00407404" w:rsidRDefault="00F46A66" w:rsidP="002F131C">
            <w:pPr>
              <w:ind w:left="67"/>
              <w:rPr>
                <w:rFonts w:ascii="Montserrat Medium" w:eastAsia="Times New Roman" w:hAnsi="Montserrat Medium" w:cs="Arial"/>
                <w:sz w:val="18"/>
                <w:szCs w:val="18"/>
                <w:lang w:eastAsia="en-US"/>
              </w:rPr>
            </w:pPr>
            <w:r w:rsidRPr="00407404">
              <w:rPr>
                <w:rFonts w:ascii="Montserrat Medium" w:eastAsia="Times New Roman" w:hAnsi="Montserrat Medium" w:cs="Arial"/>
                <w:sz w:val="18"/>
                <w:szCs w:val="18"/>
                <w:lang w:eastAsia="en-US"/>
              </w:rPr>
              <w:t>Documentos por cobrar a largo plazo</w:t>
            </w:r>
          </w:p>
        </w:tc>
        <w:tc>
          <w:tcPr>
            <w:tcW w:w="1701" w:type="dxa"/>
            <w:gridSpan w:val="2"/>
            <w:tcBorders>
              <w:top w:val="single" w:sz="4" w:space="0" w:color="auto"/>
              <w:left w:val="single" w:sz="4" w:space="0" w:color="auto"/>
              <w:bottom w:val="nil"/>
              <w:right w:val="single" w:sz="4" w:space="0" w:color="auto"/>
            </w:tcBorders>
            <w:shd w:val="clear" w:color="auto" w:fill="FFFFFF"/>
            <w:vAlign w:val="center"/>
          </w:tcPr>
          <w:p w14:paraId="1C5E99E5" w14:textId="7C92B744" w:rsidR="00F46A66" w:rsidRPr="00407404" w:rsidRDefault="00F46A66" w:rsidP="002F131C">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7,235,517.36</w:t>
            </w:r>
          </w:p>
        </w:tc>
        <w:tc>
          <w:tcPr>
            <w:tcW w:w="1701" w:type="dxa"/>
            <w:tcBorders>
              <w:top w:val="single" w:sz="4" w:space="0" w:color="auto"/>
              <w:bottom w:val="nil"/>
            </w:tcBorders>
            <w:vAlign w:val="center"/>
          </w:tcPr>
          <w:p w14:paraId="6905A7CB" w14:textId="19CB56D4" w:rsidR="00F46A66" w:rsidRPr="00407404" w:rsidRDefault="00F46A66" w:rsidP="002F131C">
            <w:pPr>
              <w:jc w:val="right"/>
              <w:rPr>
                <w:rFonts w:ascii="Montserrat Medium" w:eastAsia="Times New Roman" w:hAnsi="Montserrat Medium" w:cs="Arial"/>
                <w:sz w:val="18"/>
                <w:szCs w:val="18"/>
                <w:lang w:eastAsia="en-US"/>
              </w:rPr>
            </w:pPr>
            <w:r w:rsidRPr="00407404">
              <w:rPr>
                <w:rFonts w:ascii="Montserrat Medium" w:hAnsi="Montserrat Medium" w:cs="Calibri"/>
                <w:color w:val="000000"/>
                <w:sz w:val="18"/>
                <w:szCs w:val="18"/>
              </w:rPr>
              <w:t>7,166,999.93</w:t>
            </w:r>
          </w:p>
        </w:tc>
      </w:tr>
      <w:tr w:rsidR="00F46A66" w:rsidRPr="00407404" w14:paraId="6D8D30AF" w14:textId="25D3A29E" w:rsidTr="00257A6B">
        <w:trPr>
          <w:trHeight w:hRule="exact" w:val="227"/>
        </w:trPr>
        <w:tc>
          <w:tcPr>
            <w:tcW w:w="6166" w:type="dxa"/>
            <w:tcBorders>
              <w:top w:val="nil"/>
              <w:left w:val="single" w:sz="4" w:space="0" w:color="auto"/>
              <w:bottom w:val="nil"/>
              <w:right w:val="single" w:sz="4" w:space="0" w:color="auto"/>
            </w:tcBorders>
            <w:shd w:val="clear" w:color="auto" w:fill="FFFFFF"/>
            <w:noWrap/>
            <w:vAlign w:val="bottom"/>
          </w:tcPr>
          <w:p w14:paraId="393BA53B" w14:textId="77777777" w:rsidR="00F46A66" w:rsidRPr="00407404" w:rsidRDefault="00F46A66" w:rsidP="002F131C">
            <w:pPr>
              <w:ind w:left="67"/>
              <w:rPr>
                <w:rFonts w:ascii="Montserrat Medium" w:eastAsia="Times New Roman" w:hAnsi="Montserrat Medium" w:cs="Arial"/>
                <w:sz w:val="18"/>
                <w:szCs w:val="18"/>
                <w:lang w:eastAsia="en-US"/>
              </w:rPr>
            </w:pPr>
            <w:r w:rsidRPr="00407404">
              <w:rPr>
                <w:rFonts w:ascii="Montserrat Medium" w:eastAsia="Times New Roman" w:hAnsi="Montserrat Medium" w:cs="Arial"/>
                <w:sz w:val="18"/>
                <w:szCs w:val="18"/>
                <w:lang w:eastAsia="en-US"/>
              </w:rPr>
              <w:t xml:space="preserve">Otros derechos a recibir efectivo o equivalentes a largo plazo: </w:t>
            </w:r>
          </w:p>
        </w:tc>
        <w:tc>
          <w:tcPr>
            <w:tcW w:w="1701" w:type="dxa"/>
            <w:gridSpan w:val="2"/>
            <w:tcBorders>
              <w:top w:val="nil"/>
              <w:left w:val="single" w:sz="4" w:space="0" w:color="auto"/>
              <w:bottom w:val="nil"/>
              <w:right w:val="single" w:sz="4" w:space="0" w:color="auto"/>
            </w:tcBorders>
            <w:shd w:val="clear" w:color="auto" w:fill="FFFFFF"/>
            <w:vAlign w:val="center"/>
          </w:tcPr>
          <w:p w14:paraId="403E929D" w14:textId="0B736757" w:rsidR="00F46A66" w:rsidRPr="00407404" w:rsidRDefault="00F46A66" w:rsidP="002F131C">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 </w:t>
            </w:r>
          </w:p>
        </w:tc>
        <w:tc>
          <w:tcPr>
            <w:tcW w:w="1701" w:type="dxa"/>
            <w:tcBorders>
              <w:top w:val="nil"/>
              <w:bottom w:val="nil"/>
            </w:tcBorders>
            <w:vAlign w:val="center"/>
          </w:tcPr>
          <w:p w14:paraId="431241FE" w14:textId="1CF9B46C" w:rsidR="00F46A66" w:rsidRPr="00407404" w:rsidRDefault="00F46A66" w:rsidP="002F131C">
            <w:pPr>
              <w:jc w:val="right"/>
              <w:rPr>
                <w:rFonts w:ascii="Montserrat Medium" w:eastAsia="Times New Roman" w:hAnsi="Montserrat Medium" w:cs="Arial"/>
                <w:sz w:val="18"/>
                <w:szCs w:val="18"/>
                <w:lang w:eastAsia="en-US"/>
              </w:rPr>
            </w:pPr>
            <w:r w:rsidRPr="00407404">
              <w:rPr>
                <w:rFonts w:ascii="Montserrat Medium" w:hAnsi="Montserrat Medium" w:cs="Calibri"/>
                <w:color w:val="000000"/>
                <w:sz w:val="18"/>
                <w:szCs w:val="18"/>
              </w:rPr>
              <w:t> </w:t>
            </w:r>
          </w:p>
        </w:tc>
      </w:tr>
      <w:tr w:rsidR="00F46A66" w:rsidRPr="00407404" w14:paraId="5E7D4AB0" w14:textId="2E7A88C3" w:rsidTr="00257A6B">
        <w:trPr>
          <w:trHeight w:hRule="exact" w:val="227"/>
        </w:trPr>
        <w:tc>
          <w:tcPr>
            <w:tcW w:w="6166" w:type="dxa"/>
            <w:tcBorders>
              <w:top w:val="nil"/>
              <w:left w:val="single" w:sz="4" w:space="0" w:color="auto"/>
              <w:bottom w:val="nil"/>
              <w:right w:val="single" w:sz="4" w:space="0" w:color="auto"/>
            </w:tcBorders>
            <w:shd w:val="clear" w:color="auto" w:fill="FFFFFF"/>
            <w:noWrap/>
            <w:vAlign w:val="bottom"/>
          </w:tcPr>
          <w:p w14:paraId="5C919C96" w14:textId="77777777" w:rsidR="00F46A66" w:rsidRPr="00407404" w:rsidRDefault="00F46A66" w:rsidP="002F131C">
            <w:pPr>
              <w:ind w:left="87" w:firstLine="122"/>
              <w:rPr>
                <w:rFonts w:ascii="Montserrat Medium" w:eastAsia="Times New Roman" w:hAnsi="Montserrat Medium" w:cs="Arial"/>
                <w:sz w:val="18"/>
                <w:szCs w:val="18"/>
                <w:lang w:eastAsia="en-US"/>
              </w:rPr>
            </w:pPr>
            <w:r w:rsidRPr="00407404">
              <w:rPr>
                <w:rFonts w:ascii="Montserrat Medium" w:eastAsia="Times New Roman" w:hAnsi="Montserrat Medium" w:cs="Arial"/>
                <w:sz w:val="18"/>
                <w:szCs w:val="18"/>
                <w:lang w:eastAsia="en-US"/>
              </w:rPr>
              <w:t>Cuentas por Cobrar por SEDETUS</w:t>
            </w:r>
          </w:p>
        </w:tc>
        <w:tc>
          <w:tcPr>
            <w:tcW w:w="1701" w:type="dxa"/>
            <w:gridSpan w:val="2"/>
            <w:tcBorders>
              <w:top w:val="nil"/>
              <w:left w:val="single" w:sz="4" w:space="0" w:color="auto"/>
              <w:bottom w:val="nil"/>
              <w:right w:val="single" w:sz="4" w:space="0" w:color="auto"/>
            </w:tcBorders>
            <w:shd w:val="clear" w:color="auto" w:fill="FFFFFF"/>
            <w:vAlign w:val="center"/>
          </w:tcPr>
          <w:p w14:paraId="59311FCD" w14:textId="51FB7E52" w:rsidR="00F46A66" w:rsidRPr="00407404" w:rsidRDefault="00F46A66" w:rsidP="002F131C">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235,033,301.09</w:t>
            </w:r>
          </w:p>
        </w:tc>
        <w:tc>
          <w:tcPr>
            <w:tcW w:w="1701" w:type="dxa"/>
            <w:tcBorders>
              <w:top w:val="nil"/>
              <w:bottom w:val="nil"/>
            </w:tcBorders>
            <w:vAlign w:val="center"/>
          </w:tcPr>
          <w:p w14:paraId="2DDD725D" w14:textId="79336CCD" w:rsidR="00F46A66" w:rsidRPr="00407404" w:rsidRDefault="00F46A66" w:rsidP="002F131C">
            <w:pPr>
              <w:jc w:val="right"/>
              <w:rPr>
                <w:rFonts w:ascii="Montserrat Medium" w:eastAsia="Times New Roman" w:hAnsi="Montserrat Medium" w:cs="Arial"/>
                <w:sz w:val="18"/>
                <w:szCs w:val="18"/>
                <w:lang w:eastAsia="en-US"/>
              </w:rPr>
            </w:pPr>
            <w:r w:rsidRPr="00407404">
              <w:rPr>
                <w:rFonts w:ascii="Montserrat Medium" w:hAnsi="Montserrat Medium" w:cs="Calibri"/>
                <w:color w:val="000000"/>
                <w:sz w:val="18"/>
                <w:szCs w:val="18"/>
              </w:rPr>
              <w:t>237,569,906.32</w:t>
            </w:r>
          </w:p>
        </w:tc>
      </w:tr>
      <w:tr w:rsidR="00F46A66" w:rsidRPr="00407404" w14:paraId="0815616C" w14:textId="79966BA0" w:rsidTr="00257A6B">
        <w:trPr>
          <w:trHeight w:hRule="exact" w:val="424"/>
        </w:trPr>
        <w:tc>
          <w:tcPr>
            <w:tcW w:w="6166" w:type="dxa"/>
            <w:tcBorders>
              <w:top w:val="nil"/>
              <w:left w:val="single" w:sz="4" w:space="0" w:color="auto"/>
              <w:bottom w:val="nil"/>
              <w:right w:val="single" w:sz="4" w:space="0" w:color="auto"/>
            </w:tcBorders>
            <w:shd w:val="clear" w:color="auto" w:fill="FFFFFF"/>
            <w:noWrap/>
            <w:vAlign w:val="bottom"/>
          </w:tcPr>
          <w:p w14:paraId="07A73A6D" w14:textId="77777777" w:rsidR="00F46A66" w:rsidRPr="00407404" w:rsidRDefault="00F46A66" w:rsidP="002F131C">
            <w:pPr>
              <w:ind w:left="209"/>
              <w:rPr>
                <w:rFonts w:ascii="Montserrat Medium" w:eastAsia="Times New Roman" w:hAnsi="Montserrat Medium" w:cs="Arial"/>
                <w:sz w:val="18"/>
                <w:szCs w:val="18"/>
                <w:lang w:eastAsia="en-US"/>
              </w:rPr>
            </w:pPr>
            <w:r w:rsidRPr="00407404">
              <w:rPr>
                <w:rFonts w:ascii="Montserrat Medium" w:eastAsia="Times New Roman" w:hAnsi="Montserrat Medium" w:cs="Arial"/>
                <w:sz w:val="18"/>
                <w:szCs w:val="18"/>
                <w:lang w:eastAsia="en-US"/>
              </w:rPr>
              <w:t>Fondo para el Financiamiento y Ahorro de los Trabajadores del Poder Ejecutivo del Estado de Quintana Roo</w:t>
            </w:r>
          </w:p>
        </w:tc>
        <w:tc>
          <w:tcPr>
            <w:tcW w:w="1701" w:type="dxa"/>
            <w:gridSpan w:val="2"/>
            <w:tcBorders>
              <w:top w:val="nil"/>
              <w:left w:val="single" w:sz="4" w:space="0" w:color="auto"/>
              <w:bottom w:val="nil"/>
              <w:right w:val="single" w:sz="4" w:space="0" w:color="auto"/>
            </w:tcBorders>
            <w:shd w:val="clear" w:color="auto" w:fill="FFFFFF"/>
            <w:vAlign w:val="center"/>
          </w:tcPr>
          <w:p w14:paraId="35791E12" w14:textId="3E614FB7" w:rsidR="00F46A66" w:rsidRPr="00407404" w:rsidRDefault="00F46A66" w:rsidP="002F131C">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1,000,000.00</w:t>
            </w:r>
          </w:p>
        </w:tc>
        <w:tc>
          <w:tcPr>
            <w:tcW w:w="1701" w:type="dxa"/>
            <w:tcBorders>
              <w:top w:val="nil"/>
              <w:bottom w:val="nil"/>
            </w:tcBorders>
            <w:vAlign w:val="center"/>
          </w:tcPr>
          <w:p w14:paraId="1AABCA7E" w14:textId="3F1FB50C" w:rsidR="00F46A66" w:rsidRPr="00407404" w:rsidRDefault="00F46A66" w:rsidP="002F131C">
            <w:pPr>
              <w:jc w:val="right"/>
              <w:rPr>
                <w:rFonts w:ascii="Montserrat Medium" w:eastAsia="Times New Roman" w:hAnsi="Montserrat Medium" w:cs="Arial"/>
                <w:sz w:val="18"/>
                <w:szCs w:val="18"/>
                <w:lang w:eastAsia="en-US"/>
              </w:rPr>
            </w:pPr>
            <w:r w:rsidRPr="00407404">
              <w:rPr>
                <w:rFonts w:ascii="Montserrat Medium" w:hAnsi="Montserrat Medium" w:cs="Calibri"/>
                <w:color w:val="000000"/>
                <w:sz w:val="18"/>
                <w:szCs w:val="18"/>
              </w:rPr>
              <w:t>1,000,000.00</w:t>
            </w:r>
          </w:p>
        </w:tc>
      </w:tr>
      <w:tr w:rsidR="00F46A66" w:rsidRPr="00407404" w14:paraId="6B6A3E86" w14:textId="256E2D59" w:rsidTr="00257A6B">
        <w:trPr>
          <w:trHeight w:hRule="exact" w:val="430"/>
        </w:trPr>
        <w:tc>
          <w:tcPr>
            <w:tcW w:w="6166" w:type="dxa"/>
            <w:tcBorders>
              <w:top w:val="nil"/>
              <w:left w:val="single" w:sz="4" w:space="0" w:color="auto"/>
              <w:bottom w:val="single" w:sz="4" w:space="0" w:color="auto"/>
              <w:right w:val="single" w:sz="4" w:space="0" w:color="auto"/>
            </w:tcBorders>
            <w:shd w:val="clear" w:color="auto" w:fill="FFFFFF"/>
            <w:noWrap/>
            <w:vAlign w:val="bottom"/>
          </w:tcPr>
          <w:p w14:paraId="37472316" w14:textId="77777777" w:rsidR="00F46A66" w:rsidRPr="00407404" w:rsidRDefault="00F46A66" w:rsidP="002F131C">
            <w:pPr>
              <w:ind w:left="209"/>
              <w:rPr>
                <w:rFonts w:ascii="Montserrat Medium" w:eastAsia="Times New Roman" w:hAnsi="Montserrat Medium" w:cs="Arial"/>
                <w:sz w:val="18"/>
                <w:szCs w:val="18"/>
                <w:lang w:eastAsia="en-US"/>
              </w:rPr>
            </w:pPr>
            <w:r w:rsidRPr="00407404">
              <w:rPr>
                <w:rFonts w:ascii="Montserrat Medium" w:eastAsia="Times New Roman" w:hAnsi="Montserrat Medium" w:cs="Arial"/>
                <w:sz w:val="18"/>
                <w:szCs w:val="18"/>
                <w:lang w:eastAsia="en-US"/>
              </w:rPr>
              <w:t xml:space="preserve">Fondo para la Dignificación de la Vivienda del Personal de la Policía Estatal Preventiva </w:t>
            </w:r>
          </w:p>
        </w:tc>
        <w:tc>
          <w:tcPr>
            <w:tcW w:w="1701" w:type="dxa"/>
            <w:gridSpan w:val="2"/>
            <w:tcBorders>
              <w:top w:val="nil"/>
              <w:left w:val="single" w:sz="4" w:space="0" w:color="auto"/>
              <w:bottom w:val="single" w:sz="4" w:space="0" w:color="auto"/>
              <w:right w:val="single" w:sz="4" w:space="0" w:color="auto"/>
            </w:tcBorders>
            <w:shd w:val="clear" w:color="auto" w:fill="FFFFFF"/>
            <w:vAlign w:val="center"/>
          </w:tcPr>
          <w:p w14:paraId="3F19CBF7" w14:textId="37232197" w:rsidR="00F46A66" w:rsidRPr="00407404" w:rsidRDefault="00F46A66" w:rsidP="002F131C">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1,000,000.00</w:t>
            </w:r>
          </w:p>
        </w:tc>
        <w:tc>
          <w:tcPr>
            <w:tcW w:w="1701" w:type="dxa"/>
            <w:tcBorders>
              <w:top w:val="nil"/>
              <w:bottom w:val="single" w:sz="4" w:space="0" w:color="auto"/>
            </w:tcBorders>
            <w:vAlign w:val="center"/>
          </w:tcPr>
          <w:p w14:paraId="0ECE7BFD" w14:textId="538A1386" w:rsidR="00F46A66" w:rsidRPr="00407404" w:rsidRDefault="00F46A66" w:rsidP="002F131C">
            <w:pPr>
              <w:jc w:val="right"/>
              <w:rPr>
                <w:rFonts w:ascii="Montserrat Medium" w:eastAsia="Times New Roman" w:hAnsi="Montserrat Medium" w:cs="Arial"/>
                <w:sz w:val="18"/>
                <w:szCs w:val="18"/>
                <w:lang w:eastAsia="en-US"/>
              </w:rPr>
            </w:pPr>
            <w:r w:rsidRPr="00407404">
              <w:rPr>
                <w:rFonts w:ascii="Montserrat Medium" w:hAnsi="Montserrat Medium" w:cs="Calibri"/>
                <w:color w:val="000000"/>
                <w:sz w:val="18"/>
                <w:szCs w:val="18"/>
              </w:rPr>
              <w:t>1,000,000.00</w:t>
            </w:r>
          </w:p>
        </w:tc>
      </w:tr>
      <w:tr w:rsidR="00F46A66" w:rsidRPr="00407404" w14:paraId="45F03F13" w14:textId="54AEEFAA" w:rsidTr="00257A6B">
        <w:trPr>
          <w:trHeight w:hRule="exact" w:val="227"/>
        </w:trPr>
        <w:tc>
          <w:tcPr>
            <w:tcW w:w="61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5ED8467" w14:textId="727F5DF3" w:rsidR="00F46A66" w:rsidRPr="00407404" w:rsidRDefault="00F46A66" w:rsidP="002F131C">
            <w:pPr>
              <w:rPr>
                <w:rFonts w:ascii="Montserrat Medium" w:eastAsia="Times New Roman" w:hAnsi="Montserrat Medium" w:cs="Arial"/>
                <w:sz w:val="18"/>
                <w:szCs w:val="18"/>
                <w:lang w:eastAsia="en-US"/>
              </w:rPr>
            </w:pPr>
            <w:r w:rsidRPr="00407404">
              <w:rPr>
                <w:rFonts w:ascii="Montserrat Medium" w:eastAsia="Times New Roman" w:hAnsi="Montserrat Medium" w:cs="Arial"/>
                <w:sz w:val="18"/>
                <w:szCs w:val="18"/>
                <w:lang w:eastAsia="en-US"/>
              </w:rPr>
              <w:t xml:space="preserve">    Deudores diversos del extinto INFOVIR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FD48A5" w14:textId="11FF3186" w:rsidR="00F46A66" w:rsidRPr="00407404" w:rsidRDefault="00F46A66" w:rsidP="002F131C">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339,394.78</w:t>
            </w:r>
          </w:p>
        </w:tc>
        <w:tc>
          <w:tcPr>
            <w:tcW w:w="1701" w:type="dxa"/>
            <w:tcBorders>
              <w:top w:val="single" w:sz="4" w:space="0" w:color="auto"/>
              <w:bottom w:val="single" w:sz="4" w:space="0" w:color="auto"/>
            </w:tcBorders>
            <w:vAlign w:val="center"/>
          </w:tcPr>
          <w:p w14:paraId="562D25C6" w14:textId="0C42F35B" w:rsidR="00F46A66" w:rsidRPr="00407404" w:rsidRDefault="00F46A66" w:rsidP="002F131C">
            <w:pPr>
              <w:jc w:val="right"/>
              <w:rPr>
                <w:rFonts w:ascii="Montserrat Medium" w:eastAsia="Times New Roman" w:hAnsi="Montserrat Medium" w:cs="Arial"/>
                <w:sz w:val="18"/>
                <w:szCs w:val="18"/>
                <w:lang w:eastAsia="en-US"/>
              </w:rPr>
            </w:pPr>
            <w:r w:rsidRPr="00407404">
              <w:rPr>
                <w:rFonts w:ascii="Montserrat Medium" w:hAnsi="Montserrat Medium" w:cs="Calibri"/>
                <w:color w:val="000000"/>
                <w:sz w:val="18"/>
                <w:szCs w:val="18"/>
              </w:rPr>
              <w:t>339,394.78</w:t>
            </w:r>
          </w:p>
        </w:tc>
      </w:tr>
      <w:tr w:rsidR="00F46A66" w:rsidRPr="00407404" w14:paraId="30EFBB2B" w14:textId="60E74334" w:rsidTr="00257A6B">
        <w:trPr>
          <w:trHeight w:hRule="exact" w:val="227"/>
        </w:trPr>
        <w:tc>
          <w:tcPr>
            <w:tcW w:w="6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09CB6" w14:textId="77777777" w:rsidR="00F46A66" w:rsidRPr="00407404" w:rsidRDefault="00F46A66" w:rsidP="002F131C">
            <w:pPr>
              <w:ind w:left="2"/>
              <w:jc w:val="both"/>
              <w:rPr>
                <w:rFonts w:ascii="Montserrat Medium" w:eastAsia="Times New Roman" w:hAnsi="Montserrat Medium" w:cs="Arial"/>
                <w:b/>
                <w:sz w:val="18"/>
                <w:szCs w:val="18"/>
                <w:lang w:eastAsia="en-US"/>
              </w:rPr>
            </w:pPr>
            <w:r w:rsidRPr="00407404">
              <w:rPr>
                <w:rFonts w:ascii="Montserrat Medium" w:eastAsia="Times New Roman" w:hAnsi="Montserrat Medium" w:cs="Tahoma"/>
                <w:b/>
                <w:bCs/>
                <w:sz w:val="18"/>
                <w:szCs w:val="18"/>
                <w:lang w:eastAsia="en-US"/>
              </w:rPr>
              <w:t>Total</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E78BFAC" w14:textId="6BA60C28" w:rsidR="00F46A66" w:rsidRPr="00407404" w:rsidRDefault="00F46A66" w:rsidP="002F131C">
            <w:pPr>
              <w:ind w:left="351" w:hanging="351"/>
              <w:jc w:val="right"/>
              <w:rPr>
                <w:rFonts w:ascii="Montserrat Medium" w:eastAsia="Times New Roman" w:hAnsi="Montserrat Medium" w:cs="Tahoma"/>
                <w:b/>
                <w:bCs/>
                <w:sz w:val="18"/>
                <w:szCs w:val="18"/>
                <w:lang w:eastAsia="en-US"/>
              </w:rPr>
            </w:pPr>
            <w:r>
              <w:rPr>
                <w:rFonts w:ascii="Montserrat Medium" w:hAnsi="Montserrat Medium" w:cs="Calibri"/>
                <w:b/>
                <w:bCs/>
                <w:color w:val="000000"/>
                <w:sz w:val="18"/>
                <w:szCs w:val="18"/>
              </w:rPr>
              <w:t>244,608,213.23</w:t>
            </w:r>
          </w:p>
        </w:tc>
        <w:tc>
          <w:tcPr>
            <w:tcW w:w="1701" w:type="dxa"/>
            <w:tcBorders>
              <w:top w:val="single" w:sz="4" w:space="0" w:color="auto"/>
              <w:bottom w:val="single" w:sz="4" w:space="0" w:color="auto"/>
            </w:tcBorders>
            <w:vAlign w:val="center"/>
          </w:tcPr>
          <w:p w14:paraId="230A125C" w14:textId="38D2D268" w:rsidR="00F46A66" w:rsidRPr="00407404" w:rsidRDefault="00F46A66" w:rsidP="002F131C">
            <w:pPr>
              <w:jc w:val="right"/>
              <w:rPr>
                <w:rFonts w:ascii="Montserrat Medium" w:eastAsia="Times New Roman" w:hAnsi="Montserrat Medium" w:cs="Arial"/>
                <w:b/>
                <w:sz w:val="18"/>
                <w:szCs w:val="18"/>
                <w:lang w:eastAsia="en-US"/>
              </w:rPr>
            </w:pPr>
            <w:r w:rsidRPr="00407404">
              <w:rPr>
                <w:rFonts w:ascii="Montserrat Medium" w:hAnsi="Montserrat Medium" w:cs="Calibri"/>
                <w:b/>
                <w:bCs/>
                <w:color w:val="000000"/>
                <w:sz w:val="18"/>
                <w:szCs w:val="18"/>
              </w:rPr>
              <w:t>247,076,301.03</w:t>
            </w:r>
          </w:p>
        </w:tc>
      </w:tr>
      <w:tr w:rsidR="00700992" w:rsidRPr="00407404" w14:paraId="6F159A9B" w14:textId="77777777" w:rsidTr="00257A6B">
        <w:trPr>
          <w:gridAfter w:val="2"/>
          <w:wAfter w:w="1905" w:type="dxa"/>
          <w:trHeight w:hRule="exact" w:val="227"/>
        </w:trPr>
        <w:tc>
          <w:tcPr>
            <w:tcW w:w="6166" w:type="dxa"/>
            <w:tcBorders>
              <w:top w:val="single" w:sz="4" w:space="0" w:color="auto"/>
              <w:left w:val="nil"/>
              <w:bottom w:val="nil"/>
              <w:right w:val="nil"/>
            </w:tcBorders>
            <w:shd w:val="clear" w:color="auto" w:fill="auto"/>
            <w:noWrap/>
            <w:vAlign w:val="center"/>
          </w:tcPr>
          <w:p w14:paraId="77EC3E21" w14:textId="77777777" w:rsidR="00700992" w:rsidRPr="00407404" w:rsidRDefault="00700992" w:rsidP="002F131C">
            <w:pPr>
              <w:ind w:left="2"/>
              <w:jc w:val="both"/>
              <w:rPr>
                <w:rFonts w:ascii="Montserrat Medium" w:eastAsia="Times New Roman" w:hAnsi="Montserrat Medium" w:cs="Tahoma"/>
                <w:b/>
                <w:bCs/>
                <w:sz w:val="18"/>
                <w:szCs w:val="18"/>
                <w:lang w:eastAsia="en-US"/>
              </w:rPr>
            </w:pPr>
          </w:p>
          <w:p w14:paraId="3D186C34" w14:textId="77777777" w:rsidR="00700992" w:rsidRPr="00407404" w:rsidRDefault="00700992" w:rsidP="002F131C">
            <w:pPr>
              <w:ind w:left="2"/>
              <w:jc w:val="both"/>
              <w:rPr>
                <w:rFonts w:ascii="Montserrat Medium" w:eastAsia="Times New Roman" w:hAnsi="Montserrat Medium" w:cs="Tahoma"/>
                <w:b/>
                <w:bCs/>
                <w:sz w:val="18"/>
                <w:szCs w:val="18"/>
                <w:lang w:eastAsia="en-US"/>
              </w:rPr>
            </w:pPr>
          </w:p>
          <w:p w14:paraId="6CFBD63D" w14:textId="77777777" w:rsidR="00700992" w:rsidRPr="00407404" w:rsidRDefault="00700992" w:rsidP="002F131C">
            <w:pPr>
              <w:ind w:left="2"/>
              <w:jc w:val="both"/>
              <w:rPr>
                <w:rFonts w:ascii="Montserrat Medium" w:eastAsia="Times New Roman" w:hAnsi="Montserrat Medium" w:cs="Tahoma"/>
                <w:b/>
                <w:bCs/>
                <w:sz w:val="18"/>
                <w:szCs w:val="18"/>
                <w:lang w:eastAsia="en-US"/>
              </w:rPr>
            </w:pPr>
          </w:p>
        </w:tc>
        <w:tc>
          <w:tcPr>
            <w:tcW w:w="1497" w:type="dxa"/>
            <w:tcBorders>
              <w:top w:val="single" w:sz="4" w:space="0" w:color="auto"/>
              <w:left w:val="nil"/>
              <w:bottom w:val="nil"/>
              <w:right w:val="nil"/>
            </w:tcBorders>
          </w:tcPr>
          <w:p w14:paraId="1456C9B7" w14:textId="77777777" w:rsidR="00700992" w:rsidRPr="00407404" w:rsidRDefault="00700992" w:rsidP="002F131C">
            <w:pPr>
              <w:jc w:val="right"/>
              <w:rPr>
                <w:rFonts w:ascii="Montserrat Medium" w:eastAsia="Times New Roman" w:hAnsi="Montserrat Medium" w:cs="Arial"/>
                <w:b/>
                <w:sz w:val="18"/>
                <w:szCs w:val="18"/>
                <w:lang w:eastAsia="en-US"/>
              </w:rPr>
            </w:pPr>
          </w:p>
        </w:tc>
      </w:tr>
    </w:tbl>
    <w:p w14:paraId="2371B405" w14:textId="77777777" w:rsidR="008C25D8" w:rsidRPr="00407404" w:rsidRDefault="008C25D8" w:rsidP="002F131C">
      <w:pPr>
        <w:autoSpaceDE w:val="0"/>
        <w:autoSpaceDN w:val="0"/>
        <w:adjustRightInd w:val="0"/>
        <w:jc w:val="both"/>
        <w:rPr>
          <w:rFonts w:ascii="Montserrat Medium" w:eastAsia="Times New Roman" w:hAnsi="Montserrat Medium" w:cs="Arial"/>
          <w:color w:val="595959"/>
          <w:sz w:val="22"/>
          <w:szCs w:val="22"/>
          <w:lang w:eastAsia="en-US"/>
        </w:rPr>
      </w:pPr>
    </w:p>
    <w:p w14:paraId="7A16637D" w14:textId="328259C4" w:rsidR="004F1F55" w:rsidRDefault="003017D1" w:rsidP="002F131C">
      <w:pPr>
        <w:autoSpaceDE w:val="0"/>
        <w:autoSpaceDN w:val="0"/>
        <w:adjustRightInd w:val="0"/>
        <w:jc w:val="both"/>
        <w:rPr>
          <w:rFonts w:ascii="Montserrat Medium" w:eastAsia="Times New Roman" w:hAnsi="Montserrat Medium" w:cs="Arial"/>
          <w:color w:val="595959"/>
          <w:sz w:val="22"/>
          <w:szCs w:val="22"/>
          <w:lang w:eastAsia="en-US"/>
        </w:rPr>
      </w:pPr>
      <w:r w:rsidRPr="003017D1">
        <w:rPr>
          <w:rFonts w:ascii="Montserrat Medium" w:eastAsia="Times New Roman" w:hAnsi="Montserrat Medium" w:cs="Arial"/>
          <w:color w:val="595959"/>
          <w:sz w:val="22"/>
          <w:szCs w:val="22"/>
          <w:lang w:eastAsia="en-US"/>
        </w:rPr>
        <w:t>Al 30 de junio de 2025, las cuentas de documentos por cobrar a largo plazo y cuentas por cobrar de SEDETUS incluyen saldos considerados morosos a 360 días (12 meses) de vencimiento en adelante que ascienden a 241</w:t>
      </w:r>
      <w:proofErr w:type="gramStart"/>
      <w:r w:rsidRPr="003017D1">
        <w:rPr>
          <w:rFonts w:ascii="Montserrat Medium" w:eastAsia="Times New Roman" w:hAnsi="Montserrat Medium" w:cs="Arial"/>
          <w:color w:val="595959"/>
          <w:sz w:val="22"/>
          <w:szCs w:val="22"/>
          <w:lang w:eastAsia="en-US"/>
        </w:rPr>
        <w:t>,562,151.63</w:t>
      </w:r>
      <w:proofErr w:type="gramEnd"/>
      <w:r w:rsidRPr="003017D1">
        <w:rPr>
          <w:rFonts w:ascii="Montserrat Medium" w:eastAsia="Times New Roman" w:hAnsi="Montserrat Medium" w:cs="Arial"/>
          <w:color w:val="595959"/>
          <w:sz w:val="22"/>
          <w:szCs w:val="22"/>
          <w:lang w:eastAsia="en-US"/>
        </w:rPr>
        <w:t xml:space="preserve"> pesos.</w:t>
      </w:r>
      <w:r w:rsidR="004F1F55" w:rsidRPr="00407404">
        <w:rPr>
          <w:rFonts w:ascii="Montserrat Medium" w:eastAsia="Times New Roman" w:hAnsi="Montserrat Medium" w:cs="Arial"/>
          <w:color w:val="595959"/>
          <w:sz w:val="22"/>
          <w:szCs w:val="22"/>
          <w:lang w:eastAsia="en-US"/>
        </w:rPr>
        <w:t xml:space="preserve"> </w:t>
      </w:r>
    </w:p>
    <w:p w14:paraId="4DBA831A" w14:textId="77777777" w:rsidR="003017D1" w:rsidRPr="00407404" w:rsidRDefault="003017D1" w:rsidP="002F131C">
      <w:pPr>
        <w:autoSpaceDE w:val="0"/>
        <w:autoSpaceDN w:val="0"/>
        <w:adjustRightInd w:val="0"/>
        <w:jc w:val="both"/>
        <w:rPr>
          <w:rFonts w:ascii="Montserrat Medium" w:eastAsia="Times New Roman" w:hAnsi="Montserrat Medium" w:cs="Arial"/>
          <w:color w:val="595959"/>
          <w:sz w:val="22"/>
          <w:szCs w:val="22"/>
          <w:lang w:eastAsia="en-US"/>
        </w:rPr>
      </w:pPr>
    </w:p>
    <w:p w14:paraId="47F3B037" w14:textId="77777777" w:rsidR="004F1F55" w:rsidRPr="00407404" w:rsidRDefault="004F1F55" w:rsidP="002F131C">
      <w:pPr>
        <w:autoSpaceDE w:val="0"/>
        <w:autoSpaceDN w:val="0"/>
        <w:adjustRightInd w:val="0"/>
        <w:jc w:val="both"/>
        <w:rPr>
          <w:rFonts w:ascii="Montserrat Medium" w:eastAsia="Times New Roman" w:hAnsi="Montserrat Medium" w:cs="Arial"/>
          <w:color w:val="595959"/>
          <w:sz w:val="22"/>
          <w:szCs w:val="22"/>
          <w:lang w:eastAsia="en-US"/>
        </w:rPr>
      </w:pPr>
      <w:r w:rsidRPr="00407404">
        <w:rPr>
          <w:rFonts w:ascii="Montserrat Medium" w:eastAsia="Times New Roman" w:hAnsi="Montserrat Medium" w:cs="Arial"/>
          <w:color w:val="595959"/>
          <w:sz w:val="22"/>
          <w:szCs w:val="22"/>
          <w:lang w:eastAsia="en-US"/>
        </w:rPr>
        <w:t xml:space="preserve">Con la publicación del Decreto 083 en el Periódico Oficial del Estado de Quintana Roo, la Secretaría de Desarrollo Urbano y Vivienda (SEDUVI), cambió su denominación, convirtiéndose a partir del 19 de julio de 2017 en Secretaría de Desarrollo Territorial Urbano Sustentable (SEDETUS). </w:t>
      </w:r>
    </w:p>
    <w:p w14:paraId="075B97F8" w14:textId="77777777" w:rsidR="00EC1A3D" w:rsidRPr="00407404" w:rsidRDefault="00EC1A3D" w:rsidP="002F131C">
      <w:pPr>
        <w:autoSpaceDE w:val="0"/>
        <w:autoSpaceDN w:val="0"/>
        <w:adjustRightInd w:val="0"/>
        <w:jc w:val="both"/>
        <w:rPr>
          <w:rFonts w:ascii="Montserrat Medium" w:eastAsia="Times New Roman" w:hAnsi="Montserrat Medium" w:cs="Arial"/>
          <w:color w:val="595959"/>
          <w:sz w:val="22"/>
          <w:szCs w:val="22"/>
          <w:lang w:eastAsia="en-US"/>
        </w:rPr>
      </w:pPr>
    </w:p>
    <w:p w14:paraId="4A625683" w14:textId="77777777" w:rsidR="001E3866" w:rsidRPr="00D56579" w:rsidRDefault="005853F2" w:rsidP="002F131C">
      <w:pPr>
        <w:rPr>
          <w:rFonts w:ascii="Montserrat Medium" w:eastAsia="Times New Roman" w:hAnsi="Montserrat Medium" w:cs="Arial"/>
          <w:b/>
          <w:iCs/>
          <w:color w:val="595959"/>
          <w:sz w:val="22"/>
          <w:szCs w:val="22"/>
        </w:rPr>
      </w:pPr>
      <w:r w:rsidRPr="00407404">
        <w:rPr>
          <w:rFonts w:ascii="Montserrat Medium" w:eastAsia="Times New Roman" w:hAnsi="Montserrat Medium" w:cs="Arial"/>
          <w:b/>
          <w:iCs/>
          <w:color w:val="595959"/>
          <w:sz w:val="22"/>
          <w:szCs w:val="22"/>
        </w:rPr>
        <w:t xml:space="preserve">8. </w:t>
      </w:r>
      <w:r w:rsidR="000B56CF" w:rsidRPr="00407404">
        <w:rPr>
          <w:rFonts w:ascii="Montserrat Medium" w:eastAsia="Times New Roman" w:hAnsi="Montserrat Medium" w:cs="Arial"/>
          <w:b/>
          <w:iCs/>
          <w:color w:val="595959"/>
          <w:sz w:val="22"/>
          <w:szCs w:val="22"/>
        </w:rPr>
        <w:t>Bienes M</w:t>
      </w:r>
      <w:r w:rsidR="001E3866" w:rsidRPr="00407404">
        <w:rPr>
          <w:rFonts w:ascii="Montserrat Medium" w:eastAsia="Times New Roman" w:hAnsi="Montserrat Medium" w:cs="Arial"/>
          <w:b/>
          <w:iCs/>
          <w:color w:val="595959"/>
          <w:sz w:val="22"/>
          <w:szCs w:val="22"/>
        </w:rPr>
        <w:t>uebles,</w:t>
      </w:r>
      <w:r w:rsidR="000B56CF" w:rsidRPr="00407404">
        <w:rPr>
          <w:rFonts w:ascii="Montserrat Medium" w:eastAsia="Times New Roman" w:hAnsi="Montserrat Medium" w:cs="Arial"/>
          <w:b/>
          <w:iCs/>
          <w:color w:val="595959"/>
          <w:sz w:val="22"/>
          <w:szCs w:val="22"/>
        </w:rPr>
        <w:t xml:space="preserve"> Inmuebles e Intangibles</w:t>
      </w:r>
      <w:r w:rsidR="001E3866" w:rsidRPr="00D56579">
        <w:rPr>
          <w:rFonts w:ascii="Montserrat Medium" w:eastAsia="Times New Roman" w:hAnsi="Montserrat Medium" w:cs="Arial"/>
          <w:b/>
          <w:iCs/>
          <w:color w:val="595959"/>
          <w:sz w:val="22"/>
          <w:szCs w:val="22"/>
        </w:rPr>
        <w:t xml:space="preserve"> </w:t>
      </w:r>
    </w:p>
    <w:p w14:paraId="399DC412" w14:textId="77777777" w:rsidR="008079BB" w:rsidRPr="00D56579" w:rsidRDefault="008079BB" w:rsidP="002F131C">
      <w:pPr>
        <w:jc w:val="both"/>
        <w:rPr>
          <w:rFonts w:ascii="Montserrat Medium" w:eastAsia="Times New Roman" w:hAnsi="Montserrat Medium" w:cs="Tahoma"/>
          <w:b/>
          <w:color w:val="595959"/>
          <w:sz w:val="22"/>
          <w:szCs w:val="22"/>
          <w:lang w:eastAsia="en-US"/>
        </w:rPr>
      </w:pPr>
    </w:p>
    <w:p w14:paraId="7477B044" w14:textId="580EF607" w:rsidR="00125A6A" w:rsidRDefault="001E3866" w:rsidP="002F131C">
      <w:pPr>
        <w:jc w:val="both"/>
        <w:rPr>
          <w:rFonts w:ascii="Montserrat Medium" w:eastAsia="Times New Roman" w:hAnsi="Montserrat Medium" w:cs="Arial"/>
          <w:color w:val="595959"/>
          <w:sz w:val="22"/>
          <w:szCs w:val="22"/>
          <w:lang w:eastAsia="en-US"/>
        </w:rPr>
      </w:pPr>
      <w:r w:rsidRPr="00D56579">
        <w:rPr>
          <w:rFonts w:ascii="Montserrat Medium" w:eastAsia="Times New Roman" w:hAnsi="Montserrat Medium" w:cs="Arial"/>
          <w:color w:val="595959"/>
          <w:sz w:val="22"/>
          <w:szCs w:val="22"/>
          <w:lang w:eastAsia="en-US"/>
        </w:rPr>
        <w:t>Representa el monto de todo tipo de bienes inmuebles, infraestructura y construcciones; así como los gastos derivados de actos de su adquisición, adjudicación, expropiación e indemnización y los que se generen por estudios de pre inversión</w:t>
      </w:r>
      <w:r w:rsidR="005853F2" w:rsidRPr="00D56579">
        <w:rPr>
          <w:rFonts w:ascii="Montserrat Medium" w:eastAsia="Times New Roman" w:hAnsi="Montserrat Medium" w:cs="Arial"/>
          <w:color w:val="595959"/>
          <w:sz w:val="22"/>
          <w:szCs w:val="22"/>
          <w:lang w:eastAsia="en-US"/>
        </w:rPr>
        <w:t>,</w:t>
      </w:r>
      <w:r w:rsidRPr="00D56579">
        <w:rPr>
          <w:rFonts w:ascii="Montserrat Medium" w:eastAsia="Times New Roman" w:hAnsi="Montserrat Medium" w:cs="Arial"/>
          <w:color w:val="595959"/>
          <w:sz w:val="22"/>
          <w:szCs w:val="22"/>
          <w:lang w:eastAsia="en-US"/>
        </w:rPr>
        <w:t xml:space="preserve"> cuando se realice</w:t>
      </w:r>
      <w:r w:rsidR="00453AAB" w:rsidRPr="00D56579">
        <w:rPr>
          <w:rFonts w:ascii="Montserrat Medium" w:eastAsia="Times New Roman" w:hAnsi="Montserrat Medium" w:cs="Arial"/>
          <w:color w:val="595959"/>
          <w:sz w:val="22"/>
          <w:szCs w:val="22"/>
          <w:lang w:eastAsia="en-US"/>
        </w:rPr>
        <w:t>n por causas de interés público. A</w:t>
      </w:r>
      <w:r w:rsidR="00A4586C" w:rsidRPr="00D56579">
        <w:rPr>
          <w:rFonts w:ascii="Montserrat Medium" w:eastAsia="Times New Roman" w:hAnsi="Montserrat Medium" w:cs="Arial"/>
          <w:color w:val="595959"/>
          <w:sz w:val="22"/>
          <w:szCs w:val="22"/>
          <w:lang w:eastAsia="en-US"/>
        </w:rPr>
        <w:t>l 3</w:t>
      </w:r>
      <w:r w:rsidR="00AB7FD4">
        <w:rPr>
          <w:rFonts w:ascii="Montserrat Medium" w:eastAsia="Times New Roman" w:hAnsi="Montserrat Medium" w:cs="Arial"/>
          <w:color w:val="595959"/>
          <w:sz w:val="22"/>
          <w:szCs w:val="22"/>
          <w:lang w:eastAsia="en-US"/>
        </w:rPr>
        <w:t>0</w:t>
      </w:r>
      <w:r w:rsidR="00A4586C" w:rsidRPr="00D56579">
        <w:rPr>
          <w:rFonts w:ascii="Montserrat Medium" w:eastAsia="Times New Roman" w:hAnsi="Montserrat Medium" w:cs="Arial"/>
          <w:color w:val="595959"/>
          <w:sz w:val="22"/>
          <w:szCs w:val="22"/>
          <w:lang w:eastAsia="en-US"/>
        </w:rPr>
        <w:t xml:space="preserve"> de </w:t>
      </w:r>
      <w:r w:rsidR="00AB7FD4">
        <w:rPr>
          <w:rFonts w:ascii="Montserrat Medium" w:eastAsia="Times New Roman" w:hAnsi="Montserrat Medium" w:cs="Arial"/>
          <w:color w:val="595959"/>
          <w:sz w:val="22"/>
          <w:szCs w:val="22"/>
          <w:lang w:eastAsia="en-US"/>
        </w:rPr>
        <w:t>junio</w:t>
      </w:r>
      <w:r w:rsidR="00A4586C" w:rsidRPr="00D56579">
        <w:rPr>
          <w:rFonts w:ascii="Montserrat Medium" w:eastAsia="Times New Roman" w:hAnsi="Montserrat Medium" w:cs="Arial"/>
          <w:color w:val="595959"/>
          <w:sz w:val="22"/>
          <w:szCs w:val="22"/>
          <w:lang w:eastAsia="en-US"/>
        </w:rPr>
        <w:t xml:space="preserve"> de 202</w:t>
      </w:r>
      <w:r w:rsidR="00C61146">
        <w:rPr>
          <w:rFonts w:ascii="Montserrat Medium" w:eastAsia="Times New Roman" w:hAnsi="Montserrat Medium" w:cs="Arial"/>
          <w:color w:val="595959"/>
          <w:sz w:val="22"/>
          <w:szCs w:val="22"/>
          <w:lang w:eastAsia="en-US"/>
        </w:rPr>
        <w:t>5</w:t>
      </w:r>
      <w:r w:rsidR="00700992" w:rsidRPr="00D56579">
        <w:rPr>
          <w:rFonts w:ascii="Montserrat Medium" w:eastAsia="Times New Roman" w:hAnsi="Montserrat Medium" w:cs="Arial"/>
          <w:color w:val="595959"/>
          <w:sz w:val="22"/>
          <w:szCs w:val="22"/>
          <w:lang w:eastAsia="en-US"/>
        </w:rPr>
        <w:t xml:space="preserve"> y ejercicio </w:t>
      </w:r>
      <w:r w:rsidR="00322857" w:rsidRPr="00D56579">
        <w:rPr>
          <w:rFonts w:ascii="Montserrat Medium" w:eastAsia="Times New Roman" w:hAnsi="Montserrat Medium" w:cs="Arial"/>
          <w:color w:val="595959"/>
          <w:sz w:val="22"/>
          <w:szCs w:val="22"/>
          <w:lang w:eastAsia="en-US"/>
        </w:rPr>
        <w:t xml:space="preserve">fiscal </w:t>
      </w:r>
      <w:r w:rsidR="00700992" w:rsidRPr="00D56579">
        <w:rPr>
          <w:rFonts w:ascii="Montserrat Medium" w:eastAsia="Times New Roman" w:hAnsi="Montserrat Medium" w:cs="Arial"/>
          <w:color w:val="595959"/>
          <w:sz w:val="22"/>
          <w:szCs w:val="22"/>
          <w:lang w:eastAsia="en-US"/>
        </w:rPr>
        <w:t>202</w:t>
      </w:r>
      <w:r w:rsidR="00C61146">
        <w:rPr>
          <w:rFonts w:ascii="Montserrat Medium" w:eastAsia="Times New Roman" w:hAnsi="Montserrat Medium" w:cs="Arial"/>
          <w:color w:val="595959"/>
          <w:sz w:val="22"/>
          <w:szCs w:val="22"/>
          <w:lang w:eastAsia="en-US"/>
        </w:rPr>
        <w:t>4</w:t>
      </w:r>
      <w:r w:rsidR="00453AAB" w:rsidRPr="00D56579">
        <w:rPr>
          <w:rFonts w:ascii="Montserrat Medium" w:eastAsia="Times New Roman" w:hAnsi="Montserrat Medium" w:cs="Arial"/>
          <w:color w:val="595959"/>
          <w:sz w:val="22"/>
          <w:szCs w:val="22"/>
          <w:lang w:eastAsia="en-US"/>
        </w:rPr>
        <w:t>, se integra como se enlista a continuación:</w:t>
      </w:r>
    </w:p>
    <w:p w14:paraId="5A584E28" w14:textId="77777777" w:rsidR="00804833" w:rsidRDefault="00804833" w:rsidP="002F131C">
      <w:pPr>
        <w:jc w:val="both"/>
        <w:rPr>
          <w:rFonts w:ascii="Montserrat Medium" w:eastAsia="Times New Roman" w:hAnsi="Montserrat Medium" w:cs="Arial"/>
          <w:color w:val="595959"/>
          <w:sz w:val="22"/>
          <w:szCs w:val="22"/>
          <w:lang w:eastAsia="en-US"/>
        </w:rPr>
      </w:pPr>
    </w:p>
    <w:p w14:paraId="011E479F" w14:textId="77777777" w:rsidR="00766DD6" w:rsidRPr="00D56579" w:rsidRDefault="001C534D" w:rsidP="002F131C">
      <w:pPr>
        <w:jc w:val="both"/>
        <w:rPr>
          <w:rFonts w:ascii="Montserrat Medium" w:eastAsia="Times New Roman" w:hAnsi="Montserrat Medium" w:cs="Arial"/>
          <w:b/>
          <w:color w:val="595959"/>
          <w:sz w:val="22"/>
          <w:szCs w:val="22"/>
          <w:lang w:eastAsia="en-US"/>
        </w:rPr>
      </w:pPr>
      <w:r w:rsidRPr="00D56579">
        <w:rPr>
          <w:rFonts w:ascii="Montserrat Medium" w:eastAsia="Times New Roman" w:hAnsi="Montserrat Medium" w:cs="Arial"/>
          <w:b/>
          <w:color w:val="595959"/>
          <w:sz w:val="22"/>
          <w:szCs w:val="22"/>
          <w:lang w:eastAsia="en-US"/>
        </w:rPr>
        <w:t>8.</w:t>
      </w:r>
      <w:r w:rsidR="00CF0B6B" w:rsidRPr="00D56579">
        <w:rPr>
          <w:rFonts w:ascii="Montserrat Medium" w:eastAsia="Times New Roman" w:hAnsi="Montserrat Medium" w:cs="Arial"/>
          <w:b/>
          <w:color w:val="595959"/>
          <w:sz w:val="22"/>
          <w:szCs w:val="22"/>
          <w:lang w:eastAsia="en-US"/>
        </w:rPr>
        <w:t>1</w:t>
      </w:r>
      <w:r w:rsidR="009D646D" w:rsidRPr="00D56579">
        <w:rPr>
          <w:rFonts w:ascii="Montserrat Medium" w:eastAsia="Times New Roman" w:hAnsi="Montserrat Medium" w:cs="Arial"/>
          <w:b/>
          <w:color w:val="595959"/>
          <w:sz w:val="22"/>
          <w:szCs w:val="22"/>
          <w:lang w:eastAsia="en-US"/>
        </w:rPr>
        <w:t xml:space="preserve"> </w:t>
      </w:r>
      <w:r w:rsidR="00766DD6" w:rsidRPr="00D56579">
        <w:rPr>
          <w:rFonts w:ascii="Montserrat Medium" w:eastAsia="Times New Roman" w:hAnsi="Montserrat Medium" w:cs="Arial"/>
          <w:b/>
          <w:color w:val="595959"/>
          <w:sz w:val="22"/>
          <w:szCs w:val="22"/>
          <w:lang w:eastAsia="en-US"/>
        </w:rPr>
        <w:t>Bienes Inmuebles</w:t>
      </w:r>
    </w:p>
    <w:p w14:paraId="7CF8E4CF" w14:textId="77777777" w:rsidR="004F67B8" w:rsidRPr="00D56579" w:rsidRDefault="004F67B8" w:rsidP="002F131C">
      <w:pPr>
        <w:jc w:val="both"/>
        <w:rPr>
          <w:rFonts w:ascii="Montserrat Medium" w:eastAsia="Times New Roman" w:hAnsi="Montserrat Medium" w:cs="Arial"/>
          <w:b/>
          <w:color w:val="595959"/>
          <w:sz w:val="22"/>
          <w:szCs w:val="22"/>
          <w:lang w:eastAsia="en-US"/>
        </w:rPr>
      </w:pPr>
    </w:p>
    <w:tbl>
      <w:tblPr>
        <w:tblW w:w="8825" w:type="dxa"/>
        <w:jc w:val="center"/>
        <w:tblLayout w:type="fixed"/>
        <w:tblCellMar>
          <w:left w:w="70" w:type="dxa"/>
          <w:right w:w="70" w:type="dxa"/>
        </w:tblCellMar>
        <w:tblLook w:val="04A0" w:firstRow="1" w:lastRow="0" w:firstColumn="1" w:lastColumn="0" w:noHBand="0" w:noVBand="1"/>
      </w:tblPr>
      <w:tblGrid>
        <w:gridCol w:w="5535"/>
        <w:gridCol w:w="1645"/>
        <w:gridCol w:w="1645"/>
      </w:tblGrid>
      <w:tr w:rsidR="00C61146" w:rsidRPr="00D56579" w14:paraId="56EC0F16" w14:textId="77777777" w:rsidTr="006015CD">
        <w:trPr>
          <w:trHeight w:val="437"/>
          <w:tblHeader/>
          <w:jc w:val="center"/>
        </w:trPr>
        <w:tc>
          <w:tcPr>
            <w:tcW w:w="5535"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5220216F" w14:textId="77777777" w:rsidR="00C61146" w:rsidRPr="00D56579" w:rsidRDefault="00C61146" w:rsidP="002F131C">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Concepto</w:t>
            </w:r>
          </w:p>
        </w:tc>
        <w:tc>
          <w:tcPr>
            <w:tcW w:w="1645"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35AF7E7C" w14:textId="59031F7B" w:rsidR="00C61146" w:rsidRPr="00D56579" w:rsidRDefault="00C61146" w:rsidP="002F131C">
            <w:pPr>
              <w:jc w:val="center"/>
              <w:rPr>
                <w:rFonts w:ascii="Montserrat Medium" w:eastAsia="Times New Roman" w:hAnsi="Montserrat Medium" w:cs="Calibri"/>
                <w:b/>
                <w:bCs/>
                <w:color w:val="000000"/>
                <w:sz w:val="18"/>
                <w:szCs w:val="18"/>
                <w:lang w:val="es-MX" w:eastAsia="es-MX"/>
              </w:rPr>
            </w:pPr>
            <w:r>
              <w:rPr>
                <w:rFonts w:ascii="Montserrat Medium" w:hAnsi="Montserrat Medium" w:cs="Calibri"/>
                <w:b/>
                <w:bCs/>
                <w:color w:val="000000"/>
                <w:sz w:val="18"/>
                <w:szCs w:val="18"/>
              </w:rPr>
              <w:t>Al 3</w:t>
            </w:r>
            <w:r w:rsidR="00AB7FD4">
              <w:rPr>
                <w:rFonts w:ascii="Montserrat Medium" w:hAnsi="Montserrat Medium" w:cs="Calibri"/>
                <w:b/>
                <w:bCs/>
                <w:color w:val="000000"/>
                <w:sz w:val="18"/>
                <w:szCs w:val="18"/>
              </w:rPr>
              <w:t>0</w:t>
            </w:r>
            <w:r>
              <w:rPr>
                <w:rFonts w:ascii="Montserrat Medium" w:hAnsi="Montserrat Medium" w:cs="Calibri"/>
                <w:b/>
                <w:bCs/>
                <w:color w:val="000000"/>
                <w:sz w:val="18"/>
                <w:szCs w:val="18"/>
              </w:rPr>
              <w:t xml:space="preserve"> de </w:t>
            </w:r>
            <w:r w:rsidR="00AB7FD4">
              <w:rPr>
                <w:rFonts w:ascii="Montserrat Medium" w:hAnsi="Montserrat Medium" w:cs="Calibri"/>
                <w:b/>
                <w:bCs/>
                <w:color w:val="000000"/>
                <w:sz w:val="18"/>
                <w:szCs w:val="18"/>
              </w:rPr>
              <w:t>Junio</w:t>
            </w:r>
            <w:r>
              <w:rPr>
                <w:rFonts w:ascii="Montserrat Medium" w:hAnsi="Montserrat Medium" w:cs="Calibri"/>
                <w:b/>
                <w:bCs/>
                <w:color w:val="000000"/>
                <w:sz w:val="18"/>
                <w:szCs w:val="18"/>
              </w:rPr>
              <w:t xml:space="preserve"> de 2025</w:t>
            </w:r>
          </w:p>
        </w:tc>
        <w:tc>
          <w:tcPr>
            <w:tcW w:w="1645" w:type="dxa"/>
            <w:tcBorders>
              <w:top w:val="single" w:sz="8" w:space="0" w:color="auto"/>
              <w:left w:val="nil"/>
              <w:bottom w:val="single" w:sz="8" w:space="0" w:color="auto"/>
              <w:right w:val="single" w:sz="4" w:space="0" w:color="auto"/>
            </w:tcBorders>
            <w:shd w:val="clear" w:color="auto" w:fill="BFBFBF" w:themeFill="background1" w:themeFillShade="BF"/>
            <w:vAlign w:val="center"/>
          </w:tcPr>
          <w:p w14:paraId="289428C0" w14:textId="1D4DBF7D" w:rsidR="00C61146" w:rsidRPr="00D56579" w:rsidRDefault="00C61146" w:rsidP="002F131C">
            <w:pPr>
              <w:jc w:val="center"/>
              <w:rPr>
                <w:rFonts w:ascii="Montserrat Medium" w:eastAsia="Times New Roman" w:hAnsi="Montserrat Medium" w:cs="Calibri"/>
                <w:b/>
                <w:bCs/>
                <w:color w:val="000000"/>
                <w:sz w:val="18"/>
                <w:szCs w:val="18"/>
                <w:lang w:eastAsia="es-MX"/>
              </w:rPr>
            </w:pPr>
            <w:r>
              <w:rPr>
                <w:rFonts w:ascii="Montserrat Medium" w:hAnsi="Montserrat Medium" w:cs="Calibri"/>
                <w:b/>
                <w:bCs/>
                <w:color w:val="000000"/>
                <w:sz w:val="18"/>
                <w:szCs w:val="18"/>
              </w:rPr>
              <w:t>2024</w:t>
            </w:r>
          </w:p>
        </w:tc>
      </w:tr>
      <w:tr w:rsidR="00AB7FD4" w:rsidRPr="00D56579" w14:paraId="09FB4851" w14:textId="77777777" w:rsidTr="00153CD3">
        <w:trPr>
          <w:trHeight w:hRule="exact" w:val="227"/>
          <w:jc w:val="center"/>
        </w:trPr>
        <w:tc>
          <w:tcPr>
            <w:tcW w:w="5535" w:type="dxa"/>
            <w:tcBorders>
              <w:top w:val="nil"/>
              <w:left w:val="single" w:sz="8" w:space="0" w:color="auto"/>
              <w:bottom w:val="nil"/>
              <w:right w:val="single" w:sz="8" w:space="0" w:color="auto"/>
            </w:tcBorders>
            <w:shd w:val="clear" w:color="auto" w:fill="auto"/>
            <w:noWrap/>
            <w:vAlign w:val="center"/>
            <w:hideMark/>
          </w:tcPr>
          <w:p w14:paraId="390BA7D1" w14:textId="77777777" w:rsidR="00AB7FD4" w:rsidRPr="00D56579" w:rsidRDefault="00AB7FD4" w:rsidP="002F131C">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 xml:space="preserve">Terrenos </w:t>
            </w:r>
          </w:p>
        </w:tc>
        <w:tc>
          <w:tcPr>
            <w:tcW w:w="1645" w:type="dxa"/>
            <w:tcBorders>
              <w:top w:val="nil"/>
              <w:left w:val="nil"/>
              <w:bottom w:val="nil"/>
              <w:right w:val="single" w:sz="4" w:space="0" w:color="auto"/>
            </w:tcBorders>
            <w:shd w:val="clear" w:color="auto" w:fill="auto"/>
            <w:vAlign w:val="center"/>
            <w:hideMark/>
          </w:tcPr>
          <w:p w14:paraId="0F31DB30" w14:textId="14C42375" w:rsidR="00AB7FD4" w:rsidRPr="00D56579" w:rsidRDefault="00AB7FD4" w:rsidP="002F131C">
            <w:pPr>
              <w:jc w:val="right"/>
              <w:rPr>
                <w:rFonts w:ascii="Montserrat Medium" w:hAnsi="Montserrat Medium"/>
                <w:sz w:val="18"/>
                <w:szCs w:val="18"/>
              </w:rPr>
            </w:pPr>
            <w:r>
              <w:rPr>
                <w:rFonts w:ascii="Montserrat Medium" w:hAnsi="Montserrat Medium" w:cs="Calibri"/>
                <w:color w:val="000000"/>
                <w:sz w:val="18"/>
                <w:szCs w:val="18"/>
              </w:rPr>
              <w:t>101,710,805.78</w:t>
            </w:r>
          </w:p>
        </w:tc>
        <w:tc>
          <w:tcPr>
            <w:tcW w:w="1645" w:type="dxa"/>
            <w:tcBorders>
              <w:top w:val="nil"/>
              <w:left w:val="nil"/>
              <w:bottom w:val="nil"/>
              <w:right w:val="single" w:sz="4" w:space="0" w:color="auto"/>
            </w:tcBorders>
            <w:shd w:val="clear" w:color="auto" w:fill="auto"/>
            <w:vAlign w:val="center"/>
          </w:tcPr>
          <w:p w14:paraId="06B28740" w14:textId="1C0525E4" w:rsidR="00AB7FD4" w:rsidRPr="00D56579" w:rsidRDefault="00AB7FD4" w:rsidP="002F131C">
            <w:pPr>
              <w:jc w:val="right"/>
              <w:rPr>
                <w:rFonts w:ascii="Montserrat Medium" w:hAnsi="Montserrat Medium"/>
                <w:sz w:val="18"/>
                <w:szCs w:val="18"/>
              </w:rPr>
            </w:pPr>
            <w:r>
              <w:rPr>
                <w:rFonts w:ascii="Montserrat Medium" w:hAnsi="Montserrat Medium" w:cs="Calibri"/>
                <w:color w:val="000000"/>
                <w:sz w:val="18"/>
                <w:szCs w:val="18"/>
              </w:rPr>
              <w:t>94,071,668.82</w:t>
            </w:r>
          </w:p>
        </w:tc>
      </w:tr>
      <w:tr w:rsidR="00AB7FD4" w:rsidRPr="00D56579" w14:paraId="47CC8A80" w14:textId="77777777" w:rsidTr="00153CD3">
        <w:trPr>
          <w:trHeight w:hRule="exact" w:val="227"/>
          <w:jc w:val="center"/>
        </w:trPr>
        <w:tc>
          <w:tcPr>
            <w:tcW w:w="5535" w:type="dxa"/>
            <w:tcBorders>
              <w:top w:val="nil"/>
              <w:left w:val="single" w:sz="8" w:space="0" w:color="auto"/>
              <w:bottom w:val="nil"/>
              <w:right w:val="single" w:sz="8" w:space="0" w:color="auto"/>
            </w:tcBorders>
            <w:shd w:val="clear" w:color="auto" w:fill="auto"/>
            <w:noWrap/>
            <w:vAlign w:val="center"/>
            <w:hideMark/>
          </w:tcPr>
          <w:p w14:paraId="08120965" w14:textId="77777777" w:rsidR="00AB7FD4" w:rsidRPr="00D56579" w:rsidRDefault="00AB7FD4" w:rsidP="002F131C">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 xml:space="preserve">Edificios no habitacionales </w:t>
            </w:r>
          </w:p>
        </w:tc>
        <w:tc>
          <w:tcPr>
            <w:tcW w:w="1645" w:type="dxa"/>
            <w:tcBorders>
              <w:top w:val="nil"/>
              <w:left w:val="nil"/>
              <w:bottom w:val="nil"/>
              <w:right w:val="single" w:sz="4" w:space="0" w:color="auto"/>
            </w:tcBorders>
            <w:shd w:val="clear" w:color="auto" w:fill="auto"/>
            <w:vAlign w:val="center"/>
            <w:hideMark/>
          </w:tcPr>
          <w:p w14:paraId="36FF237C" w14:textId="2D97D865" w:rsidR="00AB7FD4" w:rsidRPr="00D56579" w:rsidRDefault="00AB7FD4" w:rsidP="002F131C">
            <w:pPr>
              <w:jc w:val="right"/>
              <w:rPr>
                <w:rFonts w:ascii="Montserrat Medium" w:hAnsi="Montserrat Medium"/>
                <w:sz w:val="18"/>
                <w:szCs w:val="18"/>
              </w:rPr>
            </w:pPr>
            <w:r>
              <w:rPr>
                <w:rFonts w:ascii="Montserrat Medium" w:hAnsi="Montserrat Medium" w:cs="Calibri"/>
                <w:color w:val="000000"/>
                <w:sz w:val="18"/>
                <w:szCs w:val="18"/>
              </w:rPr>
              <w:t>2,545,273,347.55</w:t>
            </w:r>
          </w:p>
        </w:tc>
        <w:tc>
          <w:tcPr>
            <w:tcW w:w="1645" w:type="dxa"/>
            <w:tcBorders>
              <w:top w:val="nil"/>
              <w:left w:val="nil"/>
              <w:bottom w:val="nil"/>
              <w:right w:val="single" w:sz="4" w:space="0" w:color="auto"/>
            </w:tcBorders>
            <w:shd w:val="clear" w:color="auto" w:fill="auto"/>
            <w:vAlign w:val="center"/>
          </w:tcPr>
          <w:p w14:paraId="750123EF" w14:textId="15816182" w:rsidR="00AB7FD4" w:rsidRPr="00D56579" w:rsidRDefault="00AB7FD4" w:rsidP="002F131C">
            <w:pPr>
              <w:jc w:val="right"/>
              <w:rPr>
                <w:rFonts w:ascii="Montserrat Medium" w:hAnsi="Montserrat Medium"/>
                <w:sz w:val="18"/>
                <w:szCs w:val="18"/>
              </w:rPr>
            </w:pPr>
            <w:r>
              <w:rPr>
                <w:rFonts w:ascii="Montserrat Medium" w:hAnsi="Montserrat Medium" w:cs="Calibri"/>
                <w:color w:val="000000"/>
                <w:sz w:val="18"/>
                <w:szCs w:val="18"/>
              </w:rPr>
              <w:t>2,402,041,125.50</w:t>
            </w:r>
          </w:p>
        </w:tc>
      </w:tr>
      <w:tr w:rsidR="00AB7FD4" w:rsidRPr="00D56579" w14:paraId="1025F098" w14:textId="77777777" w:rsidTr="00153CD3">
        <w:trPr>
          <w:trHeight w:hRule="exact" w:val="227"/>
          <w:jc w:val="center"/>
        </w:trPr>
        <w:tc>
          <w:tcPr>
            <w:tcW w:w="5535" w:type="dxa"/>
            <w:tcBorders>
              <w:top w:val="nil"/>
              <w:left w:val="single" w:sz="8" w:space="0" w:color="auto"/>
              <w:right w:val="single" w:sz="8" w:space="0" w:color="auto"/>
            </w:tcBorders>
            <w:shd w:val="clear" w:color="auto" w:fill="auto"/>
            <w:noWrap/>
            <w:vAlign w:val="center"/>
            <w:hideMark/>
          </w:tcPr>
          <w:p w14:paraId="0CEA21F3" w14:textId="77777777" w:rsidR="00AB7FD4" w:rsidRPr="00D56579" w:rsidRDefault="00AB7FD4" w:rsidP="002F131C">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 xml:space="preserve">Construcciones en proceso en bienes de dominio público </w:t>
            </w:r>
          </w:p>
        </w:tc>
        <w:tc>
          <w:tcPr>
            <w:tcW w:w="1645" w:type="dxa"/>
            <w:tcBorders>
              <w:top w:val="nil"/>
              <w:left w:val="nil"/>
              <w:right w:val="single" w:sz="4" w:space="0" w:color="auto"/>
            </w:tcBorders>
            <w:shd w:val="clear" w:color="auto" w:fill="auto"/>
            <w:vAlign w:val="center"/>
            <w:hideMark/>
          </w:tcPr>
          <w:p w14:paraId="0D252BC4" w14:textId="2A89B566" w:rsidR="00AB7FD4" w:rsidRPr="00D56579" w:rsidRDefault="00AB7FD4" w:rsidP="002F131C">
            <w:pPr>
              <w:jc w:val="right"/>
              <w:rPr>
                <w:rFonts w:ascii="Montserrat Medium" w:hAnsi="Montserrat Medium"/>
                <w:sz w:val="18"/>
                <w:szCs w:val="18"/>
              </w:rPr>
            </w:pPr>
            <w:r>
              <w:rPr>
                <w:rFonts w:ascii="Montserrat Medium" w:hAnsi="Montserrat Medium" w:cs="Calibri"/>
                <w:color w:val="000000"/>
                <w:sz w:val="18"/>
                <w:szCs w:val="18"/>
              </w:rPr>
              <w:t>1,124,764,504.57</w:t>
            </w:r>
          </w:p>
        </w:tc>
        <w:tc>
          <w:tcPr>
            <w:tcW w:w="1645" w:type="dxa"/>
            <w:tcBorders>
              <w:top w:val="nil"/>
              <w:left w:val="nil"/>
              <w:right w:val="single" w:sz="4" w:space="0" w:color="auto"/>
            </w:tcBorders>
            <w:shd w:val="clear" w:color="auto" w:fill="auto"/>
            <w:vAlign w:val="center"/>
          </w:tcPr>
          <w:p w14:paraId="660CB26D" w14:textId="7E2AEA0A" w:rsidR="00AB7FD4" w:rsidRPr="00D56579" w:rsidRDefault="00AB7FD4" w:rsidP="002F131C">
            <w:pPr>
              <w:jc w:val="right"/>
              <w:rPr>
                <w:rFonts w:ascii="Montserrat Medium" w:hAnsi="Montserrat Medium"/>
                <w:sz w:val="18"/>
                <w:szCs w:val="18"/>
              </w:rPr>
            </w:pPr>
            <w:r>
              <w:rPr>
                <w:rFonts w:ascii="Montserrat Medium" w:hAnsi="Montserrat Medium" w:cs="Calibri"/>
                <w:color w:val="000000"/>
                <w:sz w:val="18"/>
                <w:szCs w:val="18"/>
              </w:rPr>
              <w:t>1,340,762,848.52</w:t>
            </w:r>
          </w:p>
        </w:tc>
      </w:tr>
      <w:tr w:rsidR="00AB7FD4" w:rsidRPr="00D56579" w14:paraId="6FDAD83A" w14:textId="77777777" w:rsidTr="00153CD3">
        <w:trPr>
          <w:trHeight w:hRule="exact" w:val="227"/>
          <w:jc w:val="center"/>
        </w:trPr>
        <w:tc>
          <w:tcPr>
            <w:tcW w:w="5535" w:type="dxa"/>
            <w:tcBorders>
              <w:top w:val="nil"/>
              <w:left w:val="single" w:sz="8" w:space="0" w:color="auto"/>
              <w:right w:val="single" w:sz="8" w:space="0" w:color="auto"/>
            </w:tcBorders>
            <w:shd w:val="clear" w:color="auto" w:fill="auto"/>
            <w:noWrap/>
            <w:vAlign w:val="center"/>
            <w:hideMark/>
          </w:tcPr>
          <w:p w14:paraId="1A8BA766" w14:textId="77777777" w:rsidR="00AB7FD4" w:rsidRPr="00D56579" w:rsidRDefault="00AB7FD4" w:rsidP="002F131C">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 xml:space="preserve">Construcciones en proceso en bienes propios </w:t>
            </w:r>
          </w:p>
        </w:tc>
        <w:tc>
          <w:tcPr>
            <w:tcW w:w="1645" w:type="dxa"/>
            <w:tcBorders>
              <w:top w:val="nil"/>
              <w:left w:val="nil"/>
              <w:right w:val="single" w:sz="4" w:space="0" w:color="auto"/>
            </w:tcBorders>
            <w:shd w:val="clear" w:color="auto" w:fill="auto"/>
            <w:vAlign w:val="center"/>
            <w:hideMark/>
          </w:tcPr>
          <w:p w14:paraId="7AA1C606" w14:textId="3ADAD4E5" w:rsidR="00AB7FD4" w:rsidRPr="00D56579" w:rsidRDefault="00AB7FD4" w:rsidP="002F131C">
            <w:pPr>
              <w:jc w:val="right"/>
              <w:rPr>
                <w:rFonts w:ascii="Montserrat Medium" w:hAnsi="Montserrat Medium"/>
                <w:sz w:val="18"/>
                <w:szCs w:val="18"/>
              </w:rPr>
            </w:pPr>
            <w:r>
              <w:rPr>
                <w:rFonts w:ascii="Montserrat Medium" w:hAnsi="Montserrat Medium" w:cs="Calibri"/>
                <w:color w:val="000000"/>
                <w:sz w:val="18"/>
                <w:szCs w:val="18"/>
              </w:rPr>
              <w:t>296,418,455.77</w:t>
            </w:r>
          </w:p>
        </w:tc>
        <w:tc>
          <w:tcPr>
            <w:tcW w:w="1645" w:type="dxa"/>
            <w:tcBorders>
              <w:top w:val="nil"/>
              <w:left w:val="nil"/>
              <w:right w:val="single" w:sz="4" w:space="0" w:color="auto"/>
            </w:tcBorders>
            <w:shd w:val="clear" w:color="auto" w:fill="auto"/>
            <w:vAlign w:val="center"/>
          </w:tcPr>
          <w:p w14:paraId="2B36C972" w14:textId="29128B93" w:rsidR="00AB7FD4" w:rsidRPr="00D56579" w:rsidRDefault="00AB7FD4" w:rsidP="002F131C">
            <w:pPr>
              <w:jc w:val="right"/>
              <w:rPr>
                <w:rFonts w:ascii="Montserrat Medium" w:hAnsi="Montserrat Medium"/>
                <w:sz w:val="18"/>
                <w:szCs w:val="18"/>
              </w:rPr>
            </w:pPr>
            <w:r>
              <w:rPr>
                <w:rFonts w:ascii="Montserrat Medium" w:hAnsi="Montserrat Medium" w:cs="Calibri"/>
                <w:color w:val="000000"/>
                <w:sz w:val="18"/>
                <w:szCs w:val="18"/>
              </w:rPr>
              <w:t>197,200,002.26</w:t>
            </w:r>
          </w:p>
        </w:tc>
      </w:tr>
      <w:tr w:rsidR="00AB7FD4" w:rsidRPr="00D56579" w14:paraId="1C013AC3" w14:textId="77777777" w:rsidTr="00153CD3">
        <w:trPr>
          <w:trHeight w:hRule="exact" w:val="227"/>
          <w:jc w:val="center"/>
        </w:trPr>
        <w:tc>
          <w:tcPr>
            <w:tcW w:w="5535" w:type="dxa"/>
            <w:tcBorders>
              <w:left w:val="single" w:sz="8" w:space="0" w:color="auto"/>
              <w:right w:val="single" w:sz="8" w:space="0" w:color="auto"/>
            </w:tcBorders>
            <w:shd w:val="clear" w:color="auto" w:fill="auto"/>
            <w:noWrap/>
            <w:vAlign w:val="center"/>
            <w:hideMark/>
          </w:tcPr>
          <w:p w14:paraId="39A623A7" w14:textId="77777777" w:rsidR="00AB7FD4" w:rsidRPr="00D56579" w:rsidRDefault="00AB7FD4" w:rsidP="002F131C">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 xml:space="preserve">Infraestructura </w:t>
            </w:r>
          </w:p>
        </w:tc>
        <w:tc>
          <w:tcPr>
            <w:tcW w:w="1645" w:type="dxa"/>
            <w:tcBorders>
              <w:left w:val="nil"/>
              <w:right w:val="single" w:sz="4" w:space="0" w:color="auto"/>
            </w:tcBorders>
            <w:shd w:val="clear" w:color="auto" w:fill="auto"/>
            <w:vAlign w:val="center"/>
            <w:hideMark/>
          </w:tcPr>
          <w:p w14:paraId="35B29DCD" w14:textId="68AE2A7B" w:rsidR="00AB7FD4" w:rsidRPr="00D56579" w:rsidRDefault="00AB7FD4" w:rsidP="002F131C">
            <w:pPr>
              <w:jc w:val="right"/>
              <w:rPr>
                <w:rFonts w:ascii="Montserrat Medium" w:hAnsi="Montserrat Medium"/>
                <w:sz w:val="18"/>
                <w:szCs w:val="18"/>
              </w:rPr>
            </w:pPr>
            <w:r>
              <w:rPr>
                <w:rFonts w:ascii="Montserrat Medium" w:hAnsi="Montserrat Medium" w:cs="Calibri"/>
                <w:color w:val="000000"/>
                <w:sz w:val="18"/>
                <w:szCs w:val="18"/>
              </w:rPr>
              <w:t>97,207,176.12</w:t>
            </w:r>
          </w:p>
        </w:tc>
        <w:tc>
          <w:tcPr>
            <w:tcW w:w="1645" w:type="dxa"/>
            <w:tcBorders>
              <w:left w:val="nil"/>
              <w:right w:val="single" w:sz="4" w:space="0" w:color="auto"/>
            </w:tcBorders>
            <w:shd w:val="clear" w:color="auto" w:fill="auto"/>
            <w:vAlign w:val="center"/>
          </w:tcPr>
          <w:p w14:paraId="205C9D0A" w14:textId="500C91A4" w:rsidR="00AB7FD4" w:rsidRPr="00D56579" w:rsidRDefault="00AB7FD4" w:rsidP="002F131C">
            <w:pPr>
              <w:jc w:val="right"/>
              <w:rPr>
                <w:rFonts w:ascii="Montserrat Medium" w:hAnsi="Montserrat Medium"/>
                <w:sz w:val="18"/>
                <w:szCs w:val="18"/>
              </w:rPr>
            </w:pPr>
            <w:r>
              <w:rPr>
                <w:rFonts w:ascii="Montserrat Medium" w:hAnsi="Montserrat Medium" w:cs="Calibri"/>
                <w:color w:val="000000"/>
                <w:sz w:val="18"/>
                <w:szCs w:val="18"/>
              </w:rPr>
              <w:t>97,207,176.12</w:t>
            </w:r>
          </w:p>
        </w:tc>
      </w:tr>
      <w:tr w:rsidR="00AB7FD4" w:rsidRPr="00D56579" w14:paraId="36B960C9" w14:textId="77777777" w:rsidTr="00153CD3">
        <w:trPr>
          <w:trHeight w:hRule="exact" w:val="227"/>
          <w:jc w:val="center"/>
        </w:trPr>
        <w:tc>
          <w:tcPr>
            <w:tcW w:w="5535" w:type="dxa"/>
            <w:tcBorders>
              <w:left w:val="single" w:sz="8" w:space="0" w:color="auto"/>
              <w:bottom w:val="single" w:sz="8" w:space="0" w:color="auto"/>
              <w:right w:val="single" w:sz="8" w:space="0" w:color="auto"/>
            </w:tcBorders>
            <w:shd w:val="clear" w:color="auto" w:fill="auto"/>
            <w:noWrap/>
            <w:vAlign w:val="center"/>
            <w:hideMark/>
          </w:tcPr>
          <w:p w14:paraId="7638122B" w14:textId="77777777" w:rsidR="00AB7FD4" w:rsidRPr="00D56579" w:rsidRDefault="00AB7FD4" w:rsidP="002F131C">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Otros bienes inmuebles</w:t>
            </w:r>
          </w:p>
        </w:tc>
        <w:tc>
          <w:tcPr>
            <w:tcW w:w="1645" w:type="dxa"/>
            <w:tcBorders>
              <w:left w:val="nil"/>
              <w:bottom w:val="single" w:sz="8" w:space="0" w:color="auto"/>
              <w:right w:val="single" w:sz="4" w:space="0" w:color="auto"/>
            </w:tcBorders>
            <w:shd w:val="clear" w:color="auto" w:fill="auto"/>
            <w:noWrap/>
            <w:vAlign w:val="center"/>
            <w:hideMark/>
          </w:tcPr>
          <w:p w14:paraId="601DF8D3" w14:textId="37537851" w:rsidR="00AB7FD4" w:rsidRPr="00D56579" w:rsidRDefault="00AB7FD4" w:rsidP="002F131C">
            <w:pPr>
              <w:jc w:val="right"/>
              <w:rPr>
                <w:rFonts w:ascii="Montserrat Medium" w:hAnsi="Montserrat Medium"/>
                <w:sz w:val="18"/>
                <w:szCs w:val="18"/>
              </w:rPr>
            </w:pPr>
            <w:r>
              <w:rPr>
                <w:rFonts w:ascii="Montserrat Medium" w:hAnsi="Montserrat Medium" w:cs="Calibri"/>
                <w:color w:val="000000"/>
                <w:sz w:val="18"/>
                <w:szCs w:val="18"/>
              </w:rPr>
              <w:t>0.00</w:t>
            </w:r>
          </w:p>
        </w:tc>
        <w:tc>
          <w:tcPr>
            <w:tcW w:w="1645" w:type="dxa"/>
            <w:tcBorders>
              <w:left w:val="nil"/>
              <w:bottom w:val="single" w:sz="8" w:space="0" w:color="auto"/>
              <w:right w:val="single" w:sz="4" w:space="0" w:color="auto"/>
            </w:tcBorders>
            <w:shd w:val="clear" w:color="auto" w:fill="auto"/>
            <w:vAlign w:val="center"/>
          </w:tcPr>
          <w:p w14:paraId="78DFA492" w14:textId="670BB0CB" w:rsidR="00AB7FD4" w:rsidRPr="00D56579" w:rsidRDefault="00AB7FD4" w:rsidP="002F131C">
            <w:pPr>
              <w:jc w:val="right"/>
              <w:rPr>
                <w:rFonts w:ascii="Montserrat Medium" w:hAnsi="Montserrat Medium"/>
                <w:sz w:val="18"/>
                <w:szCs w:val="18"/>
              </w:rPr>
            </w:pPr>
            <w:r>
              <w:rPr>
                <w:rFonts w:ascii="Montserrat Medium" w:hAnsi="Montserrat Medium" w:cs="Calibri"/>
                <w:color w:val="000000"/>
                <w:sz w:val="18"/>
                <w:szCs w:val="18"/>
              </w:rPr>
              <w:t>0.00</w:t>
            </w:r>
          </w:p>
        </w:tc>
      </w:tr>
      <w:tr w:rsidR="00AB7FD4" w:rsidRPr="00D56579" w14:paraId="77BBF872" w14:textId="77777777" w:rsidTr="00153CD3">
        <w:trPr>
          <w:trHeight w:hRule="exact" w:val="227"/>
          <w:jc w:val="center"/>
        </w:trPr>
        <w:tc>
          <w:tcPr>
            <w:tcW w:w="5535" w:type="dxa"/>
            <w:tcBorders>
              <w:top w:val="nil"/>
              <w:left w:val="single" w:sz="8" w:space="0" w:color="auto"/>
              <w:bottom w:val="single" w:sz="8" w:space="0" w:color="auto"/>
              <w:right w:val="single" w:sz="8" w:space="0" w:color="auto"/>
            </w:tcBorders>
            <w:shd w:val="clear" w:color="auto" w:fill="auto"/>
            <w:noWrap/>
            <w:vAlign w:val="center"/>
            <w:hideMark/>
          </w:tcPr>
          <w:p w14:paraId="00C2E0A8" w14:textId="77777777" w:rsidR="00AB7FD4" w:rsidRPr="00D56579" w:rsidRDefault="00AB7FD4" w:rsidP="002F131C">
            <w:pP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Total</w:t>
            </w:r>
          </w:p>
        </w:tc>
        <w:tc>
          <w:tcPr>
            <w:tcW w:w="1645" w:type="dxa"/>
            <w:tcBorders>
              <w:top w:val="nil"/>
              <w:left w:val="nil"/>
              <w:bottom w:val="single" w:sz="8" w:space="0" w:color="auto"/>
              <w:right w:val="single" w:sz="4" w:space="0" w:color="auto"/>
            </w:tcBorders>
            <w:shd w:val="clear" w:color="auto" w:fill="auto"/>
            <w:vAlign w:val="center"/>
            <w:hideMark/>
          </w:tcPr>
          <w:p w14:paraId="4F313425" w14:textId="3EF7391A" w:rsidR="00AB7FD4" w:rsidRPr="00D56579" w:rsidRDefault="00AB7FD4" w:rsidP="002F131C">
            <w:pPr>
              <w:jc w:val="right"/>
              <w:rPr>
                <w:rFonts w:ascii="Montserrat Medium" w:hAnsi="Montserrat Medium"/>
                <w:b/>
                <w:sz w:val="18"/>
                <w:szCs w:val="18"/>
              </w:rPr>
            </w:pPr>
            <w:r>
              <w:rPr>
                <w:rFonts w:ascii="Montserrat Medium" w:hAnsi="Montserrat Medium" w:cs="Calibri"/>
                <w:b/>
                <w:bCs/>
                <w:color w:val="000000"/>
                <w:sz w:val="18"/>
                <w:szCs w:val="18"/>
              </w:rPr>
              <w:t>4,165,374,289.79</w:t>
            </w:r>
          </w:p>
        </w:tc>
        <w:tc>
          <w:tcPr>
            <w:tcW w:w="1645" w:type="dxa"/>
            <w:tcBorders>
              <w:top w:val="nil"/>
              <w:left w:val="nil"/>
              <w:bottom w:val="single" w:sz="8" w:space="0" w:color="auto"/>
              <w:right w:val="single" w:sz="4" w:space="0" w:color="auto"/>
            </w:tcBorders>
            <w:shd w:val="clear" w:color="auto" w:fill="auto"/>
            <w:vAlign w:val="center"/>
          </w:tcPr>
          <w:p w14:paraId="2DAA423D" w14:textId="5C7065CC" w:rsidR="00AB7FD4" w:rsidRPr="00D56579" w:rsidRDefault="00AB7FD4" w:rsidP="002F131C">
            <w:pPr>
              <w:jc w:val="right"/>
              <w:rPr>
                <w:rFonts w:ascii="Montserrat Medium" w:hAnsi="Montserrat Medium"/>
                <w:b/>
                <w:sz w:val="18"/>
                <w:szCs w:val="18"/>
              </w:rPr>
            </w:pPr>
            <w:r>
              <w:rPr>
                <w:rFonts w:ascii="Montserrat Medium" w:hAnsi="Montserrat Medium" w:cs="Calibri"/>
                <w:b/>
                <w:bCs/>
                <w:color w:val="000000"/>
                <w:sz w:val="18"/>
                <w:szCs w:val="18"/>
              </w:rPr>
              <w:t>4,131,282,821.22</w:t>
            </w:r>
          </w:p>
        </w:tc>
      </w:tr>
    </w:tbl>
    <w:p w14:paraId="47E384C5" w14:textId="77777777" w:rsidR="00AB7FD4" w:rsidRDefault="00AB7FD4" w:rsidP="002F131C">
      <w:pPr>
        <w:autoSpaceDE w:val="0"/>
        <w:autoSpaceDN w:val="0"/>
        <w:adjustRightInd w:val="0"/>
        <w:jc w:val="both"/>
        <w:rPr>
          <w:rFonts w:ascii="Montserrat Medium" w:eastAsia="Times New Roman" w:hAnsi="Montserrat Medium" w:cs="Arial"/>
          <w:color w:val="595959"/>
          <w:sz w:val="22"/>
          <w:szCs w:val="22"/>
          <w:highlight w:val="yellow"/>
          <w:lang w:eastAsia="en-US"/>
        </w:rPr>
      </w:pPr>
    </w:p>
    <w:p w14:paraId="6BEEEC13" w14:textId="77777777" w:rsidR="00AB7FD4" w:rsidRDefault="00AB7FD4" w:rsidP="002F131C">
      <w:pPr>
        <w:autoSpaceDE w:val="0"/>
        <w:autoSpaceDN w:val="0"/>
        <w:adjustRightInd w:val="0"/>
        <w:jc w:val="both"/>
        <w:rPr>
          <w:rFonts w:ascii="Montserrat Medium" w:eastAsia="Times New Roman" w:hAnsi="Montserrat Medium" w:cs="Arial"/>
          <w:color w:val="595959"/>
          <w:sz w:val="22"/>
          <w:szCs w:val="22"/>
          <w:lang w:eastAsia="en-US"/>
        </w:rPr>
      </w:pPr>
      <w:r w:rsidRPr="00AB7FD4">
        <w:rPr>
          <w:rFonts w:ascii="Montserrat Medium" w:eastAsia="Times New Roman" w:hAnsi="Montserrat Medium" w:cs="Arial"/>
          <w:color w:val="595959"/>
          <w:sz w:val="22"/>
          <w:szCs w:val="22"/>
          <w:lang w:eastAsia="en-US"/>
        </w:rPr>
        <w:t>Se registró en la contabilidad un bien inmueble denominado</w:t>
      </w:r>
      <w:r w:rsidRPr="00AB7FD4">
        <w:rPr>
          <w:rFonts w:ascii="Montserrat Medium" w:eastAsia="Times New Roman" w:hAnsi="Montserrat Medium" w:cs="Arial"/>
          <w:b/>
          <w:color w:val="595959"/>
          <w:sz w:val="22"/>
          <w:szCs w:val="22"/>
          <w:lang w:eastAsia="en-US"/>
        </w:rPr>
        <w:t xml:space="preserve"> </w:t>
      </w:r>
      <w:r w:rsidRPr="00AB7FD4">
        <w:rPr>
          <w:rFonts w:ascii="Montserrat Medium" w:eastAsia="Times New Roman" w:hAnsi="Montserrat Medium" w:cs="Arial"/>
          <w:color w:val="595959"/>
          <w:sz w:val="22"/>
          <w:szCs w:val="22"/>
          <w:lang w:eastAsia="en-US"/>
        </w:rPr>
        <w:t xml:space="preserve">"Casa de la representación de gobierno de Quintana Roo en CDMX,  en relación al oficio SEGOB/RGECM/DAF/107/2025 de fecha 21 de mayo del 2025 con un valor total de $ </w:t>
      </w:r>
      <w:r w:rsidRPr="00AB7FD4">
        <w:rPr>
          <w:rFonts w:ascii="Montserrat Medium" w:eastAsia="Times New Roman" w:hAnsi="Montserrat Medium" w:cs="Arial"/>
          <w:color w:val="595959"/>
          <w:sz w:val="22"/>
          <w:szCs w:val="22"/>
          <w:lang w:val="es-MX" w:eastAsia="en-US"/>
        </w:rPr>
        <w:t>12, 806,136.08</w:t>
      </w:r>
      <w:r w:rsidRPr="00AB7FD4">
        <w:rPr>
          <w:rFonts w:ascii="Montserrat Medium" w:eastAsia="Times New Roman" w:hAnsi="Montserrat Medium" w:cs="Arial"/>
          <w:color w:val="595959"/>
          <w:sz w:val="22"/>
          <w:szCs w:val="22"/>
          <w:lang w:eastAsia="en-US"/>
        </w:rPr>
        <w:t xml:space="preserve"> pesos. </w:t>
      </w:r>
    </w:p>
    <w:p w14:paraId="19373B77" w14:textId="77777777" w:rsidR="00AB7FD4" w:rsidRPr="00AB7FD4" w:rsidRDefault="00AB7FD4" w:rsidP="002F131C">
      <w:pPr>
        <w:autoSpaceDE w:val="0"/>
        <w:autoSpaceDN w:val="0"/>
        <w:adjustRightInd w:val="0"/>
        <w:jc w:val="both"/>
        <w:rPr>
          <w:rFonts w:ascii="Montserrat Medium" w:eastAsia="Times New Roman" w:hAnsi="Montserrat Medium" w:cs="Arial"/>
          <w:color w:val="595959"/>
          <w:sz w:val="22"/>
          <w:szCs w:val="22"/>
          <w:lang w:eastAsia="en-US"/>
        </w:rPr>
      </w:pPr>
    </w:p>
    <w:p w14:paraId="0B7EADA9" w14:textId="77777777" w:rsidR="00AB7FD4" w:rsidRPr="00AB7FD4" w:rsidRDefault="00AB7FD4" w:rsidP="002F131C">
      <w:pPr>
        <w:jc w:val="both"/>
        <w:rPr>
          <w:rFonts w:ascii="Montserrat Medium" w:eastAsia="Times New Roman" w:hAnsi="Montserrat Medium" w:cs="Arial"/>
          <w:b/>
          <w:color w:val="595959"/>
          <w:sz w:val="22"/>
          <w:szCs w:val="22"/>
          <w:lang w:eastAsia="en-US"/>
        </w:rPr>
      </w:pPr>
      <w:r w:rsidRPr="00AB7FD4">
        <w:rPr>
          <w:rFonts w:ascii="Montserrat Medium" w:eastAsia="Times New Roman" w:hAnsi="Montserrat Medium" w:cs="Arial"/>
          <w:b/>
          <w:color w:val="595959"/>
          <w:sz w:val="22"/>
          <w:szCs w:val="22"/>
          <w:lang w:eastAsia="en-US"/>
        </w:rPr>
        <w:t>Terrenos</w:t>
      </w:r>
    </w:p>
    <w:p w14:paraId="3B5F07B4" w14:textId="77777777" w:rsidR="00AB7FD4" w:rsidRPr="00516AC5" w:rsidRDefault="00AB7FD4" w:rsidP="002F131C">
      <w:pPr>
        <w:jc w:val="both"/>
        <w:rPr>
          <w:rFonts w:ascii="Montserrat Medium" w:eastAsia="Times New Roman" w:hAnsi="Montserrat Medium" w:cs="Arial"/>
          <w:color w:val="595959"/>
          <w:sz w:val="22"/>
          <w:szCs w:val="22"/>
          <w:highlight w:val="yellow"/>
          <w:lang w:eastAsia="en-US"/>
        </w:rPr>
      </w:pPr>
    </w:p>
    <w:p w14:paraId="47B750BE" w14:textId="77777777" w:rsidR="00AB7FD4" w:rsidRPr="00AB7FD4" w:rsidRDefault="00AB7FD4" w:rsidP="002F131C">
      <w:pPr>
        <w:jc w:val="both"/>
        <w:rPr>
          <w:rFonts w:ascii="Montserrat Medium" w:eastAsia="Times New Roman" w:hAnsi="Montserrat Medium" w:cs="Arial"/>
          <w:color w:val="595959"/>
          <w:sz w:val="22"/>
          <w:szCs w:val="22"/>
          <w:lang w:eastAsia="en-US"/>
        </w:rPr>
      </w:pPr>
      <w:r w:rsidRPr="00AB7FD4">
        <w:rPr>
          <w:rFonts w:ascii="Montserrat Medium" w:eastAsia="Times New Roman" w:hAnsi="Montserrat Medium" w:cs="Arial"/>
          <w:color w:val="595959"/>
          <w:sz w:val="22"/>
          <w:szCs w:val="22"/>
          <w:lang w:eastAsia="en-US"/>
        </w:rPr>
        <w:t>Representa el valor de tierras, terrenos y predios urbanos baldíos, campos con o sin mejoras necesarios para los usos propios del ente público, su saldo al 30 de junio de 2025 es de 101</w:t>
      </w:r>
      <w:proofErr w:type="gramStart"/>
      <w:r w:rsidRPr="00AB7FD4">
        <w:rPr>
          <w:rFonts w:ascii="Montserrat Medium" w:eastAsia="Times New Roman" w:hAnsi="Montserrat Medium" w:cs="Arial"/>
          <w:color w:val="595959"/>
          <w:sz w:val="22"/>
          <w:szCs w:val="22"/>
          <w:lang w:eastAsia="en-US"/>
        </w:rPr>
        <w:t>,710,805.78</w:t>
      </w:r>
      <w:proofErr w:type="gramEnd"/>
      <w:r w:rsidRPr="00AB7FD4">
        <w:rPr>
          <w:rFonts w:ascii="Montserrat Medium" w:eastAsia="Times New Roman" w:hAnsi="Montserrat Medium" w:cs="Arial"/>
          <w:color w:val="595959"/>
          <w:sz w:val="22"/>
          <w:szCs w:val="22"/>
          <w:lang w:eastAsia="en-US"/>
        </w:rPr>
        <w:t xml:space="preserve"> pesos.</w:t>
      </w:r>
    </w:p>
    <w:p w14:paraId="5EA16662" w14:textId="77777777" w:rsidR="00AB7FD4" w:rsidRPr="00AB7FD4" w:rsidRDefault="00AB7FD4" w:rsidP="002F131C">
      <w:pPr>
        <w:jc w:val="both"/>
        <w:rPr>
          <w:rFonts w:ascii="Montserrat Medium" w:eastAsia="Times New Roman" w:hAnsi="Montserrat Medium" w:cs="Arial"/>
          <w:color w:val="595959"/>
          <w:sz w:val="22"/>
          <w:szCs w:val="22"/>
          <w:lang w:eastAsia="en-US"/>
        </w:rPr>
      </w:pPr>
    </w:p>
    <w:p w14:paraId="70E1A3E0" w14:textId="77777777" w:rsidR="00AB7FD4" w:rsidRPr="00AB7FD4" w:rsidRDefault="00AB7FD4" w:rsidP="002F131C">
      <w:pPr>
        <w:jc w:val="both"/>
        <w:rPr>
          <w:rFonts w:ascii="Montserrat Medium" w:eastAsia="Times New Roman" w:hAnsi="Montserrat Medium" w:cs="Arial"/>
          <w:color w:val="595959"/>
          <w:sz w:val="22"/>
          <w:szCs w:val="22"/>
          <w:lang w:eastAsia="en-US"/>
        </w:rPr>
      </w:pPr>
    </w:p>
    <w:p w14:paraId="1B58C642" w14:textId="77777777" w:rsidR="00AB7FD4" w:rsidRDefault="00AB7FD4" w:rsidP="002F131C">
      <w:pPr>
        <w:jc w:val="both"/>
        <w:rPr>
          <w:rFonts w:ascii="Montserrat Medium" w:eastAsia="Times New Roman" w:hAnsi="Montserrat Medium" w:cs="Arial"/>
          <w:color w:val="595959"/>
          <w:sz w:val="22"/>
          <w:szCs w:val="22"/>
          <w:lang w:eastAsia="en-US"/>
        </w:rPr>
      </w:pPr>
      <w:r w:rsidRPr="00AB7FD4">
        <w:rPr>
          <w:rFonts w:ascii="Montserrat Medium" w:eastAsia="Times New Roman" w:hAnsi="Montserrat Medium" w:cs="Arial"/>
          <w:color w:val="595959"/>
          <w:sz w:val="22"/>
          <w:szCs w:val="22"/>
          <w:lang w:eastAsia="en-US"/>
        </w:rPr>
        <w:t>Reconocimiento al 30 de junio de un bien inmueble:</w:t>
      </w:r>
    </w:p>
    <w:p w14:paraId="76F0F3E2" w14:textId="77777777" w:rsidR="00AB7FD4" w:rsidRPr="00AB7FD4" w:rsidRDefault="00AB7FD4" w:rsidP="002F131C">
      <w:pPr>
        <w:jc w:val="both"/>
        <w:rPr>
          <w:rFonts w:ascii="Montserrat Medium" w:eastAsia="Times New Roman" w:hAnsi="Montserrat Medium" w:cs="Arial"/>
          <w:color w:val="595959"/>
          <w:sz w:val="22"/>
          <w:szCs w:val="22"/>
          <w:lang w:eastAsia="en-US"/>
        </w:rPr>
      </w:pPr>
    </w:p>
    <w:tbl>
      <w:tblPr>
        <w:tblW w:w="7180" w:type="dxa"/>
        <w:jc w:val="center"/>
        <w:tblLayout w:type="fixed"/>
        <w:tblCellMar>
          <w:left w:w="70" w:type="dxa"/>
          <w:right w:w="70" w:type="dxa"/>
        </w:tblCellMar>
        <w:tblLook w:val="04A0" w:firstRow="1" w:lastRow="0" w:firstColumn="1" w:lastColumn="0" w:noHBand="0" w:noVBand="1"/>
      </w:tblPr>
      <w:tblGrid>
        <w:gridCol w:w="5408"/>
        <w:gridCol w:w="1772"/>
      </w:tblGrid>
      <w:tr w:rsidR="00AB7FD4" w:rsidRPr="00AB7FD4" w14:paraId="175B1035" w14:textId="77777777" w:rsidTr="00B9270E">
        <w:trPr>
          <w:trHeight w:val="437"/>
          <w:tblHeader/>
          <w:jc w:val="center"/>
        </w:trPr>
        <w:tc>
          <w:tcPr>
            <w:tcW w:w="5408"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37BA8B73" w14:textId="77777777" w:rsidR="00AB7FD4" w:rsidRPr="00AB7FD4" w:rsidRDefault="00AB7FD4" w:rsidP="002F131C">
            <w:pPr>
              <w:jc w:val="center"/>
              <w:rPr>
                <w:rFonts w:ascii="Montserrat Medium" w:eastAsia="Times New Roman" w:hAnsi="Montserrat Medium" w:cs="Calibri"/>
                <w:b/>
                <w:bCs/>
                <w:color w:val="000000"/>
                <w:sz w:val="18"/>
                <w:szCs w:val="18"/>
                <w:lang w:val="es-MX" w:eastAsia="es-MX"/>
              </w:rPr>
            </w:pPr>
            <w:r w:rsidRPr="00AB7FD4">
              <w:rPr>
                <w:rFonts w:ascii="Montserrat Medium" w:eastAsia="Times New Roman" w:hAnsi="Montserrat Medium" w:cs="Calibri"/>
                <w:b/>
                <w:bCs/>
                <w:color w:val="000000"/>
                <w:sz w:val="18"/>
                <w:szCs w:val="18"/>
                <w:lang w:eastAsia="es-MX"/>
              </w:rPr>
              <w:t>Concepto</w:t>
            </w:r>
          </w:p>
        </w:tc>
        <w:tc>
          <w:tcPr>
            <w:tcW w:w="1772"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0A847A78" w14:textId="77777777" w:rsidR="00AB7FD4" w:rsidRPr="00AB7FD4" w:rsidRDefault="00AB7FD4" w:rsidP="002F131C">
            <w:pPr>
              <w:jc w:val="center"/>
              <w:rPr>
                <w:rFonts w:ascii="Montserrat Medium" w:eastAsia="Times New Roman" w:hAnsi="Montserrat Medium" w:cs="Calibri"/>
                <w:b/>
                <w:bCs/>
                <w:color w:val="000000"/>
                <w:sz w:val="18"/>
                <w:szCs w:val="18"/>
                <w:lang w:val="es-MX" w:eastAsia="es-MX"/>
              </w:rPr>
            </w:pPr>
            <w:r w:rsidRPr="00AB7FD4">
              <w:rPr>
                <w:rFonts w:ascii="Montserrat Medium" w:hAnsi="Montserrat Medium" w:cs="Calibri"/>
                <w:b/>
                <w:bCs/>
                <w:color w:val="000000"/>
                <w:sz w:val="18"/>
                <w:szCs w:val="18"/>
              </w:rPr>
              <w:t>Importe</w:t>
            </w:r>
          </w:p>
        </w:tc>
      </w:tr>
      <w:tr w:rsidR="00AB7FD4" w:rsidRPr="00AB7FD4" w14:paraId="65385CEE" w14:textId="77777777" w:rsidTr="00B9270E">
        <w:trPr>
          <w:trHeight w:hRule="exact" w:val="609"/>
          <w:jc w:val="center"/>
        </w:trPr>
        <w:tc>
          <w:tcPr>
            <w:tcW w:w="5408" w:type="dxa"/>
            <w:tcBorders>
              <w:top w:val="nil"/>
              <w:left w:val="single" w:sz="8" w:space="0" w:color="auto"/>
              <w:bottom w:val="nil"/>
              <w:right w:val="single" w:sz="8" w:space="0" w:color="auto"/>
            </w:tcBorders>
            <w:shd w:val="clear" w:color="auto" w:fill="auto"/>
            <w:noWrap/>
            <w:vAlign w:val="center"/>
            <w:hideMark/>
          </w:tcPr>
          <w:p w14:paraId="1B898717" w14:textId="77777777" w:rsidR="00AB7FD4" w:rsidRPr="00AB7FD4" w:rsidRDefault="00AB7FD4" w:rsidP="002F131C">
            <w:pPr>
              <w:rPr>
                <w:rFonts w:ascii="Montserrat Medium" w:eastAsia="Times New Roman" w:hAnsi="Montserrat Medium" w:cs="Calibri"/>
                <w:color w:val="000000"/>
                <w:sz w:val="18"/>
                <w:szCs w:val="18"/>
                <w:lang w:eastAsia="es-MX"/>
              </w:rPr>
            </w:pPr>
            <w:r w:rsidRPr="00AB7FD4">
              <w:rPr>
                <w:rFonts w:ascii="Montserrat Medium" w:eastAsia="Times New Roman" w:hAnsi="Montserrat Medium" w:cs="Calibri"/>
                <w:color w:val="000000"/>
                <w:sz w:val="18"/>
                <w:szCs w:val="18"/>
                <w:lang w:eastAsia="es-MX"/>
              </w:rPr>
              <w:t xml:space="preserve">Casa de la Representación de Gobierno de Quintana Roo </w:t>
            </w:r>
          </w:p>
          <w:p w14:paraId="06103BED" w14:textId="77777777" w:rsidR="00AB7FD4" w:rsidRPr="00AB7FD4" w:rsidRDefault="00AB7FD4" w:rsidP="002F131C">
            <w:pPr>
              <w:rPr>
                <w:rFonts w:ascii="Montserrat Medium" w:eastAsia="Times New Roman" w:hAnsi="Montserrat Medium" w:cs="Calibri"/>
                <w:color w:val="000000"/>
                <w:sz w:val="18"/>
                <w:szCs w:val="18"/>
                <w:lang w:val="es-MX" w:eastAsia="es-MX"/>
              </w:rPr>
            </w:pPr>
            <w:r w:rsidRPr="00AB7FD4">
              <w:rPr>
                <w:rFonts w:ascii="Montserrat Medium" w:eastAsia="Times New Roman" w:hAnsi="Montserrat Medium" w:cs="Calibri"/>
                <w:color w:val="000000"/>
                <w:sz w:val="18"/>
                <w:szCs w:val="18"/>
                <w:lang w:eastAsia="es-MX"/>
              </w:rPr>
              <w:t>en la Ciudad de México</w:t>
            </w:r>
          </w:p>
        </w:tc>
        <w:tc>
          <w:tcPr>
            <w:tcW w:w="1772" w:type="dxa"/>
            <w:tcBorders>
              <w:top w:val="nil"/>
              <w:left w:val="nil"/>
              <w:bottom w:val="nil"/>
              <w:right w:val="single" w:sz="4" w:space="0" w:color="auto"/>
            </w:tcBorders>
            <w:shd w:val="clear" w:color="auto" w:fill="auto"/>
            <w:vAlign w:val="center"/>
            <w:hideMark/>
          </w:tcPr>
          <w:p w14:paraId="37D799E9" w14:textId="77777777" w:rsidR="00AB7FD4" w:rsidRPr="00AB7FD4" w:rsidRDefault="00AB7FD4" w:rsidP="002F131C">
            <w:pPr>
              <w:jc w:val="right"/>
              <w:rPr>
                <w:rFonts w:ascii="Montserrat Medium" w:hAnsi="Montserrat Medium"/>
                <w:sz w:val="18"/>
                <w:szCs w:val="18"/>
              </w:rPr>
            </w:pPr>
            <w:r w:rsidRPr="00AB7FD4">
              <w:rPr>
                <w:rFonts w:ascii="Montserrat Medium" w:hAnsi="Montserrat Medium" w:cs="Calibri"/>
                <w:color w:val="000000"/>
                <w:sz w:val="18"/>
                <w:szCs w:val="18"/>
              </w:rPr>
              <w:t xml:space="preserve">$ 5, 166,999.12 </w:t>
            </w:r>
          </w:p>
        </w:tc>
      </w:tr>
      <w:tr w:rsidR="00AB7FD4" w:rsidRPr="00D56579" w14:paraId="7F1A4459" w14:textId="77777777" w:rsidTr="00B9270E">
        <w:trPr>
          <w:trHeight w:hRule="exact" w:val="227"/>
          <w:jc w:val="center"/>
        </w:trPr>
        <w:tc>
          <w:tcPr>
            <w:tcW w:w="5408" w:type="dxa"/>
            <w:tcBorders>
              <w:top w:val="nil"/>
              <w:left w:val="single" w:sz="8" w:space="0" w:color="auto"/>
              <w:bottom w:val="single" w:sz="8" w:space="0" w:color="auto"/>
              <w:right w:val="single" w:sz="8" w:space="0" w:color="auto"/>
            </w:tcBorders>
            <w:shd w:val="clear" w:color="auto" w:fill="auto"/>
            <w:noWrap/>
            <w:vAlign w:val="center"/>
            <w:hideMark/>
          </w:tcPr>
          <w:p w14:paraId="3E51F5C5" w14:textId="77777777" w:rsidR="00AB7FD4" w:rsidRPr="00AB7FD4" w:rsidRDefault="00AB7FD4" w:rsidP="002F131C">
            <w:pPr>
              <w:rPr>
                <w:rFonts w:ascii="Montserrat Medium" w:eastAsia="Times New Roman" w:hAnsi="Montserrat Medium" w:cs="Calibri"/>
                <w:b/>
                <w:bCs/>
                <w:color w:val="000000"/>
                <w:sz w:val="18"/>
                <w:szCs w:val="18"/>
                <w:lang w:val="es-MX" w:eastAsia="es-MX"/>
              </w:rPr>
            </w:pPr>
            <w:r w:rsidRPr="00AB7FD4">
              <w:rPr>
                <w:rFonts w:ascii="Montserrat Medium" w:eastAsia="Times New Roman" w:hAnsi="Montserrat Medium" w:cs="Calibri"/>
                <w:b/>
                <w:bCs/>
                <w:color w:val="000000"/>
                <w:sz w:val="18"/>
                <w:szCs w:val="18"/>
                <w:lang w:eastAsia="es-MX"/>
              </w:rPr>
              <w:t>Total</w:t>
            </w:r>
          </w:p>
        </w:tc>
        <w:tc>
          <w:tcPr>
            <w:tcW w:w="1772" w:type="dxa"/>
            <w:tcBorders>
              <w:top w:val="nil"/>
              <w:left w:val="nil"/>
              <w:bottom w:val="single" w:sz="8" w:space="0" w:color="auto"/>
              <w:right w:val="single" w:sz="4" w:space="0" w:color="auto"/>
            </w:tcBorders>
            <w:shd w:val="clear" w:color="auto" w:fill="auto"/>
            <w:vAlign w:val="center"/>
            <w:hideMark/>
          </w:tcPr>
          <w:p w14:paraId="694E6234" w14:textId="77777777" w:rsidR="00AB7FD4" w:rsidRPr="00D56579" w:rsidRDefault="00AB7FD4" w:rsidP="002F131C">
            <w:pPr>
              <w:jc w:val="right"/>
              <w:rPr>
                <w:rFonts w:ascii="Montserrat Medium" w:hAnsi="Montserrat Medium"/>
                <w:b/>
                <w:sz w:val="18"/>
                <w:szCs w:val="18"/>
              </w:rPr>
            </w:pPr>
            <w:r w:rsidRPr="00AB7FD4">
              <w:rPr>
                <w:rFonts w:ascii="Montserrat Medium" w:hAnsi="Montserrat Medium" w:cs="Calibri"/>
                <w:b/>
                <w:bCs/>
                <w:color w:val="000000"/>
                <w:sz w:val="18"/>
                <w:szCs w:val="18"/>
              </w:rPr>
              <w:t>$ 5, 166,999.12</w:t>
            </w:r>
          </w:p>
        </w:tc>
      </w:tr>
    </w:tbl>
    <w:p w14:paraId="2DBCF3E8" w14:textId="77777777" w:rsidR="00AB7FD4" w:rsidRDefault="00AB7FD4" w:rsidP="002F131C">
      <w:pPr>
        <w:jc w:val="both"/>
        <w:rPr>
          <w:rFonts w:ascii="Montserrat Medium" w:eastAsia="Times New Roman" w:hAnsi="Montserrat Medium" w:cs="Arial"/>
          <w:color w:val="595959"/>
          <w:sz w:val="22"/>
          <w:szCs w:val="22"/>
          <w:lang w:eastAsia="en-US"/>
        </w:rPr>
      </w:pPr>
    </w:p>
    <w:p w14:paraId="098994A2" w14:textId="261D3A9F" w:rsidR="009D646D" w:rsidRPr="00D56579" w:rsidRDefault="009D646D" w:rsidP="002F131C">
      <w:pPr>
        <w:spacing w:after="160"/>
        <w:jc w:val="both"/>
        <w:rPr>
          <w:rFonts w:ascii="Montserrat Medium" w:eastAsia="Times New Roman" w:hAnsi="Montserrat Medium" w:cs="Arial"/>
          <w:b/>
          <w:color w:val="595959"/>
          <w:sz w:val="22"/>
          <w:szCs w:val="22"/>
          <w:lang w:eastAsia="en-US"/>
        </w:rPr>
      </w:pPr>
      <w:r w:rsidRPr="00D56579">
        <w:rPr>
          <w:rFonts w:ascii="Montserrat Medium" w:eastAsia="Times New Roman" w:hAnsi="Montserrat Medium" w:cs="Arial"/>
          <w:b/>
          <w:color w:val="595959"/>
          <w:sz w:val="22"/>
          <w:szCs w:val="22"/>
          <w:lang w:eastAsia="en-US"/>
        </w:rPr>
        <w:t>Edificios no habitacionales</w:t>
      </w:r>
    </w:p>
    <w:p w14:paraId="71E5E77D" w14:textId="42579658" w:rsidR="009D646D" w:rsidRPr="00D56579" w:rsidRDefault="009D646D" w:rsidP="002F131C">
      <w:pPr>
        <w:jc w:val="both"/>
        <w:rPr>
          <w:rFonts w:ascii="Montserrat Medium" w:eastAsia="Times New Roman" w:hAnsi="Montserrat Medium" w:cs="Arial"/>
          <w:color w:val="595959"/>
          <w:sz w:val="22"/>
          <w:szCs w:val="22"/>
          <w:lang w:eastAsia="en-US"/>
        </w:rPr>
      </w:pPr>
      <w:r w:rsidRPr="00D56579">
        <w:rPr>
          <w:rFonts w:ascii="Montserrat Medium" w:eastAsia="Times New Roman" w:hAnsi="Montserrat Medium" w:cs="Arial"/>
          <w:color w:val="595959"/>
          <w:sz w:val="22"/>
          <w:szCs w:val="22"/>
          <w:lang w:eastAsia="en-US"/>
        </w:rPr>
        <w:t xml:space="preserve">Esta cuenta se integra de los edificios no habitacionales que corresponden a la Administración </w:t>
      </w:r>
      <w:r w:rsidR="003C7AA2" w:rsidRPr="00D56579">
        <w:rPr>
          <w:rFonts w:ascii="Montserrat Medium" w:eastAsia="Times New Roman" w:hAnsi="Montserrat Medium" w:cs="Arial"/>
          <w:color w:val="595959"/>
          <w:sz w:val="22"/>
          <w:szCs w:val="22"/>
          <w:lang w:eastAsia="en-US"/>
        </w:rPr>
        <w:t xml:space="preserve">Pública </w:t>
      </w:r>
      <w:r w:rsidRPr="00D56579">
        <w:rPr>
          <w:rFonts w:ascii="Montserrat Medium" w:eastAsia="Times New Roman" w:hAnsi="Montserrat Medium" w:cs="Arial"/>
          <w:color w:val="595959"/>
          <w:sz w:val="22"/>
          <w:szCs w:val="22"/>
          <w:lang w:eastAsia="en-US"/>
        </w:rPr>
        <w:t>Central para su operación y de edificios no habitaciones pendientes de transferir a otros entes públicos, como se muestra a continuación:</w:t>
      </w:r>
    </w:p>
    <w:p w14:paraId="5C13DA23" w14:textId="77777777" w:rsidR="008C25D8" w:rsidRPr="00D56579" w:rsidRDefault="008C25D8" w:rsidP="002F131C">
      <w:pPr>
        <w:jc w:val="both"/>
        <w:rPr>
          <w:rFonts w:ascii="Montserrat Medium" w:eastAsia="Times New Roman" w:hAnsi="Montserrat Medium" w:cs="Arial"/>
          <w:color w:val="595959"/>
          <w:lang w:eastAsia="en-US"/>
        </w:rPr>
      </w:pPr>
    </w:p>
    <w:tbl>
      <w:tblPr>
        <w:tblpPr w:leftFromText="141" w:rightFromText="141" w:vertAnchor="text" w:horzAnchor="margin" w:tblpXSpec="center" w:tblpY="122"/>
        <w:tblOverlap w:val="never"/>
        <w:tblW w:w="89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548"/>
        <w:gridCol w:w="1676"/>
        <w:gridCol w:w="1676"/>
      </w:tblGrid>
      <w:tr w:rsidR="00A655D7" w:rsidRPr="00D56579" w14:paraId="30744D33" w14:textId="77777777" w:rsidTr="006015CD">
        <w:trPr>
          <w:trHeight w:val="410"/>
          <w:tblHeader/>
        </w:trPr>
        <w:tc>
          <w:tcPr>
            <w:tcW w:w="5548" w:type="dxa"/>
            <w:tcBorders>
              <w:top w:val="single" w:sz="4" w:space="0" w:color="auto"/>
              <w:bottom w:val="single" w:sz="4" w:space="0" w:color="auto"/>
              <w:right w:val="single" w:sz="4" w:space="0" w:color="auto"/>
            </w:tcBorders>
            <w:shd w:val="clear" w:color="auto" w:fill="BFBFBF" w:themeFill="background1" w:themeFillShade="BF"/>
            <w:noWrap/>
            <w:vAlign w:val="center"/>
            <w:hideMark/>
          </w:tcPr>
          <w:p w14:paraId="2C0AF095" w14:textId="77777777" w:rsidR="00A655D7" w:rsidRPr="00D56579" w:rsidRDefault="00A655D7" w:rsidP="002F131C">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lastRenderedPageBreak/>
              <w:t>Concepto</w:t>
            </w:r>
          </w:p>
        </w:tc>
        <w:tc>
          <w:tcPr>
            <w:tcW w:w="1676" w:type="dxa"/>
            <w:tcBorders>
              <w:top w:val="single" w:sz="4" w:space="0" w:color="auto"/>
              <w:bottom w:val="single" w:sz="4" w:space="0" w:color="auto"/>
              <w:right w:val="single" w:sz="4" w:space="0" w:color="auto"/>
            </w:tcBorders>
            <w:shd w:val="clear" w:color="auto" w:fill="BFBFBF" w:themeFill="background1" w:themeFillShade="BF"/>
            <w:vAlign w:val="center"/>
          </w:tcPr>
          <w:p w14:paraId="3ABC56B3" w14:textId="67C8E63C" w:rsidR="00A655D7" w:rsidRPr="00D56579" w:rsidRDefault="00A655D7" w:rsidP="002F131C">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Al 3</w:t>
            </w:r>
            <w:r w:rsidR="00AB7FD4">
              <w:rPr>
                <w:rFonts w:ascii="Montserrat Medium" w:hAnsi="Montserrat Medium" w:cs="Calibri"/>
                <w:b/>
                <w:bCs/>
                <w:color w:val="000000"/>
                <w:sz w:val="18"/>
                <w:szCs w:val="18"/>
              </w:rPr>
              <w:t>0</w:t>
            </w:r>
            <w:r>
              <w:rPr>
                <w:rFonts w:ascii="Montserrat Medium" w:hAnsi="Montserrat Medium" w:cs="Calibri"/>
                <w:b/>
                <w:bCs/>
                <w:color w:val="000000"/>
                <w:sz w:val="18"/>
                <w:szCs w:val="18"/>
              </w:rPr>
              <w:t xml:space="preserve"> de </w:t>
            </w:r>
            <w:r w:rsidR="00AB7FD4">
              <w:rPr>
                <w:rFonts w:ascii="Montserrat Medium" w:hAnsi="Montserrat Medium" w:cs="Calibri"/>
                <w:b/>
                <w:bCs/>
                <w:color w:val="000000"/>
                <w:sz w:val="18"/>
                <w:szCs w:val="18"/>
              </w:rPr>
              <w:t>Junio</w:t>
            </w:r>
            <w:r>
              <w:rPr>
                <w:rFonts w:ascii="Montserrat Medium" w:hAnsi="Montserrat Medium" w:cs="Calibri"/>
                <w:b/>
                <w:bCs/>
                <w:color w:val="000000"/>
                <w:sz w:val="18"/>
                <w:szCs w:val="18"/>
              </w:rPr>
              <w:t xml:space="preserve"> de 2025</w:t>
            </w:r>
          </w:p>
        </w:tc>
        <w:tc>
          <w:tcPr>
            <w:tcW w:w="1676" w:type="dxa"/>
            <w:tcBorders>
              <w:top w:val="single" w:sz="4" w:space="0" w:color="auto"/>
              <w:left w:val="single" w:sz="4" w:space="0" w:color="auto"/>
              <w:bottom w:val="single" w:sz="4" w:space="0" w:color="auto"/>
            </w:tcBorders>
            <w:shd w:val="clear" w:color="auto" w:fill="BFBFBF" w:themeFill="background1" w:themeFillShade="BF"/>
            <w:vAlign w:val="center"/>
          </w:tcPr>
          <w:p w14:paraId="6656F14F" w14:textId="184C11E9" w:rsidR="00A655D7" w:rsidRPr="00D56579" w:rsidRDefault="00A655D7" w:rsidP="002F131C">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2024</w:t>
            </w:r>
          </w:p>
        </w:tc>
      </w:tr>
      <w:tr w:rsidR="00AB7FD4" w:rsidRPr="00D56579" w14:paraId="4392A639" w14:textId="77777777" w:rsidTr="00CF691F">
        <w:trPr>
          <w:trHeight w:val="255"/>
        </w:trPr>
        <w:tc>
          <w:tcPr>
            <w:tcW w:w="5548" w:type="dxa"/>
            <w:tcBorders>
              <w:top w:val="single" w:sz="4" w:space="0" w:color="auto"/>
              <w:right w:val="single" w:sz="4" w:space="0" w:color="auto"/>
            </w:tcBorders>
            <w:shd w:val="clear" w:color="auto" w:fill="auto"/>
            <w:noWrap/>
            <w:vAlign w:val="bottom"/>
          </w:tcPr>
          <w:p w14:paraId="78C26DC6" w14:textId="77777777" w:rsidR="00AB7FD4" w:rsidRPr="00D56579" w:rsidRDefault="00AB7FD4" w:rsidP="002F131C">
            <w:pPr>
              <w:jc w:val="both"/>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Construcciones terminadas en bienes de dominio público</w:t>
            </w:r>
          </w:p>
        </w:tc>
        <w:tc>
          <w:tcPr>
            <w:tcW w:w="1676" w:type="dxa"/>
            <w:tcBorders>
              <w:top w:val="single" w:sz="4" w:space="0" w:color="auto"/>
              <w:right w:val="single" w:sz="4" w:space="0" w:color="auto"/>
            </w:tcBorders>
            <w:shd w:val="clear" w:color="auto" w:fill="auto"/>
            <w:vAlign w:val="center"/>
          </w:tcPr>
          <w:p w14:paraId="55FA335F" w14:textId="088E685A" w:rsidR="00AB7FD4" w:rsidRPr="00D56579" w:rsidRDefault="00AB7FD4" w:rsidP="002F131C">
            <w:pPr>
              <w:jc w:val="right"/>
              <w:rPr>
                <w:rFonts w:ascii="Montserrat Medium" w:hAnsi="Montserrat Medium"/>
                <w:sz w:val="18"/>
                <w:szCs w:val="18"/>
              </w:rPr>
            </w:pPr>
            <w:r>
              <w:rPr>
                <w:rFonts w:ascii="Montserrat Medium" w:hAnsi="Montserrat Medium" w:cs="Calibri"/>
                <w:color w:val="000000"/>
                <w:sz w:val="18"/>
                <w:szCs w:val="18"/>
              </w:rPr>
              <w:t>2,068,507,042.29</w:t>
            </w:r>
          </w:p>
        </w:tc>
        <w:tc>
          <w:tcPr>
            <w:tcW w:w="1676" w:type="dxa"/>
            <w:tcBorders>
              <w:top w:val="single" w:sz="4" w:space="0" w:color="auto"/>
              <w:left w:val="single" w:sz="4" w:space="0" w:color="auto"/>
            </w:tcBorders>
            <w:shd w:val="clear" w:color="auto" w:fill="auto"/>
            <w:vAlign w:val="center"/>
          </w:tcPr>
          <w:p w14:paraId="7A91B9D2" w14:textId="220785FE" w:rsidR="00AB7FD4" w:rsidRPr="00D56579" w:rsidRDefault="00AB7FD4" w:rsidP="002F131C">
            <w:pPr>
              <w:jc w:val="right"/>
              <w:rPr>
                <w:rFonts w:ascii="Montserrat Medium" w:hAnsi="Montserrat Medium"/>
                <w:sz w:val="18"/>
                <w:szCs w:val="18"/>
              </w:rPr>
            </w:pPr>
            <w:r>
              <w:rPr>
                <w:rFonts w:ascii="Montserrat Medium" w:hAnsi="Montserrat Medium" w:cs="Calibri"/>
                <w:color w:val="000000"/>
                <w:sz w:val="18"/>
                <w:szCs w:val="18"/>
              </w:rPr>
              <w:t>1,968,937,241.74</w:t>
            </w:r>
          </w:p>
        </w:tc>
      </w:tr>
      <w:tr w:rsidR="00AB7FD4" w:rsidRPr="00D56579" w14:paraId="114E69EC" w14:textId="77777777" w:rsidTr="00CF691F">
        <w:trPr>
          <w:trHeight w:val="255"/>
        </w:trPr>
        <w:tc>
          <w:tcPr>
            <w:tcW w:w="5548" w:type="dxa"/>
            <w:tcBorders>
              <w:right w:val="single" w:sz="4" w:space="0" w:color="auto"/>
            </w:tcBorders>
            <w:shd w:val="clear" w:color="auto" w:fill="auto"/>
            <w:noWrap/>
            <w:vAlign w:val="bottom"/>
          </w:tcPr>
          <w:p w14:paraId="6BFFB923" w14:textId="77777777" w:rsidR="00AB7FD4" w:rsidRPr="00D56579" w:rsidRDefault="00AB7FD4" w:rsidP="002F131C">
            <w:pPr>
              <w:jc w:val="both"/>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Construcciones terminadas en bienes propios</w:t>
            </w:r>
          </w:p>
        </w:tc>
        <w:tc>
          <w:tcPr>
            <w:tcW w:w="1676" w:type="dxa"/>
            <w:tcBorders>
              <w:right w:val="single" w:sz="4" w:space="0" w:color="auto"/>
            </w:tcBorders>
            <w:shd w:val="clear" w:color="auto" w:fill="auto"/>
            <w:vAlign w:val="center"/>
          </w:tcPr>
          <w:p w14:paraId="4C6E6B26" w14:textId="4B3FCB48" w:rsidR="00AB7FD4" w:rsidRPr="00D56579" w:rsidRDefault="00AB7FD4" w:rsidP="002F131C">
            <w:pPr>
              <w:jc w:val="right"/>
              <w:rPr>
                <w:rFonts w:ascii="Montserrat Medium" w:hAnsi="Montserrat Medium"/>
                <w:sz w:val="18"/>
                <w:szCs w:val="18"/>
              </w:rPr>
            </w:pPr>
            <w:r>
              <w:rPr>
                <w:rFonts w:ascii="Montserrat Medium" w:hAnsi="Montserrat Medium" w:cs="Calibri"/>
                <w:color w:val="000000"/>
                <w:sz w:val="18"/>
                <w:szCs w:val="18"/>
              </w:rPr>
              <w:t>159,409,619.78</w:t>
            </w:r>
          </w:p>
        </w:tc>
        <w:tc>
          <w:tcPr>
            <w:tcW w:w="1676" w:type="dxa"/>
            <w:tcBorders>
              <w:left w:val="single" w:sz="4" w:space="0" w:color="auto"/>
            </w:tcBorders>
            <w:shd w:val="clear" w:color="auto" w:fill="auto"/>
            <w:vAlign w:val="center"/>
          </w:tcPr>
          <w:p w14:paraId="43117F53" w14:textId="0A3DEEBA" w:rsidR="00AB7FD4" w:rsidRPr="00D56579" w:rsidRDefault="00AB7FD4" w:rsidP="002F131C">
            <w:pPr>
              <w:jc w:val="right"/>
              <w:rPr>
                <w:rFonts w:ascii="Montserrat Medium" w:hAnsi="Montserrat Medium"/>
                <w:sz w:val="18"/>
                <w:szCs w:val="18"/>
              </w:rPr>
            </w:pPr>
            <w:r>
              <w:rPr>
                <w:rFonts w:ascii="Montserrat Medium" w:hAnsi="Montserrat Medium" w:cs="Calibri"/>
                <w:color w:val="000000"/>
                <w:sz w:val="18"/>
                <w:szCs w:val="18"/>
              </w:rPr>
              <w:t>120,914,197.40</w:t>
            </w:r>
          </w:p>
        </w:tc>
      </w:tr>
      <w:tr w:rsidR="00AB7FD4" w:rsidRPr="00D56579" w14:paraId="2E32FE03" w14:textId="77777777" w:rsidTr="00CF691F">
        <w:trPr>
          <w:trHeight w:val="255"/>
        </w:trPr>
        <w:tc>
          <w:tcPr>
            <w:tcW w:w="5548" w:type="dxa"/>
            <w:tcBorders>
              <w:bottom w:val="single" w:sz="4" w:space="0" w:color="auto"/>
              <w:right w:val="single" w:sz="4" w:space="0" w:color="auto"/>
            </w:tcBorders>
            <w:shd w:val="clear" w:color="auto" w:fill="auto"/>
            <w:noWrap/>
            <w:vAlign w:val="bottom"/>
          </w:tcPr>
          <w:p w14:paraId="08424340" w14:textId="77777777" w:rsidR="00AB7FD4" w:rsidRPr="00D56579" w:rsidRDefault="00AB7FD4" w:rsidP="002F131C">
            <w:pPr>
              <w:jc w:val="both"/>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Bienes inmuebles de dominio público de uso privado</w:t>
            </w:r>
          </w:p>
        </w:tc>
        <w:tc>
          <w:tcPr>
            <w:tcW w:w="1676" w:type="dxa"/>
            <w:tcBorders>
              <w:bottom w:val="single" w:sz="4" w:space="0" w:color="auto"/>
              <w:right w:val="single" w:sz="4" w:space="0" w:color="auto"/>
            </w:tcBorders>
            <w:shd w:val="clear" w:color="auto" w:fill="auto"/>
            <w:vAlign w:val="center"/>
          </w:tcPr>
          <w:p w14:paraId="711AB0C9" w14:textId="1A43A78A" w:rsidR="00AB7FD4" w:rsidRPr="00D56579" w:rsidRDefault="00AB7FD4" w:rsidP="002F131C">
            <w:pPr>
              <w:jc w:val="right"/>
              <w:rPr>
                <w:rFonts w:ascii="Montserrat Medium" w:hAnsi="Montserrat Medium"/>
                <w:sz w:val="18"/>
                <w:szCs w:val="18"/>
              </w:rPr>
            </w:pPr>
            <w:r>
              <w:rPr>
                <w:rFonts w:ascii="Montserrat Medium" w:hAnsi="Montserrat Medium" w:cs="Calibri"/>
                <w:color w:val="000000"/>
                <w:sz w:val="18"/>
                <w:szCs w:val="18"/>
              </w:rPr>
              <w:t>317,356,685.48</w:t>
            </w:r>
          </w:p>
        </w:tc>
        <w:tc>
          <w:tcPr>
            <w:tcW w:w="1676" w:type="dxa"/>
            <w:tcBorders>
              <w:left w:val="single" w:sz="4" w:space="0" w:color="auto"/>
              <w:bottom w:val="single" w:sz="4" w:space="0" w:color="auto"/>
            </w:tcBorders>
            <w:shd w:val="clear" w:color="auto" w:fill="auto"/>
            <w:vAlign w:val="center"/>
          </w:tcPr>
          <w:p w14:paraId="27FCF440" w14:textId="70B951C6" w:rsidR="00AB7FD4" w:rsidRPr="00D56579" w:rsidRDefault="00AB7FD4" w:rsidP="002F131C">
            <w:pPr>
              <w:jc w:val="right"/>
              <w:rPr>
                <w:rFonts w:ascii="Montserrat Medium" w:hAnsi="Montserrat Medium"/>
                <w:sz w:val="18"/>
                <w:szCs w:val="18"/>
              </w:rPr>
            </w:pPr>
            <w:r>
              <w:rPr>
                <w:rFonts w:ascii="Montserrat Medium" w:hAnsi="Montserrat Medium" w:cs="Calibri"/>
                <w:color w:val="000000"/>
                <w:sz w:val="18"/>
                <w:szCs w:val="18"/>
              </w:rPr>
              <w:t>312,189,686.36</w:t>
            </w:r>
          </w:p>
        </w:tc>
      </w:tr>
      <w:tr w:rsidR="00AB7FD4" w:rsidRPr="00D56579" w14:paraId="426489B2" w14:textId="77777777" w:rsidTr="00CF691F">
        <w:trPr>
          <w:trHeight w:val="255"/>
        </w:trPr>
        <w:tc>
          <w:tcPr>
            <w:tcW w:w="5548" w:type="dxa"/>
            <w:tcBorders>
              <w:top w:val="single" w:sz="4" w:space="0" w:color="auto"/>
              <w:bottom w:val="single" w:sz="4" w:space="0" w:color="auto"/>
              <w:right w:val="single" w:sz="4" w:space="0" w:color="auto"/>
            </w:tcBorders>
            <w:shd w:val="clear" w:color="auto" w:fill="auto"/>
            <w:noWrap/>
            <w:vAlign w:val="center"/>
          </w:tcPr>
          <w:p w14:paraId="75478CDB" w14:textId="77777777" w:rsidR="00AB7FD4" w:rsidRPr="00D56579" w:rsidRDefault="00AB7FD4" w:rsidP="002F131C">
            <w:pPr>
              <w:ind w:left="2"/>
              <w:jc w:val="both"/>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Total</w:t>
            </w:r>
          </w:p>
        </w:tc>
        <w:tc>
          <w:tcPr>
            <w:tcW w:w="1676" w:type="dxa"/>
            <w:tcBorders>
              <w:top w:val="single" w:sz="4" w:space="0" w:color="auto"/>
              <w:bottom w:val="single" w:sz="4" w:space="0" w:color="auto"/>
              <w:right w:val="single" w:sz="4" w:space="0" w:color="auto"/>
            </w:tcBorders>
            <w:shd w:val="clear" w:color="auto" w:fill="auto"/>
            <w:vAlign w:val="center"/>
          </w:tcPr>
          <w:p w14:paraId="54F3B09B" w14:textId="19663C8E" w:rsidR="00AB7FD4" w:rsidRPr="00D56579" w:rsidRDefault="00AB7FD4" w:rsidP="002F131C">
            <w:pPr>
              <w:jc w:val="right"/>
              <w:rPr>
                <w:rFonts w:ascii="Montserrat Medium" w:hAnsi="Montserrat Medium"/>
                <w:b/>
                <w:sz w:val="18"/>
                <w:szCs w:val="18"/>
              </w:rPr>
            </w:pPr>
            <w:r>
              <w:rPr>
                <w:rFonts w:ascii="Montserrat Medium" w:hAnsi="Montserrat Medium" w:cs="Calibri"/>
                <w:b/>
                <w:bCs/>
                <w:color w:val="000000"/>
                <w:sz w:val="18"/>
                <w:szCs w:val="18"/>
              </w:rPr>
              <w:t>2,545,273,347.55</w:t>
            </w:r>
          </w:p>
        </w:tc>
        <w:tc>
          <w:tcPr>
            <w:tcW w:w="1676" w:type="dxa"/>
            <w:tcBorders>
              <w:top w:val="single" w:sz="4" w:space="0" w:color="auto"/>
              <w:left w:val="single" w:sz="4" w:space="0" w:color="auto"/>
              <w:bottom w:val="single" w:sz="4" w:space="0" w:color="auto"/>
            </w:tcBorders>
            <w:shd w:val="clear" w:color="auto" w:fill="auto"/>
            <w:vAlign w:val="center"/>
          </w:tcPr>
          <w:p w14:paraId="23CB1EAD" w14:textId="687C88B6" w:rsidR="00AB7FD4" w:rsidRPr="00D56579" w:rsidRDefault="00AB7FD4" w:rsidP="002F131C">
            <w:pPr>
              <w:jc w:val="right"/>
              <w:rPr>
                <w:rFonts w:ascii="Montserrat Medium" w:hAnsi="Montserrat Medium"/>
                <w:b/>
                <w:sz w:val="18"/>
                <w:szCs w:val="18"/>
              </w:rPr>
            </w:pPr>
            <w:r>
              <w:rPr>
                <w:rFonts w:ascii="Montserrat Medium" w:hAnsi="Montserrat Medium" w:cs="Calibri"/>
                <w:b/>
                <w:bCs/>
                <w:color w:val="000000"/>
                <w:sz w:val="18"/>
                <w:szCs w:val="18"/>
              </w:rPr>
              <w:t>2,402,041,125.50</w:t>
            </w:r>
          </w:p>
        </w:tc>
      </w:tr>
    </w:tbl>
    <w:p w14:paraId="15D7621B" w14:textId="77777777" w:rsidR="00125E63" w:rsidRPr="00D56579" w:rsidRDefault="00125E63" w:rsidP="002F131C">
      <w:pPr>
        <w:jc w:val="both"/>
        <w:rPr>
          <w:rFonts w:ascii="Montserrat Medium" w:eastAsia="Times New Roman" w:hAnsi="Montserrat Medium" w:cs="Arial"/>
          <w:color w:val="595959"/>
          <w:lang w:eastAsia="en-US"/>
        </w:rPr>
      </w:pPr>
    </w:p>
    <w:p w14:paraId="02DB614F" w14:textId="77777777" w:rsidR="00125E63" w:rsidRPr="00D56579" w:rsidRDefault="00125E63" w:rsidP="002F131C">
      <w:pPr>
        <w:jc w:val="both"/>
        <w:rPr>
          <w:rFonts w:ascii="Montserrat Medium" w:eastAsia="Times New Roman" w:hAnsi="Montserrat Medium" w:cs="Arial"/>
          <w:color w:val="595959"/>
          <w:lang w:eastAsia="en-US"/>
        </w:rPr>
      </w:pPr>
    </w:p>
    <w:p w14:paraId="3530C05C" w14:textId="77777777" w:rsidR="00125E63" w:rsidRPr="00D56579" w:rsidRDefault="00125E63" w:rsidP="002F131C">
      <w:pPr>
        <w:jc w:val="both"/>
        <w:rPr>
          <w:rFonts w:ascii="Montserrat Medium" w:eastAsia="Times New Roman" w:hAnsi="Montserrat Medium" w:cs="Arial"/>
          <w:color w:val="595959"/>
          <w:lang w:eastAsia="en-US"/>
        </w:rPr>
      </w:pPr>
    </w:p>
    <w:p w14:paraId="33C44EC9" w14:textId="77777777" w:rsidR="002A6721" w:rsidRPr="00D56579" w:rsidRDefault="002A6721" w:rsidP="002F131C">
      <w:pPr>
        <w:contextualSpacing/>
        <w:jc w:val="both"/>
        <w:rPr>
          <w:rFonts w:ascii="Montserrat Medium" w:eastAsia="Times New Roman" w:hAnsi="Montserrat Medium" w:cs="Arial"/>
          <w:color w:val="595959"/>
          <w:sz w:val="22"/>
        </w:rPr>
      </w:pPr>
    </w:p>
    <w:p w14:paraId="6E33910F" w14:textId="77777777" w:rsidR="004F67B8" w:rsidRPr="00D56579" w:rsidRDefault="004F67B8" w:rsidP="002F131C">
      <w:pPr>
        <w:contextualSpacing/>
        <w:jc w:val="both"/>
        <w:rPr>
          <w:rFonts w:ascii="Montserrat Medium" w:eastAsia="Times New Roman" w:hAnsi="Montserrat Medium" w:cs="Arial"/>
          <w:color w:val="595959"/>
          <w:sz w:val="22"/>
        </w:rPr>
      </w:pPr>
    </w:p>
    <w:p w14:paraId="2710FEA2" w14:textId="77777777" w:rsidR="005F6D8D" w:rsidRPr="00D56579" w:rsidRDefault="005F6D8D" w:rsidP="002F131C">
      <w:pPr>
        <w:contextualSpacing/>
        <w:jc w:val="both"/>
        <w:rPr>
          <w:rFonts w:ascii="Montserrat Medium" w:eastAsia="Times New Roman" w:hAnsi="Montserrat Medium" w:cs="Arial"/>
          <w:color w:val="595959"/>
          <w:sz w:val="22"/>
        </w:rPr>
      </w:pPr>
    </w:p>
    <w:p w14:paraId="46C4AD7A" w14:textId="77777777" w:rsidR="00636952" w:rsidRDefault="00636952" w:rsidP="002F131C">
      <w:pPr>
        <w:jc w:val="both"/>
        <w:rPr>
          <w:rFonts w:ascii="Montserrat Medium" w:eastAsia="Times New Roman" w:hAnsi="Montserrat Medium" w:cs="Arial"/>
          <w:color w:val="595959"/>
          <w:sz w:val="22"/>
          <w:szCs w:val="22"/>
          <w:lang w:eastAsia="en-US"/>
        </w:rPr>
      </w:pPr>
    </w:p>
    <w:p w14:paraId="2D96426E" w14:textId="77777777" w:rsidR="000445BA" w:rsidRPr="000445BA" w:rsidRDefault="000445BA" w:rsidP="002F131C">
      <w:pPr>
        <w:jc w:val="both"/>
        <w:rPr>
          <w:rFonts w:ascii="Montserrat Medium" w:eastAsia="Times New Roman" w:hAnsi="Montserrat Medium" w:cs="Arial"/>
          <w:color w:val="595959"/>
          <w:sz w:val="22"/>
          <w:szCs w:val="22"/>
          <w:lang w:eastAsia="en-US"/>
        </w:rPr>
      </w:pPr>
      <w:r w:rsidRPr="000445BA">
        <w:rPr>
          <w:rFonts w:ascii="Montserrat Medium" w:eastAsia="Times New Roman" w:hAnsi="Montserrat Medium" w:cs="Arial"/>
          <w:color w:val="595959"/>
          <w:sz w:val="22"/>
          <w:szCs w:val="22"/>
          <w:lang w:eastAsia="en-US"/>
        </w:rPr>
        <w:t>Reconocimiento al 30 de junio de un bien inmueble:</w:t>
      </w:r>
    </w:p>
    <w:tbl>
      <w:tblPr>
        <w:tblW w:w="7180" w:type="dxa"/>
        <w:jc w:val="center"/>
        <w:tblLayout w:type="fixed"/>
        <w:tblCellMar>
          <w:left w:w="70" w:type="dxa"/>
          <w:right w:w="70" w:type="dxa"/>
        </w:tblCellMar>
        <w:tblLook w:val="04A0" w:firstRow="1" w:lastRow="0" w:firstColumn="1" w:lastColumn="0" w:noHBand="0" w:noVBand="1"/>
      </w:tblPr>
      <w:tblGrid>
        <w:gridCol w:w="5408"/>
        <w:gridCol w:w="1772"/>
      </w:tblGrid>
      <w:tr w:rsidR="000445BA" w:rsidRPr="000445BA" w14:paraId="4D73B33A" w14:textId="77777777" w:rsidTr="00B9270E">
        <w:trPr>
          <w:trHeight w:val="437"/>
          <w:tblHeader/>
          <w:jc w:val="center"/>
        </w:trPr>
        <w:tc>
          <w:tcPr>
            <w:tcW w:w="5408"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787F4C33" w14:textId="77777777" w:rsidR="000445BA" w:rsidRPr="000445BA" w:rsidRDefault="000445BA" w:rsidP="002F131C">
            <w:pPr>
              <w:jc w:val="center"/>
              <w:rPr>
                <w:rFonts w:ascii="Montserrat Medium" w:eastAsia="Times New Roman" w:hAnsi="Montserrat Medium" w:cs="Calibri"/>
                <w:b/>
                <w:bCs/>
                <w:color w:val="000000"/>
                <w:sz w:val="18"/>
                <w:szCs w:val="18"/>
                <w:lang w:val="es-MX" w:eastAsia="es-MX"/>
              </w:rPr>
            </w:pPr>
            <w:r w:rsidRPr="000445BA">
              <w:rPr>
                <w:rFonts w:ascii="Montserrat Medium" w:eastAsia="Times New Roman" w:hAnsi="Montserrat Medium" w:cs="Calibri"/>
                <w:b/>
                <w:bCs/>
                <w:color w:val="000000"/>
                <w:sz w:val="18"/>
                <w:szCs w:val="18"/>
                <w:lang w:eastAsia="es-MX"/>
              </w:rPr>
              <w:t>Concepto</w:t>
            </w:r>
          </w:p>
        </w:tc>
        <w:tc>
          <w:tcPr>
            <w:tcW w:w="1772"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469B435A" w14:textId="77777777" w:rsidR="000445BA" w:rsidRPr="000445BA" w:rsidRDefault="000445BA" w:rsidP="002F131C">
            <w:pPr>
              <w:jc w:val="center"/>
              <w:rPr>
                <w:rFonts w:ascii="Montserrat Medium" w:eastAsia="Times New Roman" w:hAnsi="Montserrat Medium" w:cs="Calibri"/>
                <w:b/>
                <w:bCs/>
                <w:color w:val="000000"/>
                <w:sz w:val="18"/>
                <w:szCs w:val="18"/>
                <w:lang w:val="es-MX" w:eastAsia="es-MX"/>
              </w:rPr>
            </w:pPr>
            <w:r w:rsidRPr="000445BA">
              <w:rPr>
                <w:rFonts w:ascii="Montserrat Medium" w:hAnsi="Montserrat Medium" w:cs="Calibri"/>
                <w:b/>
                <w:bCs/>
                <w:color w:val="000000"/>
                <w:sz w:val="18"/>
                <w:szCs w:val="18"/>
              </w:rPr>
              <w:t>Importe</w:t>
            </w:r>
          </w:p>
        </w:tc>
      </w:tr>
      <w:tr w:rsidR="000445BA" w:rsidRPr="000445BA" w14:paraId="2BF70A97" w14:textId="77777777" w:rsidTr="00636952">
        <w:trPr>
          <w:trHeight w:hRule="exact" w:val="515"/>
          <w:jc w:val="center"/>
        </w:trPr>
        <w:tc>
          <w:tcPr>
            <w:tcW w:w="5408" w:type="dxa"/>
            <w:tcBorders>
              <w:top w:val="nil"/>
              <w:left w:val="single" w:sz="8" w:space="0" w:color="auto"/>
              <w:bottom w:val="nil"/>
              <w:right w:val="single" w:sz="8" w:space="0" w:color="auto"/>
            </w:tcBorders>
            <w:shd w:val="clear" w:color="auto" w:fill="auto"/>
            <w:noWrap/>
            <w:vAlign w:val="center"/>
            <w:hideMark/>
          </w:tcPr>
          <w:p w14:paraId="6AAFA89C" w14:textId="77777777" w:rsidR="000445BA" w:rsidRPr="000445BA" w:rsidRDefault="000445BA" w:rsidP="002F131C">
            <w:pPr>
              <w:rPr>
                <w:rFonts w:ascii="Montserrat Medium" w:eastAsia="Times New Roman" w:hAnsi="Montserrat Medium" w:cs="Calibri"/>
                <w:color w:val="000000"/>
                <w:sz w:val="18"/>
                <w:szCs w:val="18"/>
                <w:lang w:eastAsia="es-MX"/>
              </w:rPr>
            </w:pPr>
            <w:r w:rsidRPr="000445BA">
              <w:rPr>
                <w:rFonts w:ascii="Montserrat Medium" w:eastAsia="Times New Roman" w:hAnsi="Montserrat Medium" w:cs="Calibri"/>
                <w:color w:val="000000"/>
                <w:sz w:val="18"/>
                <w:szCs w:val="18"/>
                <w:lang w:eastAsia="es-MX"/>
              </w:rPr>
              <w:t xml:space="preserve">Casa de la Representación de Gobierno de Quintana Roo </w:t>
            </w:r>
          </w:p>
          <w:p w14:paraId="6FE46221" w14:textId="77777777" w:rsidR="000445BA" w:rsidRPr="000445BA" w:rsidRDefault="000445BA" w:rsidP="002F131C">
            <w:pPr>
              <w:rPr>
                <w:rFonts w:ascii="Montserrat Medium" w:eastAsia="Times New Roman" w:hAnsi="Montserrat Medium" w:cs="Calibri"/>
                <w:color w:val="000000"/>
                <w:sz w:val="18"/>
                <w:szCs w:val="18"/>
                <w:lang w:val="es-MX" w:eastAsia="es-MX"/>
              </w:rPr>
            </w:pPr>
            <w:r w:rsidRPr="000445BA">
              <w:rPr>
                <w:rFonts w:ascii="Montserrat Medium" w:eastAsia="Times New Roman" w:hAnsi="Montserrat Medium" w:cs="Calibri"/>
                <w:color w:val="000000"/>
                <w:sz w:val="18"/>
                <w:szCs w:val="18"/>
                <w:lang w:eastAsia="es-MX"/>
              </w:rPr>
              <w:t>en la Ciudad de México</w:t>
            </w:r>
          </w:p>
        </w:tc>
        <w:tc>
          <w:tcPr>
            <w:tcW w:w="1772" w:type="dxa"/>
            <w:tcBorders>
              <w:top w:val="nil"/>
              <w:left w:val="nil"/>
              <w:bottom w:val="nil"/>
              <w:right w:val="single" w:sz="4" w:space="0" w:color="auto"/>
            </w:tcBorders>
            <w:shd w:val="clear" w:color="auto" w:fill="auto"/>
            <w:vAlign w:val="center"/>
            <w:hideMark/>
          </w:tcPr>
          <w:p w14:paraId="279576B0" w14:textId="77777777" w:rsidR="000445BA" w:rsidRPr="000445BA" w:rsidRDefault="000445BA" w:rsidP="002F131C">
            <w:pPr>
              <w:jc w:val="right"/>
              <w:rPr>
                <w:rFonts w:ascii="Montserrat Medium" w:hAnsi="Montserrat Medium"/>
                <w:sz w:val="18"/>
                <w:szCs w:val="18"/>
              </w:rPr>
            </w:pPr>
            <w:r w:rsidRPr="000445BA">
              <w:rPr>
                <w:rFonts w:ascii="Montserrat Medium" w:hAnsi="Montserrat Medium" w:cs="Calibri"/>
                <w:color w:val="000000"/>
                <w:sz w:val="18"/>
                <w:szCs w:val="18"/>
              </w:rPr>
              <w:t>$ 7,639,136.96</w:t>
            </w:r>
          </w:p>
        </w:tc>
      </w:tr>
      <w:tr w:rsidR="000445BA" w:rsidRPr="00D56579" w14:paraId="652206CC" w14:textId="77777777" w:rsidTr="00B9270E">
        <w:trPr>
          <w:trHeight w:hRule="exact" w:val="227"/>
          <w:jc w:val="center"/>
        </w:trPr>
        <w:tc>
          <w:tcPr>
            <w:tcW w:w="5408" w:type="dxa"/>
            <w:tcBorders>
              <w:top w:val="nil"/>
              <w:left w:val="single" w:sz="8" w:space="0" w:color="auto"/>
              <w:bottom w:val="single" w:sz="8" w:space="0" w:color="auto"/>
              <w:right w:val="single" w:sz="8" w:space="0" w:color="auto"/>
            </w:tcBorders>
            <w:shd w:val="clear" w:color="auto" w:fill="auto"/>
            <w:noWrap/>
            <w:vAlign w:val="center"/>
            <w:hideMark/>
          </w:tcPr>
          <w:p w14:paraId="3F5E15BA" w14:textId="77777777" w:rsidR="000445BA" w:rsidRPr="000445BA" w:rsidRDefault="000445BA" w:rsidP="002F131C">
            <w:pPr>
              <w:rPr>
                <w:rFonts w:ascii="Montserrat Medium" w:eastAsia="Times New Roman" w:hAnsi="Montserrat Medium" w:cs="Calibri"/>
                <w:b/>
                <w:bCs/>
                <w:color w:val="000000"/>
                <w:sz w:val="18"/>
                <w:szCs w:val="18"/>
                <w:lang w:val="es-MX" w:eastAsia="es-MX"/>
              </w:rPr>
            </w:pPr>
            <w:r w:rsidRPr="000445BA">
              <w:rPr>
                <w:rFonts w:ascii="Montserrat Medium" w:eastAsia="Times New Roman" w:hAnsi="Montserrat Medium" w:cs="Calibri"/>
                <w:b/>
                <w:bCs/>
                <w:color w:val="000000"/>
                <w:sz w:val="18"/>
                <w:szCs w:val="18"/>
                <w:lang w:eastAsia="es-MX"/>
              </w:rPr>
              <w:t>Total</w:t>
            </w:r>
          </w:p>
        </w:tc>
        <w:tc>
          <w:tcPr>
            <w:tcW w:w="1772" w:type="dxa"/>
            <w:tcBorders>
              <w:top w:val="nil"/>
              <w:left w:val="nil"/>
              <w:bottom w:val="single" w:sz="8" w:space="0" w:color="auto"/>
              <w:right w:val="single" w:sz="4" w:space="0" w:color="auto"/>
            </w:tcBorders>
            <w:shd w:val="clear" w:color="auto" w:fill="auto"/>
            <w:vAlign w:val="center"/>
            <w:hideMark/>
          </w:tcPr>
          <w:p w14:paraId="1774565E" w14:textId="77777777" w:rsidR="000445BA" w:rsidRPr="00D56579" w:rsidRDefault="000445BA" w:rsidP="002F131C">
            <w:pPr>
              <w:jc w:val="right"/>
              <w:rPr>
                <w:rFonts w:ascii="Montserrat Medium" w:hAnsi="Montserrat Medium"/>
                <w:b/>
                <w:sz w:val="18"/>
                <w:szCs w:val="18"/>
              </w:rPr>
            </w:pPr>
            <w:r w:rsidRPr="000445BA">
              <w:rPr>
                <w:rFonts w:ascii="Montserrat Medium" w:hAnsi="Montserrat Medium" w:cs="Calibri"/>
                <w:b/>
                <w:bCs/>
                <w:color w:val="000000"/>
                <w:sz w:val="18"/>
                <w:szCs w:val="18"/>
              </w:rPr>
              <w:t>$ 7,639,136.96</w:t>
            </w:r>
          </w:p>
        </w:tc>
      </w:tr>
    </w:tbl>
    <w:p w14:paraId="656BB838" w14:textId="77777777" w:rsidR="000445BA" w:rsidRDefault="000445BA" w:rsidP="002F131C">
      <w:pPr>
        <w:jc w:val="both"/>
        <w:rPr>
          <w:rFonts w:ascii="Montserrat Medium" w:eastAsia="Times New Roman" w:hAnsi="Montserrat Medium" w:cs="Arial"/>
          <w:color w:val="595959"/>
          <w:sz w:val="22"/>
          <w:szCs w:val="22"/>
          <w:lang w:eastAsia="en-US"/>
        </w:rPr>
      </w:pPr>
    </w:p>
    <w:p w14:paraId="5205523C" w14:textId="77777777" w:rsidR="005F6D8D" w:rsidRPr="00D56579" w:rsidRDefault="005F6D8D" w:rsidP="002F131C">
      <w:pPr>
        <w:contextualSpacing/>
        <w:jc w:val="both"/>
        <w:rPr>
          <w:rFonts w:ascii="Montserrat Medium" w:eastAsia="Times New Roman" w:hAnsi="Montserrat Medium" w:cs="Arial"/>
          <w:color w:val="595959"/>
          <w:sz w:val="22"/>
        </w:rPr>
      </w:pPr>
    </w:p>
    <w:p w14:paraId="2E696AE4" w14:textId="2DBFEA7F" w:rsidR="00DD31D1" w:rsidRDefault="00DD31D1" w:rsidP="002F131C">
      <w:p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 xml:space="preserve">Los edificios no habitacionales se </w:t>
      </w:r>
      <w:r w:rsidR="00F61997" w:rsidRPr="00D56579">
        <w:rPr>
          <w:rFonts w:ascii="Montserrat Medium" w:eastAsia="Times New Roman" w:hAnsi="Montserrat Medium" w:cs="Arial"/>
          <w:color w:val="595959"/>
          <w:sz w:val="22"/>
        </w:rPr>
        <w:t>deprecian</w:t>
      </w:r>
      <w:r w:rsidR="00A60A8D" w:rsidRPr="00D56579">
        <w:rPr>
          <w:rFonts w:ascii="Montserrat Medium" w:eastAsia="Times New Roman" w:hAnsi="Montserrat Medium" w:cs="Arial"/>
          <w:color w:val="595959"/>
          <w:sz w:val="22"/>
        </w:rPr>
        <w:t xml:space="preserve"> por el método de</w:t>
      </w:r>
      <w:r w:rsidRPr="00D56579">
        <w:rPr>
          <w:rFonts w:ascii="Montserrat Medium" w:eastAsia="Times New Roman" w:hAnsi="Montserrat Medium" w:cs="Arial"/>
          <w:color w:val="595959"/>
          <w:sz w:val="22"/>
        </w:rPr>
        <w:t xml:space="preserve"> línea recta a la tasa de 3.3% y se presentan en el siguiente cuadro:</w:t>
      </w:r>
    </w:p>
    <w:p w14:paraId="5C6E22A1" w14:textId="77777777" w:rsidR="000445BA" w:rsidRDefault="000445BA" w:rsidP="002F131C">
      <w:pPr>
        <w:contextualSpacing/>
        <w:jc w:val="both"/>
        <w:rPr>
          <w:rFonts w:ascii="Montserrat Medium" w:eastAsia="Times New Roman" w:hAnsi="Montserrat Medium" w:cs="Arial"/>
          <w:color w:val="595959"/>
          <w:sz w:val="22"/>
        </w:rPr>
      </w:pPr>
    </w:p>
    <w:tbl>
      <w:tblPr>
        <w:tblW w:w="8083" w:type="dxa"/>
        <w:jc w:val="center"/>
        <w:tblInd w:w="-104" w:type="dxa"/>
        <w:tblCellMar>
          <w:left w:w="70" w:type="dxa"/>
          <w:right w:w="70" w:type="dxa"/>
        </w:tblCellMar>
        <w:tblLook w:val="04A0" w:firstRow="1" w:lastRow="0" w:firstColumn="1" w:lastColumn="0" w:noHBand="0" w:noVBand="1"/>
      </w:tblPr>
      <w:tblGrid>
        <w:gridCol w:w="4910"/>
        <w:gridCol w:w="1276"/>
        <w:gridCol w:w="1897"/>
      </w:tblGrid>
      <w:tr w:rsidR="000445BA" w:rsidRPr="000445BA" w14:paraId="06871C50" w14:textId="77777777" w:rsidTr="00636952">
        <w:trPr>
          <w:trHeight w:val="359"/>
          <w:tblHeader/>
          <w:jc w:val="center"/>
        </w:trPr>
        <w:tc>
          <w:tcPr>
            <w:tcW w:w="49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05C8557" w14:textId="77777777" w:rsidR="000445BA" w:rsidRPr="000445BA" w:rsidRDefault="000445BA" w:rsidP="002F131C">
            <w:pPr>
              <w:jc w:val="center"/>
              <w:rPr>
                <w:rFonts w:ascii="Montserrat Medium" w:eastAsia="Times New Roman" w:hAnsi="Montserrat Medium" w:cs="Tahoma"/>
                <w:b/>
                <w:bCs/>
                <w:sz w:val="14"/>
                <w:szCs w:val="18"/>
                <w:lang w:eastAsia="en-US"/>
              </w:rPr>
            </w:pPr>
            <w:r w:rsidRPr="000445BA">
              <w:rPr>
                <w:rFonts w:ascii="Montserrat Medium" w:eastAsia="Times New Roman" w:hAnsi="Montserrat Medium" w:cs="Arial"/>
                <w:b/>
                <w:sz w:val="14"/>
                <w:szCs w:val="18"/>
                <w:lang w:eastAsia="en-US"/>
              </w:rPr>
              <w:t>Descripción del Bien</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8741E91" w14:textId="77777777" w:rsidR="000445BA" w:rsidRPr="000445BA" w:rsidRDefault="000445BA" w:rsidP="002F131C">
            <w:pPr>
              <w:jc w:val="center"/>
              <w:rPr>
                <w:rFonts w:ascii="Montserrat Medium" w:eastAsia="Times New Roman" w:hAnsi="Montserrat Medium" w:cs="Arial"/>
                <w:b/>
                <w:sz w:val="14"/>
                <w:szCs w:val="18"/>
                <w:lang w:eastAsia="en-US"/>
              </w:rPr>
            </w:pPr>
            <w:r w:rsidRPr="000445BA">
              <w:rPr>
                <w:rFonts w:ascii="Montserrat Medium" w:eastAsia="Times New Roman" w:hAnsi="Montserrat Medium" w:cs="Arial"/>
                <w:b/>
                <w:sz w:val="14"/>
                <w:szCs w:val="18"/>
                <w:lang w:eastAsia="en-US"/>
              </w:rPr>
              <w:t>Vida Útil en años</w:t>
            </w:r>
          </w:p>
        </w:tc>
        <w:tc>
          <w:tcPr>
            <w:tcW w:w="189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9C570D9" w14:textId="77777777" w:rsidR="000445BA" w:rsidRPr="000445BA" w:rsidRDefault="000445BA" w:rsidP="002F131C">
            <w:pPr>
              <w:jc w:val="center"/>
              <w:rPr>
                <w:rFonts w:ascii="Montserrat Medium" w:eastAsia="Times New Roman" w:hAnsi="Montserrat Medium" w:cs="Arial"/>
                <w:b/>
                <w:sz w:val="14"/>
                <w:szCs w:val="18"/>
                <w:lang w:eastAsia="en-US"/>
              </w:rPr>
            </w:pPr>
            <w:r w:rsidRPr="000445BA">
              <w:rPr>
                <w:rFonts w:ascii="Montserrat Medium" w:eastAsia="Times New Roman" w:hAnsi="Montserrat Medium" w:cs="Arial"/>
                <w:b/>
                <w:sz w:val="14"/>
                <w:szCs w:val="18"/>
                <w:lang w:eastAsia="en-US"/>
              </w:rPr>
              <w:t>Depreciación Mensual</w:t>
            </w:r>
          </w:p>
        </w:tc>
      </w:tr>
      <w:tr w:rsidR="000445BA" w:rsidRPr="000445BA" w14:paraId="4D579A47" w14:textId="77777777" w:rsidTr="00636952">
        <w:trPr>
          <w:trHeight w:hRule="exact" w:val="235"/>
          <w:jc w:val="center"/>
        </w:trPr>
        <w:tc>
          <w:tcPr>
            <w:tcW w:w="4910" w:type="dxa"/>
            <w:tcBorders>
              <w:top w:val="single" w:sz="4" w:space="0" w:color="auto"/>
              <w:left w:val="single" w:sz="4" w:space="0" w:color="auto"/>
              <w:right w:val="single" w:sz="4" w:space="0" w:color="auto"/>
            </w:tcBorders>
            <w:shd w:val="clear" w:color="auto" w:fill="auto"/>
            <w:hideMark/>
          </w:tcPr>
          <w:p w14:paraId="0855D69F"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Dirección General de Informática</w:t>
            </w:r>
          </w:p>
        </w:tc>
        <w:tc>
          <w:tcPr>
            <w:tcW w:w="1276" w:type="dxa"/>
            <w:tcBorders>
              <w:top w:val="single" w:sz="4" w:space="0" w:color="auto"/>
              <w:left w:val="nil"/>
              <w:right w:val="single" w:sz="4" w:space="0" w:color="auto"/>
            </w:tcBorders>
            <w:shd w:val="clear" w:color="auto" w:fill="auto"/>
            <w:noWrap/>
            <w:vAlign w:val="center"/>
            <w:hideMark/>
          </w:tcPr>
          <w:p w14:paraId="60175605"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top w:val="single" w:sz="4" w:space="0" w:color="auto"/>
              <w:left w:val="nil"/>
              <w:right w:val="single" w:sz="4" w:space="0" w:color="auto"/>
            </w:tcBorders>
            <w:shd w:val="clear" w:color="auto" w:fill="auto"/>
            <w:noWrap/>
            <w:vAlign w:val="center"/>
            <w:hideMark/>
          </w:tcPr>
          <w:p w14:paraId="7A4BE9DC"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29,499.49</w:t>
            </w:r>
          </w:p>
        </w:tc>
      </w:tr>
      <w:tr w:rsidR="000445BA" w:rsidRPr="000445BA" w14:paraId="407FCE01" w14:textId="77777777" w:rsidTr="00636952">
        <w:trPr>
          <w:trHeight w:hRule="exact" w:val="235"/>
          <w:jc w:val="center"/>
        </w:trPr>
        <w:tc>
          <w:tcPr>
            <w:tcW w:w="4910" w:type="dxa"/>
            <w:tcBorders>
              <w:top w:val="nil"/>
              <w:left w:val="single" w:sz="4" w:space="0" w:color="auto"/>
              <w:right w:val="single" w:sz="4" w:space="0" w:color="auto"/>
            </w:tcBorders>
            <w:shd w:val="clear" w:color="auto" w:fill="auto"/>
            <w:hideMark/>
          </w:tcPr>
          <w:p w14:paraId="34C66B4A"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Bodega de la Oficialía Mayor (ex-imprenta de gobierno)</w:t>
            </w:r>
          </w:p>
        </w:tc>
        <w:tc>
          <w:tcPr>
            <w:tcW w:w="1276" w:type="dxa"/>
            <w:tcBorders>
              <w:top w:val="nil"/>
              <w:left w:val="nil"/>
              <w:right w:val="single" w:sz="4" w:space="0" w:color="auto"/>
            </w:tcBorders>
            <w:shd w:val="clear" w:color="auto" w:fill="auto"/>
            <w:noWrap/>
            <w:vAlign w:val="center"/>
            <w:hideMark/>
          </w:tcPr>
          <w:p w14:paraId="3B0EB306"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vAlign w:val="center"/>
            <w:hideMark/>
          </w:tcPr>
          <w:p w14:paraId="3DF6CF69"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25,581.18</w:t>
            </w:r>
          </w:p>
        </w:tc>
      </w:tr>
      <w:tr w:rsidR="000445BA" w:rsidRPr="000445BA" w14:paraId="2C1D3D29" w14:textId="77777777" w:rsidTr="00636952">
        <w:trPr>
          <w:trHeight w:hRule="exact" w:val="235"/>
          <w:jc w:val="center"/>
        </w:trPr>
        <w:tc>
          <w:tcPr>
            <w:tcW w:w="4910" w:type="dxa"/>
            <w:tcBorders>
              <w:top w:val="nil"/>
              <w:left w:val="single" w:sz="4" w:space="0" w:color="auto"/>
              <w:right w:val="single" w:sz="4" w:space="0" w:color="auto"/>
            </w:tcBorders>
            <w:shd w:val="clear" w:color="auto" w:fill="auto"/>
            <w:hideMark/>
          </w:tcPr>
          <w:p w14:paraId="020ED48F" w14:textId="77777777" w:rsidR="000445BA" w:rsidRPr="000445BA" w:rsidRDefault="000445BA" w:rsidP="002F131C">
            <w:pP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Tahoma"/>
                <w:sz w:val="16"/>
                <w:szCs w:val="18"/>
                <w:lang w:eastAsia="en-US"/>
              </w:rPr>
              <w:t>Bodega de la Oficialía Mayor (ex-imprenta de gobierno)</w:t>
            </w:r>
          </w:p>
        </w:tc>
        <w:tc>
          <w:tcPr>
            <w:tcW w:w="1276" w:type="dxa"/>
            <w:tcBorders>
              <w:top w:val="nil"/>
              <w:left w:val="nil"/>
              <w:right w:val="single" w:sz="4" w:space="0" w:color="auto"/>
            </w:tcBorders>
            <w:shd w:val="clear" w:color="auto" w:fill="auto"/>
            <w:noWrap/>
            <w:vAlign w:val="center"/>
            <w:hideMark/>
          </w:tcPr>
          <w:p w14:paraId="0DFD1D69"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vAlign w:val="center"/>
            <w:hideMark/>
          </w:tcPr>
          <w:p w14:paraId="425E061C"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19,929.98</w:t>
            </w:r>
          </w:p>
        </w:tc>
      </w:tr>
      <w:tr w:rsidR="000445BA" w:rsidRPr="000445BA" w14:paraId="06CE1598" w14:textId="77777777" w:rsidTr="00636952">
        <w:trPr>
          <w:trHeight w:hRule="exact" w:val="235"/>
          <w:jc w:val="center"/>
        </w:trPr>
        <w:tc>
          <w:tcPr>
            <w:tcW w:w="4910" w:type="dxa"/>
            <w:tcBorders>
              <w:top w:val="nil"/>
              <w:left w:val="single" w:sz="4" w:space="0" w:color="auto"/>
              <w:right w:val="single" w:sz="4" w:space="0" w:color="auto"/>
            </w:tcBorders>
            <w:shd w:val="clear" w:color="auto" w:fill="auto"/>
            <w:hideMark/>
          </w:tcPr>
          <w:p w14:paraId="78C01154" w14:textId="77777777" w:rsidR="000445BA" w:rsidRPr="000445BA" w:rsidRDefault="000445BA" w:rsidP="002F131C">
            <w:pP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Tahoma"/>
                <w:sz w:val="16"/>
                <w:szCs w:val="18"/>
                <w:lang w:eastAsia="en-US"/>
              </w:rPr>
              <w:t>Oficinas de SEOP</w:t>
            </w:r>
          </w:p>
        </w:tc>
        <w:tc>
          <w:tcPr>
            <w:tcW w:w="1276" w:type="dxa"/>
            <w:tcBorders>
              <w:top w:val="nil"/>
              <w:left w:val="nil"/>
              <w:right w:val="single" w:sz="4" w:space="0" w:color="auto"/>
            </w:tcBorders>
            <w:shd w:val="clear" w:color="auto" w:fill="auto"/>
            <w:noWrap/>
            <w:vAlign w:val="center"/>
            <w:hideMark/>
          </w:tcPr>
          <w:p w14:paraId="7B65AFA2"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vAlign w:val="center"/>
            <w:hideMark/>
          </w:tcPr>
          <w:p w14:paraId="070FDE41"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370,057.82</w:t>
            </w:r>
          </w:p>
        </w:tc>
      </w:tr>
      <w:tr w:rsidR="000445BA" w:rsidRPr="000445BA" w14:paraId="2BAE9619" w14:textId="77777777" w:rsidTr="00636952">
        <w:trPr>
          <w:trHeight w:hRule="exact" w:val="235"/>
          <w:jc w:val="center"/>
        </w:trPr>
        <w:tc>
          <w:tcPr>
            <w:tcW w:w="4910" w:type="dxa"/>
            <w:tcBorders>
              <w:top w:val="nil"/>
              <w:left w:val="single" w:sz="4" w:space="0" w:color="auto"/>
              <w:right w:val="single" w:sz="4" w:space="0" w:color="auto"/>
            </w:tcBorders>
            <w:shd w:val="clear" w:color="auto" w:fill="auto"/>
            <w:hideMark/>
          </w:tcPr>
          <w:p w14:paraId="2B1F219E" w14:textId="77777777" w:rsidR="000445BA" w:rsidRPr="000445BA" w:rsidRDefault="000445BA" w:rsidP="002F131C">
            <w:pP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Tahoma"/>
                <w:sz w:val="16"/>
                <w:szCs w:val="18"/>
                <w:lang w:eastAsia="en-US"/>
              </w:rPr>
              <w:t>Tianguis de la Héroes (locales comerciales)</w:t>
            </w:r>
          </w:p>
        </w:tc>
        <w:tc>
          <w:tcPr>
            <w:tcW w:w="1276" w:type="dxa"/>
            <w:tcBorders>
              <w:top w:val="nil"/>
              <w:left w:val="nil"/>
              <w:right w:val="single" w:sz="4" w:space="0" w:color="auto"/>
            </w:tcBorders>
            <w:shd w:val="clear" w:color="auto" w:fill="auto"/>
            <w:noWrap/>
            <w:vAlign w:val="center"/>
            <w:hideMark/>
          </w:tcPr>
          <w:p w14:paraId="6459631E"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vAlign w:val="center"/>
            <w:hideMark/>
          </w:tcPr>
          <w:p w14:paraId="543C62FE"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54,624.86</w:t>
            </w:r>
          </w:p>
        </w:tc>
      </w:tr>
      <w:tr w:rsidR="000445BA" w:rsidRPr="000445BA" w14:paraId="01DFBDF0" w14:textId="77777777" w:rsidTr="00636952">
        <w:trPr>
          <w:trHeight w:hRule="exact" w:val="235"/>
          <w:jc w:val="center"/>
        </w:trPr>
        <w:tc>
          <w:tcPr>
            <w:tcW w:w="4910" w:type="dxa"/>
            <w:tcBorders>
              <w:top w:val="nil"/>
              <w:left w:val="single" w:sz="4" w:space="0" w:color="auto"/>
              <w:right w:val="single" w:sz="4" w:space="0" w:color="auto"/>
            </w:tcBorders>
            <w:shd w:val="clear" w:color="auto" w:fill="auto"/>
            <w:hideMark/>
          </w:tcPr>
          <w:p w14:paraId="63C0FF2B"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Casa del campesino</w:t>
            </w:r>
          </w:p>
        </w:tc>
        <w:tc>
          <w:tcPr>
            <w:tcW w:w="1276" w:type="dxa"/>
            <w:tcBorders>
              <w:top w:val="nil"/>
              <w:left w:val="nil"/>
              <w:right w:val="single" w:sz="4" w:space="0" w:color="auto"/>
            </w:tcBorders>
            <w:shd w:val="clear" w:color="auto" w:fill="auto"/>
            <w:noWrap/>
            <w:vAlign w:val="center"/>
            <w:hideMark/>
          </w:tcPr>
          <w:p w14:paraId="7E09F666" w14:textId="77777777" w:rsidR="000445BA" w:rsidRPr="000445BA" w:rsidRDefault="000445BA" w:rsidP="00636952">
            <w:pPr>
              <w:jc w:val="cente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30</w:t>
            </w:r>
          </w:p>
        </w:tc>
        <w:tc>
          <w:tcPr>
            <w:tcW w:w="1897" w:type="dxa"/>
            <w:tcBorders>
              <w:top w:val="nil"/>
              <w:left w:val="nil"/>
              <w:right w:val="single" w:sz="4" w:space="0" w:color="auto"/>
            </w:tcBorders>
            <w:shd w:val="clear" w:color="auto" w:fill="auto"/>
            <w:noWrap/>
            <w:vAlign w:val="center"/>
            <w:hideMark/>
          </w:tcPr>
          <w:p w14:paraId="5F3EA8D4" w14:textId="77777777" w:rsidR="000445BA" w:rsidRPr="000445BA" w:rsidRDefault="000445BA" w:rsidP="00636952">
            <w:pPr>
              <w:jc w:val="center"/>
              <w:rPr>
                <w:rFonts w:ascii="Montserrat Medium" w:eastAsia="Times New Roman" w:hAnsi="Montserrat Medium" w:cs="Tahoma"/>
                <w:sz w:val="16"/>
                <w:szCs w:val="16"/>
                <w:lang w:eastAsia="en-US"/>
              </w:rPr>
            </w:pPr>
            <w:r w:rsidRPr="000445BA">
              <w:rPr>
                <w:rFonts w:ascii="Montserrat Medium" w:hAnsi="Montserrat Medium" w:cs="Calibri"/>
                <w:color w:val="000000"/>
                <w:sz w:val="16"/>
                <w:szCs w:val="16"/>
              </w:rPr>
              <w:t>7,397.87</w:t>
            </w:r>
          </w:p>
        </w:tc>
      </w:tr>
      <w:tr w:rsidR="000445BA" w:rsidRPr="000445BA" w14:paraId="71E33A70" w14:textId="77777777" w:rsidTr="00636952">
        <w:trPr>
          <w:trHeight w:hRule="exact" w:val="235"/>
          <w:jc w:val="center"/>
        </w:trPr>
        <w:tc>
          <w:tcPr>
            <w:tcW w:w="4910" w:type="dxa"/>
            <w:tcBorders>
              <w:top w:val="nil"/>
              <w:left w:val="single" w:sz="4" w:space="0" w:color="auto"/>
              <w:right w:val="single" w:sz="4" w:space="0" w:color="auto"/>
            </w:tcBorders>
            <w:shd w:val="clear" w:color="auto" w:fill="auto"/>
            <w:hideMark/>
          </w:tcPr>
          <w:p w14:paraId="7F864965"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Casa del campesino</w:t>
            </w:r>
          </w:p>
        </w:tc>
        <w:tc>
          <w:tcPr>
            <w:tcW w:w="1276" w:type="dxa"/>
            <w:tcBorders>
              <w:top w:val="nil"/>
              <w:left w:val="nil"/>
              <w:right w:val="single" w:sz="4" w:space="0" w:color="auto"/>
            </w:tcBorders>
            <w:shd w:val="clear" w:color="auto" w:fill="auto"/>
            <w:noWrap/>
            <w:vAlign w:val="center"/>
            <w:hideMark/>
          </w:tcPr>
          <w:p w14:paraId="5DBAA426" w14:textId="77777777" w:rsidR="000445BA" w:rsidRPr="000445BA" w:rsidRDefault="000445BA" w:rsidP="00636952">
            <w:pPr>
              <w:jc w:val="cente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30</w:t>
            </w:r>
          </w:p>
        </w:tc>
        <w:tc>
          <w:tcPr>
            <w:tcW w:w="1897" w:type="dxa"/>
            <w:tcBorders>
              <w:top w:val="nil"/>
              <w:left w:val="nil"/>
              <w:right w:val="single" w:sz="4" w:space="0" w:color="auto"/>
            </w:tcBorders>
            <w:shd w:val="clear" w:color="auto" w:fill="auto"/>
            <w:noWrap/>
            <w:vAlign w:val="center"/>
            <w:hideMark/>
          </w:tcPr>
          <w:p w14:paraId="5C382B55" w14:textId="77777777" w:rsidR="000445BA" w:rsidRPr="000445BA" w:rsidRDefault="000445BA" w:rsidP="00636952">
            <w:pPr>
              <w:jc w:val="center"/>
              <w:rPr>
                <w:rFonts w:ascii="Montserrat Medium" w:eastAsia="Times New Roman" w:hAnsi="Montserrat Medium" w:cs="Tahoma"/>
                <w:sz w:val="16"/>
                <w:szCs w:val="16"/>
                <w:lang w:eastAsia="en-US"/>
              </w:rPr>
            </w:pPr>
            <w:r w:rsidRPr="000445BA">
              <w:rPr>
                <w:rFonts w:ascii="Montserrat Medium" w:hAnsi="Montserrat Medium" w:cs="Calibri"/>
                <w:color w:val="000000"/>
                <w:sz w:val="16"/>
                <w:szCs w:val="16"/>
              </w:rPr>
              <w:t>12,801.31</w:t>
            </w:r>
          </w:p>
        </w:tc>
      </w:tr>
      <w:tr w:rsidR="000445BA" w:rsidRPr="000445BA" w14:paraId="684B9C0D" w14:textId="77777777" w:rsidTr="00636952">
        <w:trPr>
          <w:trHeight w:hRule="exact" w:val="194"/>
          <w:jc w:val="center"/>
        </w:trPr>
        <w:tc>
          <w:tcPr>
            <w:tcW w:w="4910" w:type="dxa"/>
            <w:tcBorders>
              <w:top w:val="nil"/>
              <w:left w:val="single" w:sz="4" w:space="0" w:color="auto"/>
              <w:right w:val="single" w:sz="4" w:space="0" w:color="auto"/>
            </w:tcBorders>
            <w:shd w:val="clear" w:color="auto" w:fill="auto"/>
            <w:hideMark/>
          </w:tcPr>
          <w:p w14:paraId="3545BD5E"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Oficinas y tanque elevado</w:t>
            </w:r>
          </w:p>
        </w:tc>
        <w:tc>
          <w:tcPr>
            <w:tcW w:w="1276" w:type="dxa"/>
            <w:tcBorders>
              <w:top w:val="nil"/>
              <w:left w:val="nil"/>
              <w:right w:val="single" w:sz="4" w:space="0" w:color="auto"/>
            </w:tcBorders>
            <w:shd w:val="clear" w:color="auto" w:fill="auto"/>
            <w:noWrap/>
            <w:vAlign w:val="center"/>
            <w:hideMark/>
          </w:tcPr>
          <w:p w14:paraId="4F7EA187" w14:textId="77777777" w:rsidR="000445BA" w:rsidRPr="000445BA" w:rsidRDefault="000445BA" w:rsidP="00636952">
            <w:pPr>
              <w:jc w:val="cente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30</w:t>
            </w:r>
          </w:p>
        </w:tc>
        <w:tc>
          <w:tcPr>
            <w:tcW w:w="1897" w:type="dxa"/>
            <w:tcBorders>
              <w:top w:val="nil"/>
              <w:left w:val="nil"/>
              <w:right w:val="single" w:sz="4" w:space="0" w:color="auto"/>
            </w:tcBorders>
            <w:shd w:val="clear" w:color="auto" w:fill="auto"/>
            <w:noWrap/>
            <w:vAlign w:val="center"/>
            <w:hideMark/>
          </w:tcPr>
          <w:p w14:paraId="4807A4D7" w14:textId="77777777" w:rsidR="000445BA" w:rsidRPr="000445BA" w:rsidRDefault="000445BA" w:rsidP="00636952">
            <w:pPr>
              <w:jc w:val="center"/>
              <w:rPr>
                <w:rFonts w:ascii="Montserrat Medium" w:eastAsia="Times New Roman" w:hAnsi="Montserrat Medium" w:cs="Tahoma"/>
                <w:sz w:val="16"/>
                <w:szCs w:val="16"/>
                <w:lang w:eastAsia="en-US"/>
              </w:rPr>
            </w:pPr>
            <w:r w:rsidRPr="000445BA">
              <w:rPr>
                <w:rFonts w:ascii="Montserrat Medium" w:hAnsi="Montserrat Medium" w:cs="Calibri"/>
                <w:color w:val="000000"/>
                <w:sz w:val="16"/>
                <w:szCs w:val="16"/>
              </w:rPr>
              <w:t>36,392.10</w:t>
            </w:r>
          </w:p>
        </w:tc>
      </w:tr>
      <w:tr w:rsidR="000445BA" w:rsidRPr="000445BA" w14:paraId="322C1A90" w14:textId="77777777" w:rsidTr="00636952">
        <w:trPr>
          <w:trHeight w:hRule="exact" w:val="239"/>
          <w:jc w:val="center"/>
        </w:trPr>
        <w:tc>
          <w:tcPr>
            <w:tcW w:w="4910" w:type="dxa"/>
            <w:tcBorders>
              <w:left w:val="single" w:sz="4" w:space="0" w:color="auto"/>
              <w:right w:val="single" w:sz="4" w:space="0" w:color="auto"/>
            </w:tcBorders>
            <w:shd w:val="clear" w:color="auto" w:fill="auto"/>
            <w:hideMark/>
          </w:tcPr>
          <w:p w14:paraId="37AE97A8"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CENDI 2</w:t>
            </w:r>
          </w:p>
        </w:tc>
        <w:tc>
          <w:tcPr>
            <w:tcW w:w="1276" w:type="dxa"/>
            <w:tcBorders>
              <w:left w:val="nil"/>
              <w:right w:val="single" w:sz="4" w:space="0" w:color="auto"/>
            </w:tcBorders>
            <w:shd w:val="clear" w:color="auto" w:fill="auto"/>
            <w:noWrap/>
            <w:vAlign w:val="center"/>
            <w:hideMark/>
          </w:tcPr>
          <w:p w14:paraId="3FFCE850" w14:textId="77777777" w:rsidR="000445BA" w:rsidRPr="000445BA" w:rsidRDefault="000445BA" w:rsidP="00636952">
            <w:pPr>
              <w:jc w:val="cente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30</w:t>
            </w:r>
          </w:p>
        </w:tc>
        <w:tc>
          <w:tcPr>
            <w:tcW w:w="1897" w:type="dxa"/>
            <w:tcBorders>
              <w:left w:val="nil"/>
              <w:right w:val="single" w:sz="4" w:space="0" w:color="auto"/>
            </w:tcBorders>
            <w:shd w:val="clear" w:color="auto" w:fill="auto"/>
            <w:noWrap/>
            <w:vAlign w:val="center"/>
            <w:hideMark/>
          </w:tcPr>
          <w:p w14:paraId="64692E8F" w14:textId="77777777" w:rsidR="000445BA" w:rsidRPr="000445BA" w:rsidRDefault="000445BA" w:rsidP="00636952">
            <w:pPr>
              <w:jc w:val="center"/>
              <w:rPr>
                <w:rFonts w:ascii="Montserrat Medium" w:eastAsia="Times New Roman" w:hAnsi="Montserrat Medium" w:cs="Tahoma"/>
                <w:sz w:val="16"/>
                <w:szCs w:val="16"/>
                <w:lang w:eastAsia="en-US"/>
              </w:rPr>
            </w:pPr>
            <w:r w:rsidRPr="000445BA">
              <w:rPr>
                <w:rFonts w:ascii="Montserrat Medium" w:hAnsi="Montserrat Medium" w:cs="Calibri"/>
                <w:color w:val="000000"/>
                <w:sz w:val="16"/>
                <w:szCs w:val="16"/>
              </w:rPr>
              <w:t>442,826.31</w:t>
            </w:r>
          </w:p>
        </w:tc>
      </w:tr>
      <w:tr w:rsidR="000445BA" w:rsidRPr="000445BA" w14:paraId="48DDD44E" w14:textId="77777777" w:rsidTr="00636952">
        <w:trPr>
          <w:trHeight w:hRule="exact" w:val="443"/>
          <w:jc w:val="center"/>
        </w:trPr>
        <w:tc>
          <w:tcPr>
            <w:tcW w:w="4910" w:type="dxa"/>
            <w:tcBorders>
              <w:left w:val="single" w:sz="4" w:space="0" w:color="auto"/>
              <w:right w:val="single" w:sz="4" w:space="0" w:color="auto"/>
            </w:tcBorders>
            <w:shd w:val="clear" w:color="auto" w:fill="auto"/>
            <w:hideMark/>
          </w:tcPr>
          <w:p w14:paraId="6103CE64" w14:textId="77777777" w:rsidR="000445BA" w:rsidRPr="000445BA" w:rsidRDefault="000445BA" w:rsidP="002F131C">
            <w:pP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Tahoma"/>
                <w:sz w:val="16"/>
                <w:szCs w:val="18"/>
                <w:lang w:eastAsia="en-US"/>
              </w:rPr>
              <w:t>Coordinación de profesionalización de la Oficialía Mayor (ex hotel)</w:t>
            </w:r>
          </w:p>
        </w:tc>
        <w:tc>
          <w:tcPr>
            <w:tcW w:w="1276" w:type="dxa"/>
            <w:tcBorders>
              <w:left w:val="nil"/>
              <w:right w:val="single" w:sz="4" w:space="0" w:color="auto"/>
            </w:tcBorders>
            <w:shd w:val="clear" w:color="auto" w:fill="auto"/>
            <w:noWrap/>
            <w:vAlign w:val="center"/>
            <w:hideMark/>
          </w:tcPr>
          <w:p w14:paraId="6A11C87D"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left w:val="nil"/>
              <w:right w:val="single" w:sz="4" w:space="0" w:color="auto"/>
            </w:tcBorders>
            <w:shd w:val="clear" w:color="auto" w:fill="auto"/>
            <w:noWrap/>
            <w:vAlign w:val="center"/>
            <w:hideMark/>
          </w:tcPr>
          <w:p w14:paraId="47454E68"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38,728.94</w:t>
            </w:r>
          </w:p>
        </w:tc>
      </w:tr>
      <w:tr w:rsidR="000445BA" w:rsidRPr="000445BA" w14:paraId="566A8E4B" w14:textId="77777777" w:rsidTr="00636952">
        <w:trPr>
          <w:trHeight w:hRule="exact" w:val="280"/>
          <w:jc w:val="center"/>
        </w:trPr>
        <w:tc>
          <w:tcPr>
            <w:tcW w:w="4910" w:type="dxa"/>
            <w:tcBorders>
              <w:top w:val="nil"/>
              <w:left w:val="single" w:sz="4" w:space="0" w:color="auto"/>
              <w:right w:val="single" w:sz="4" w:space="0" w:color="auto"/>
            </w:tcBorders>
            <w:shd w:val="clear" w:color="auto" w:fill="auto"/>
            <w:hideMark/>
          </w:tcPr>
          <w:p w14:paraId="01269D17" w14:textId="77777777" w:rsidR="000445BA" w:rsidRPr="000445BA" w:rsidRDefault="000445BA" w:rsidP="002F131C">
            <w:pP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Tahoma"/>
                <w:sz w:val="16"/>
                <w:szCs w:val="18"/>
                <w:lang w:eastAsia="en-US"/>
              </w:rPr>
              <w:t>Palacio de Gobierno</w:t>
            </w:r>
          </w:p>
        </w:tc>
        <w:tc>
          <w:tcPr>
            <w:tcW w:w="1276" w:type="dxa"/>
            <w:tcBorders>
              <w:top w:val="nil"/>
              <w:left w:val="nil"/>
              <w:right w:val="single" w:sz="4" w:space="0" w:color="auto"/>
            </w:tcBorders>
            <w:shd w:val="clear" w:color="auto" w:fill="auto"/>
            <w:noWrap/>
            <w:vAlign w:val="center"/>
            <w:hideMark/>
          </w:tcPr>
          <w:p w14:paraId="41652C49"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vAlign w:val="center"/>
            <w:hideMark/>
          </w:tcPr>
          <w:p w14:paraId="6160B773"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704,908.78</w:t>
            </w:r>
          </w:p>
        </w:tc>
      </w:tr>
      <w:tr w:rsidR="000445BA" w:rsidRPr="000445BA" w14:paraId="72C9DD53" w14:textId="77777777" w:rsidTr="00636952">
        <w:trPr>
          <w:trHeight w:hRule="exact" w:val="235"/>
          <w:jc w:val="center"/>
        </w:trPr>
        <w:tc>
          <w:tcPr>
            <w:tcW w:w="4910" w:type="dxa"/>
            <w:tcBorders>
              <w:left w:val="single" w:sz="4" w:space="0" w:color="auto"/>
              <w:right w:val="single" w:sz="4" w:space="0" w:color="auto"/>
            </w:tcBorders>
            <w:shd w:val="clear" w:color="auto" w:fill="auto"/>
            <w:hideMark/>
          </w:tcPr>
          <w:p w14:paraId="50E1B314"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Casa de la cultura de Bacalar</w:t>
            </w:r>
          </w:p>
        </w:tc>
        <w:tc>
          <w:tcPr>
            <w:tcW w:w="1276" w:type="dxa"/>
            <w:tcBorders>
              <w:left w:val="nil"/>
              <w:right w:val="single" w:sz="4" w:space="0" w:color="auto"/>
            </w:tcBorders>
            <w:shd w:val="clear" w:color="auto" w:fill="auto"/>
            <w:noWrap/>
            <w:vAlign w:val="center"/>
            <w:hideMark/>
          </w:tcPr>
          <w:p w14:paraId="7D9FEC51"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left w:val="nil"/>
              <w:right w:val="single" w:sz="4" w:space="0" w:color="auto"/>
            </w:tcBorders>
            <w:shd w:val="clear" w:color="auto" w:fill="auto"/>
            <w:noWrap/>
            <w:vAlign w:val="center"/>
            <w:hideMark/>
          </w:tcPr>
          <w:p w14:paraId="7B39C866"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48,970.29</w:t>
            </w:r>
          </w:p>
        </w:tc>
      </w:tr>
      <w:tr w:rsidR="000445BA" w:rsidRPr="000445BA" w14:paraId="1EF6C586" w14:textId="77777777" w:rsidTr="00636952">
        <w:trPr>
          <w:trHeight w:hRule="exact" w:val="235"/>
          <w:jc w:val="center"/>
        </w:trPr>
        <w:tc>
          <w:tcPr>
            <w:tcW w:w="4910" w:type="dxa"/>
            <w:tcBorders>
              <w:top w:val="nil"/>
              <w:left w:val="single" w:sz="4" w:space="0" w:color="auto"/>
              <w:right w:val="single" w:sz="4" w:space="0" w:color="auto"/>
            </w:tcBorders>
            <w:shd w:val="clear" w:color="auto" w:fill="auto"/>
            <w:hideMark/>
          </w:tcPr>
          <w:p w14:paraId="453CA520"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Museo de la cultura maya</w:t>
            </w:r>
          </w:p>
        </w:tc>
        <w:tc>
          <w:tcPr>
            <w:tcW w:w="1276" w:type="dxa"/>
            <w:tcBorders>
              <w:top w:val="nil"/>
              <w:left w:val="single" w:sz="4" w:space="0" w:color="auto"/>
              <w:right w:val="single" w:sz="4" w:space="0" w:color="auto"/>
            </w:tcBorders>
            <w:shd w:val="clear" w:color="auto" w:fill="auto"/>
            <w:noWrap/>
            <w:vAlign w:val="center"/>
            <w:hideMark/>
          </w:tcPr>
          <w:p w14:paraId="42978CB9"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top w:val="nil"/>
              <w:left w:val="single" w:sz="4" w:space="0" w:color="auto"/>
              <w:right w:val="single" w:sz="4" w:space="0" w:color="auto"/>
            </w:tcBorders>
            <w:shd w:val="clear" w:color="auto" w:fill="auto"/>
            <w:noWrap/>
            <w:vAlign w:val="center"/>
            <w:hideMark/>
          </w:tcPr>
          <w:p w14:paraId="4AFE75B7"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898,229.41</w:t>
            </w:r>
          </w:p>
        </w:tc>
      </w:tr>
      <w:tr w:rsidR="000445BA" w:rsidRPr="000445BA" w14:paraId="562DB5A8" w14:textId="77777777" w:rsidTr="00636952">
        <w:trPr>
          <w:trHeight w:hRule="exact" w:val="235"/>
          <w:jc w:val="center"/>
        </w:trPr>
        <w:tc>
          <w:tcPr>
            <w:tcW w:w="4910" w:type="dxa"/>
            <w:tcBorders>
              <w:left w:val="single" w:sz="4" w:space="0" w:color="auto"/>
              <w:right w:val="single" w:sz="4" w:space="0" w:color="auto"/>
            </w:tcBorders>
            <w:shd w:val="clear" w:color="auto" w:fill="auto"/>
            <w:hideMark/>
          </w:tcPr>
          <w:p w14:paraId="7C046990"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Gimnasio "</w:t>
            </w:r>
            <w:proofErr w:type="spellStart"/>
            <w:r w:rsidRPr="000445BA">
              <w:rPr>
                <w:rFonts w:ascii="Montserrat Medium" w:eastAsia="Times New Roman" w:hAnsi="Montserrat Medium" w:cs="Tahoma"/>
                <w:sz w:val="16"/>
                <w:szCs w:val="18"/>
                <w:lang w:eastAsia="en-US"/>
              </w:rPr>
              <w:t>Nohoch</w:t>
            </w:r>
            <w:proofErr w:type="spellEnd"/>
            <w:r w:rsidRPr="000445BA">
              <w:rPr>
                <w:rFonts w:ascii="Montserrat Medium" w:eastAsia="Times New Roman" w:hAnsi="Montserrat Medium" w:cs="Tahoma"/>
                <w:sz w:val="16"/>
                <w:szCs w:val="18"/>
                <w:lang w:eastAsia="en-US"/>
              </w:rPr>
              <w:t xml:space="preserve"> </w:t>
            </w:r>
            <w:proofErr w:type="spellStart"/>
            <w:r w:rsidRPr="000445BA">
              <w:rPr>
                <w:rFonts w:ascii="Montserrat Medium" w:eastAsia="Times New Roman" w:hAnsi="Montserrat Medium" w:cs="Tahoma"/>
                <w:sz w:val="16"/>
                <w:szCs w:val="18"/>
                <w:lang w:eastAsia="en-US"/>
              </w:rPr>
              <w:t>Suku'n</w:t>
            </w:r>
            <w:proofErr w:type="spellEnd"/>
            <w:r w:rsidRPr="000445BA">
              <w:rPr>
                <w:rFonts w:ascii="Montserrat Medium" w:eastAsia="Times New Roman" w:hAnsi="Montserrat Medium" w:cs="Tahoma"/>
                <w:sz w:val="16"/>
                <w:szCs w:val="18"/>
                <w:lang w:eastAsia="en-US"/>
              </w:rPr>
              <w:t>"</w:t>
            </w:r>
          </w:p>
        </w:tc>
        <w:tc>
          <w:tcPr>
            <w:tcW w:w="1276" w:type="dxa"/>
            <w:tcBorders>
              <w:left w:val="nil"/>
              <w:right w:val="single" w:sz="4" w:space="0" w:color="auto"/>
            </w:tcBorders>
            <w:shd w:val="clear" w:color="auto" w:fill="auto"/>
            <w:noWrap/>
            <w:vAlign w:val="center"/>
            <w:hideMark/>
          </w:tcPr>
          <w:p w14:paraId="5052A8E1"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left w:val="nil"/>
              <w:right w:val="single" w:sz="4" w:space="0" w:color="auto"/>
            </w:tcBorders>
            <w:shd w:val="clear" w:color="auto" w:fill="auto"/>
            <w:noWrap/>
            <w:vAlign w:val="center"/>
            <w:hideMark/>
          </w:tcPr>
          <w:p w14:paraId="0E25AB6A"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389,829.96</w:t>
            </w:r>
          </w:p>
        </w:tc>
      </w:tr>
      <w:tr w:rsidR="000445BA" w:rsidRPr="000445BA" w14:paraId="589E06C1" w14:textId="77777777" w:rsidTr="00636952">
        <w:trPr>
          <w:trHeight w:hRule="exact" w:val="235"/>
          <w:jc w:val="center"/>
        </w:trPr>
        <w:tc>
          <w:tcPr>
            <w:tcW w:w="4910" w:type="dxa"/>
            <w:tcBorders>
              <w:top w:val="nil"/>
              <w:left w:val="single" w:sz="4" w:space="0" w:color="auto"/>
              <w:right w:val="single" w:sz="4" w:space="0" w:color="auto"/>
            </w:tcBorders>
            <w:shd w:val="clear" w:color="auto" w:fill="auto"/>
            <w:hideMark/>
          </w:tcPr>
          <w:p w14:paraId="329ED80E"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Caseta de policía</w:t>
            </w:r>
          </w:p>
        </w:tc>
        <w:tc>
          <w:tcPr>
            <w:tcW w:w="1276" w:type="dxa"/>
            <w:tcBorders>
              <w:top w:val="nil"/>
              <w:left w:val="nil"/>
              <w:right w:val="single" w:sz="4" w:space="0" w:color="auto"/>
            </w:tcBorders>
            <w:shd w:val="clear" w:color="auto" w:fill="auto"/>
            <w:noWrap/>
            <w:vAlign w:val="center"/>
            <w:hideMark/>
          </w:tcPr>
          <w:p w14:paraId="12D36BC1"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vAlign w:val="center"/>
            <w:hideMark/>
          </w:tcPr>
          <w:p w14:paraId="53D97659"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4,433.88</w:t>
            </w:r>
          </w:p>
        </w:tc>
      </w:tr>
      <w:tr w:rsidR="000445BA" w:rsidRPr="000445BA" w14:paraId="7C5E4B16" w14:textId="77777777" w:rsidTr="00636952">
        <w:trPr>
          <w:trHeight w:hRule="exact" w:val="235"/>
          <w:jc w:val="center"/>
        </w:trPr>
        <w:tc>
          <w:tcPr>
            <w:tcW w:w="4910" w:type="dxa"/>
            <w:tcBorders>
              <w:left w:val="single" w:sz="4" w:space="0" w:color="auto"/>
              <w:right w:val="single" w:sz="4" w:space="0" w:color="auto"/>
            </w:tcBorders>
            <w:shd w:val="clear" w:color="auto" w:fill="auto"/>
            <w:hideMark/>
          </w:tcPr>
          <w:p w14:paraId="4175EC76"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Caseta de policía</w:t>
            </w:r>
          </w:p>
        </w:tc>
        <w:tc>
          <w:tcPr>
            <w:tcW w:w="1276" w:type="dxa"/>
            <w:tcBorders>
              <w:left w:val="nil"/>
              <w:right w:val="single" w:sz="4" w:space="0" w:color="auto"/>
            </w:tcBorders>
            <w:shd w:val="clear" w:color="auto" w:fill="auto"/>
            <w:noWrap/>
            <w:vAlign w:val="center"/>
            <w:hideMark/>
          </w:tcPr>
          <w:p w14:paraId="63FD363E"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left w:val="nil"/>
              <w:right w:val="single" w:sz="4" w:space="0" w:color="auto"/>
            </w:tcBorders>
            <w:shd w:val="clear" w:color="auto" w:fill="auto"/>
            <w:noWrap/>
            <w:vAlign w:val="center"/>
            <w:hideMark/>
          </w:tcPr>
          <w:p w14:paraId="0416DE64"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3,873.75</w:t>
            </w:r>
          </w:p>
        </w:tc>
      </w:tr>
      <w:tr w:rsidR="000445BA" w:rsidRPr="000445BA" w14:paraId="490C5A00" w14:textId="77777777" w:rsidTr="00636952">
        <w:trPr>
          <w:trHeight w:hRule="exact" w:val="235"/>
          <w:jc w:val="center"/>
        </w:trPr>
        <w:tc>
          <w:tcPr>
            <w:tcW w:w="4910" w:type="dxa"/>
            <w:tcBorders>
              <w:top w:val="nil"/>
              <w:left w:val="single" w:sz="4" w:space="0" w:color="auto"/>
              <w:right w:val="single" w:sz="4" w:space="0" w:color="auto"/>
            </w:tcBorders>
            <w:shd w:val="clear" w:color="auto" w:fill="auto"/>
            <w:hideMark/>
          </w:tcPr>
          <w:p w14:paraId="48738400"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Jardín de niños "Patria" f-b</w:t>
            </w:r>
          </w:p>
        </w:tc>
        <w:tc>
          <w:tcPr>
            <w:tcW w:w="1276" w:type="dxa"/>
            <w:tcBorders>
              <w:top w:val="nil"/>
              <w:left w:val="nil"/>
              <w:right w:val="single" w:sz="4" w:space="0" w:color="auto"/>
            </w:tcBorders>
            <w:shd w:val="clear" w:color="auto" w:fill="auto"/>
            <w:noWrap/>
            <w:vAlign w:val="center"/>
            <w:hideMark/>
          </w:tcPr>
          <w:p w14:paraId="129BDB54"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vAlign w:val="center"/>
            <w:hideMark/>
          </w:tcPr>
          <w:p w14:paraId="0039EB81"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8,768.76</w:t>
            </w:r>
          </w:p>
        </w:tc>
      </w:tr>
      <w:tr w:rsidR="000445BA" w:rsidRPr="000445BA" w14:paraId="18653900" w14:textId="77777777" w:rsidTr="00636952">
        <w:trPr>
          <w:trHeight w:hRule="exact" w:val="232"/>
          <w:jc w:val="center"/>
        </w:trPr>
        <w:tc>
          <w:tcPr>
            <w:tcW w:w="4910" w:type="dxa"/>
            <w:tcBorders>
              <w:top w:val="nil"/>
              <w:left w:val="single" w:sz="4" w:space="0" w:color="auto"/>
              <w:right w:val="single" w:sz="4" w:space="0" w:color="auto"/>
            </w:tcBorders>
            <w:shd w:val="clear" w:color="auto" w:fill="auto"/>
            <w:hideMark/>
          </w:tcPr>
          <w:p w14:paraId="79E59D4C"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Jardín de niños "Patria" f-a</w:t>
            </w:r>
          </w:p>
        </w:tc>
        <w:tc>
          <w:tcPr>
            <w:tcW w:w="1276" w:type="dxa"/>
            <w:tcBorders>
              <w:top w:val="nil"/>
              <w:left w:val="nil"/>
              <w:right w:val="single" w:sz="4" w:space="0" w:color="auto"/>
            </w:tcBorders>
            <w:shd w:val="clear" w:color="auto" w:fill="auto"/>
            <w:noWrap/>
            <w:vAlign w:val="center"/>
            <w:hideMark/>
          </w:tcPr>
          <w:p w14:paraId="78D05907"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vAlign w:val="center"/>
            <w:hideMark/>
          </w:tcPr>
          <w:p w14:paraId="6BF45B73"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39,399.47</w:t>
            </w:r>
          </w:p>
        </w:tc>
      </w:tr>
      <w:tr w:rsidR="000445BA" w:rsidRPr="000445BA" w14:paraId="7D99A9FF" w14:textId="77777777" w:rsidTr="00636952">
        <w:trPr>
          <w:trHeight w:hRule="exact" w:val="232"/>
          <w:jc w:val="center"/>
        </w:trPr>
        <w:tc>
          <w:tcPr>
            <w:tcW w:w="4910" w:type="dxa"/>
            <w:tcBorders>
              <w:top w:val="nil"/>
              <w:left w:val="single" w:sz="4" w:space="0" w:color="auto"/>
              <w:right w:val="single" w:sz="4" w:space="0" w:color="auto"/>
            </w:tcBorders>
            <w:shd w:val="clear" w:color="auto" w:fill="auto"/>
            <w:hideMark/>
          </w:tcPr>
          <w:p w14:paraId="7E486FF7"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Jardín de niños "Carmen Ochoa de Merino"</w:t>
            </w:r>
          </w:p>
        </w:tc>
        <w:tc>
          <w:tcPr>
            <w:tcW w:w="1276" w:type="dxa"/>
            <w:tcBorders>
              <w:top w:val="nil"/>
              <w:left w:val="nil"/>
              <w:right w:val="single" w:sz="4" w:space="0" w:color="auto"/>
            </w:tcBorders>
            <w:shd w:val="clear" w:color="auto" w:fill="auto"/>
            <w:noWrap/>
            <w:vAlign w:val="center"/>
            <w:hideMark/>
          </w:tcPr>
          <w:p w14:paraId="3BFC550F"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vAlign w:val="center"/>
            <w:hideMark/>
          </w:tcPr>
          <w:p w14:paraId="5A5803E1"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44,700.51</w:t>
            </w:r>
          </w:p>
        </w:tc>
      </w:tr>
      <w:tr w:rsidR="000445BA" w:rsidRPr="000445BA" w14:paraId="2650E16E" w14:textId="77777777" w:rsidTr="00636952">
        <w:trPr>
          <w:trHeight w:hRule="exact" w:val="232"/>
          <w:jc w:val="center"/>
        </w:trPr>
        <w:tc>
          <w:tcPr>
            <w:tcW w:w="4910" w:type="dxa"/>
            <w:tcBorders>
              <w:left w:val="single" w:sz="4" w:space="0" w:color="auto"/>
              <w:right w:val="single" w:sz="4" w:space="0" w:color="auto"/>
            </w:tcBorders>
            <w:shd w:val="clear" w:color="auto" w:fill="auto"/>
            <w:hideMark/>
          </w:tcPr>
          <w:p w14:paraId="0B1BA4FC"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Jardín de niños "Narciso Mendoza"</w:t>
            </w:r>
          </w:p>
        </w:tc>
        <w:tc>
          <w:tcPr>
            <w:tcW w:w="1276" w:type="dxa"/>
            <w:tcBorders>
              <w:left w:val="nil"/>
              <w:right w:val="single" w:sz="4" w:space="0" w:color="auto"/>
            </w:tcBorders>
            <w:shd w:val="clear" w:color="auto" w:fill="auto"/>
            <w:noWrap/>
            <w:vAlign w:val="center"/>
            <w:hideMark/>
          </w:tcPr>
          <w:p w14:paraId="3E950913"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left w:val="nil"/>
              <w:right w:val="single" w:sz="4" w:space="0" w:color="auto"/>
            </w:tcBorders>
            <w:shd w:val="clear" w:color="auto" w:fill="auto"/>
            <w:noWrap/>
            <w:vAlign w:val="center"/>
            <w:hideMark/>
          </w:tcPr>
          <w:p w14:paraId="7689FA36"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7,661.41</w:t>
            </w:r>
          </w:p>
        </w:tc>
      </w:tr>
      <w:tr w:rsidR="000445BA" w:rsidRPr="000445BA" w14:paraId="66A4C817" w14:textId="77777777" w:rsidTr="00636952">
        <w:trPr>
          <w:trHeight w:hRule="exact" w:val="235"/>
          <w:jc w:val="center"/>
        </w:trPr>
        <w:tc>
          <w:tcPr>
            <w:tcW w:w="4910" w:type="dxa"/>
            <w:tcBorders>
              <w:left w:val="single" w:sz="4" w:space="0" w:color="auto"/>
              <w:right w:val="single" w:sz="4" w:space="0" w:color="auto"/>
            </w:tcBorders>
            <w:shd w:val="clear" w:color="auto" w:fill="auto"/>
            <w:hideMark/>
          </w:tcPr>
          <w:p w14:paraId="07E4FD86"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Escuela primaria "Rufo Figueroa"</w:t>
            </w:r>
          </w:p>
        </w:tc>
        <w:tc>
          <w:tcPr>
            <w:tcW w:w="1276" w:type="dxa"/>
            <w:tcBorders>
              <w:left w:val="nil"/>
              <w:right w:val="single" w:sz="4" w:space="0" w:color="auto"/>
            </w:tcBorders>
            <w:shd w:val="clear" w:color="auto" w:fill="auto"/>
            <w:noWrap/>
            <w:vAlign w:val="center"/>
            <w:hideMark/>
          </w:tcPr>
          <w:p w14:paraId="76DEB8DF"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left w:val="nil"/>
              <w:right w:val="single" w:sz="4" w:space="0" w:color="auto"/>
            </w:tcBorders>
            <w:shd w:val="clear" w:color="auto" w:fill="auto"/>
            <w:noWrap/>
            <w:vAlign w:val="center"/>
            <w:hideMark/>
          </w:tcPr>
          <w:p w14:paraId="59672FE2"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491,258.29</w:t>
            </w:r>
          </w:p>
        </w:tc>
      </w:tr>
      <w:tr w:rsidR="000445BA" w:rsidRPr="000445BA" w14:paraId="2D44FC6E" w14:textId="77777777" w:rsidTr="00636952">
        <w:trPr>
          <w:trHeight w:hRule="exact" w:val="235"/>
          <w:jc w:val="center"/>
        </w:trPr>
        <w:tc>
          <w:tcPr>
            <w:tcW w:w="4910" w:type="dxa"/>
            <w:tcBorders>
              <w:top w:val="nil"/>
              <w:left w:val="single" w:sz="4" w:space="0" w:color="auto"/>
              <w:right w:val="single" w:sz="4" w:space="0" w:color="auto"/>
            </w:tcBorders>
            <w:shd w:val="clear" w:color="auto" w:fill="auto"/>
            <w:hideMark/>
          </w:tcPr>
          <w:p w14:paraId="5A9D1623"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Escuela primaria "Álvaro Obregón"</w:t>
            </w:r>
          </w:p>
        </w:tc>
        <w:tc>
          <w:tcPr>
            <w:tcW w:w="1276" w:type="dxa"/>
            <w:tcBorders>
              <w:top w:val="nil"/>
              <w:left w:val="nil"/>
              <w:right w:val="single" w:sz="4" w:space="0" w:color="auto"/>
            </w:tcBorders>
            <w:shd w:val="clear" w:color="auto" w:fill="auto"/>
            <w:noWrap/>
            <w:vAlign w:val="center"/>
            <w:hideMark/>
          </w:tcPr>
          <w:p w14:paraId="57671940"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vAlign w:val="center"/>
            <w:hideMark/>
          </w:tcPr>
          <w:p w14:paraId="2940929B"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27,246.67</w:t>
            </w:r>
          </w:p>
        </w:tc>
      </w:tr>
      <w:tr w:rsidR="000445BA" w:rsidRPr="000445BA" w14:paraId="25E8A1AD" w14:textId="77777777" w:rsidTr="00636952">
        <w:trPr>
          <w:trHeight w:hRule="exact" w:val="235"/>
          <w:jc w:val="center"/>
        </w:trPr>
        <w:tc>
          <w:tcPr>
            <w:tcW w:w="4910" w:type="dxa"/>
            <w:tcBorders>
              <w:left w:val="single" w:sz="4" w:space="0" w:color="auto"/>
              <w:right w:val="single" w:sz="4" w:space="0" w:color="auto"/>
            </w:tcBorders>
            <w:shd w:val="clear" w:color="auto" w:fill="auto"/>
            <w:hideMark/>
          </w:tcPr>
          <w:p w14:paraId="4A94E3AC"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Escuela primaria "Niños Héroes de Chapultepec"</w:t>
            </w:r>
          </w:p>
        </w:tc>
        <w:tc>
          <w:tcPr>
            <w:tcW w:w="1276" w:type="dxa"/>
            <w:tcBorders>
              <w:left w:val="nil"/>
              <w:right w:val="single" w:sz="4" w:space="0" w:color="auto"/>
            </w:tcBorders>
            <w:shd w:val="clear" w:color="auto" w:fill="auto"/>
            <w:noWrap/>
            <w:vAlign w:val="center"/>
            <w:hideMark/>
          </w:tcPr>
          <w:p w14:paraId="4CEF23E9"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left w:val="nil"/>
              <w:right w:val="single" w:sz="4" w:space="0" w:color="auto"/>
            </w:tcBorders>
            <w:shd w:val="clear" w:color="auto" w:fill="auto"/>
            <w:noWrap/>
            <w:vAlign w:val="center"/>
            <w:hideMark/>
          </w:tcPr>
          <w:p w14:paraId="0D41871A"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1,270.78</w:t>
            </w:r>
          </w:p>
        </w:tc>
      </w:tr>
      <w:tr w:rsidR="000445BA" w:rsidRPr="000445BA" w14:paraId="79DCD94C" w14:textId="77777777" w:rsidTr="00636952">
        <w:trPr>
          <w:trHeight w:hRule="exact" w:val="235"/>
          <w:jc w:val="center"/>
        </w:trPr>
        <w:tc>
          <w:tcPr>
            <w:tcW w:w="4910" w:type="dxa"/>
            <w:tcBorders>
              <w:left w:val="single" w:sz="4" w:space="0" w:color="auto"/>
              <w:right w:val="single" w:sz="4" w:space="0" w:color="auto"/>
            </w:tcBorders>
            <w:shd w:val="clear" w:color="auto" w:fill="auto"/>
            <w:hideMark/>
          </w:tcPr>
          <w:p w14:paraId="688F2A49"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Escuela primaria "Álvaro Obregón"</w:t>
            </w:r>
          </w:p>
        </w:tc>
        <w:tc>
          <w:tcPr>
            <w:tcW w:w="1276" w:type="dxa"/>
            <w:tcBorders>
              <w:left w:val="nil"/>
              <w:right w:val="single" w:sz="4" w:space="0" w:color="auto"/>
            </w:tcBorders>
            <w:shd w:val="clear" w:color="auto" w:fill="auto"/>
            <w:noWrap/>
            <w:vAlign w:val="center"/>
            <w:hideMark/>
          </w:tcPr>
          <w:p w14:paraId="57561473"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left w:val="nil"/>
              <w:right w:val="single" w:sz="4" w:space="0" w:color="auto"/>
            </w:tcBorders>
            <w:shd w:val="clear" w:color="auto" w:fill="auto"/>
            <w:noWrap/>
            <w:vAlign w:val="center"/>
            <w:hideMark/>
          </w:tcPr>
          <w:p w14:paraId="1C5B6921"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28,305.33</w:t>
            </w:r>
          </w:p>
        </w:tc>
      </w:tr>
      <w:tr w:rsidR="000445BA" w:rsidRPr="000445BA" w14:paraId="45D20DE9" w14:textId="77777777" w:rsidTr="00636952">
        <w:trPr>
          <w:trHeight w:hRule="exact" w:val="235"/>
          <w:jc w:val="center"/>
        </w:trPr>
        <w:tc>
          <w:tcPr>
            <w:tcW w:w="4910" w:type="dxa"/>
            <w:tcBorders>
              <w:top w:val="nil"/>
              <w:left w:val="single" w:sz="4" w:space="0" w:color="auto"/>
              <w:right w:val="single" w:sz="4" w:space="0" w:color="auto"/>
            </w:tcBorders>
            <w:shd w:val="clear" w:color="auto" w:fill="auto"/>
            <w:hideMark/>
          </w:tcPr>
          <w:p w14:paraId="28892F4C"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Terreno del edificio Nader</w:t>
            </w:r>
          </w:p>
        </w:tc>
        <w:tc>
          <w:tcPr>
            <w:tcW w:w="1276" w:type="dxa"/>
            <w:tcBorders>
              <w:top w:val="nil"/>
              <w:left w:val="nil"/>
              <w:right w:val="single" w:sz="4" w:space="0" w:color="auto"/>
            </w:tcBorders>
            <w:shd w:val="clear" w:color="auto" w:fill="auto"/>
            <w:noWrap/>
            <w:vAlign w:val="center"/>
            <w:hideMark/>
          </w:tcPr>
          <w:p w14:paraId="31E845A9"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vAlign w:val="center"/>
            <w:hideMark/>
          </w:tcPr>
          <w:p w14:paraId="36C53013"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64,370.88</w:t>
            </w:r>
          </w:p>
        </w:tc>
      </w:tr>
      <w:tr w:rsidR="000445BA" w:rsidRPr="000445BA" w14:paraId="00F33D3D" w14:textId="77777777" w:rsidTr="00636952">
        <w:trPr>
          <w:trHeight w:hRule="exact" w:val="188"/>
          <w:jc w:val="center"/>
        </w:trPr>
        <w:tc>
          <w:tcPr>
            <w:tcW w:w="4910" w:type="dxa"/>
            <w:tcBorders>
              <w:top w:val="nil"/>
              <w:left w:val="single" w:sz="4" w:space="0" w:color="auto"/>
              <w:right w:val="single" w:sz="4" w:space="0" w:color="auto"/>
            </w:tcBorders>
            <w:shd w:val="clear" w:color="auto" w:fill="auto"/>
            <w:hideMark/>
          </w:tcPr>
          <w:p w14:paraId="266C88A6"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Escuela</w:t>
            </w:r>
          </w:p>
        </w:tc>
        <w:tc>
          <w:tcPr>
            <w:tcW w:w="1276" w:type="dxa"/>
            <w:tcBorders>
              <w:top w:val="nil"/>
              <w:left w:val="nil"/>
              <w:right w:val="single" w:sz="4" w:space="0" w:color="auto"/>
            </w:tcBorders>
            <w:shd w:val="clear" w:color="auto" w:fill="auto"/>
            <w:noWrap/>
            <w:vAlign w:val="center"/>
            <w:hideMark/>
          </w:tcPr>
          <w:p w14:paraId="2CC31C73"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vAlign w:val="center"/>
            <w:hideMark/>
          </w:tcPr>
          <w:p w14:paraId="542740F1"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178,423.55</w:t>
            </w:r>
          </w:p>
        </w:tc>
      </w:tr>
      <w:tr w:rsidR="000445BA" w:rsidRPr="000445BA" w14:paraId="47689E45" w14:textId="77777777" w:rsidTr="00636952">
        <w:trPr>
          <w:trHeight w:hRule="exact" w:val="235"/>
          <w:jc w:val="center"/>
        </w:trPr>
        <w:tc>
          <w:tcPr>
            <w:tcW w:w="4910" w:type="dxa"/>
            <w:tcBorders>
              <w:top w:val="nil"/>
              <w:left w:val="single" w:sz="4" w:space="0" w:color="auto"/>
              <w:right w:val="single" w:sz="4" w:space="0" w:color="auto"/>
            </w:tcBorders>
            <w:shd w:val="clear" w:color="auto" w:fill="auto"/>
            <w:hideMark/>
          </w:tcPr>
          <w:p w14:paraId="0E80FEEA"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Hospital General</w:t>
            </w:r>
          </w:p>
        </w:tc>
        <w:tc>
          <w:tcPr>
            <w:tcW w:w="1276" w:type="dxa"/>
            <w:tcBorders>
              <w:top w:val="nil"/>
              <w:left w:val="nil"/>
              <w:right w:val="single" w:sz="4" w:space="0" w:color="auto"/>
            </w:tcBorders>
            <w:shd w:val="clear" w:color="auto" w:fill="auto"/>
            <w:noWrap/>
            <w:vAlign w:val="center"/>
            <w:hideMark/>
          </w:tcPr>
          <w:p w14:paraId="05C021DE"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vAlign w:val="center"/>
            <w:hideMark/>
          </w:tcPr>
          <w:p w14:paraId="36DFEBDF"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503,304.54</w:t>
            </w:r>
          </w:p>
        </w:tc>
      </w:tr>
      <w:tr w:rsidR="000445BA" w:rsidRPr="000445BA" w14:paraId="32C644C9" w14:textId="77777777" w:rsidTr="00636952">
        <w:trPr>
          <w:trHeight w:hRule="exact" w:val="235"/>
          <w:jc w:val="center"/>
        </w:trPr>
        <w:tc>
          <w:tcPr>
            <w:tcW w:w="4910" w:type="dxa"/>
            <w:tcBorders>
              <w:top w:val="nil"/>
              <w:left w:val="single" w:sz="4" w:space="0" w:color="auto"/>
              <w:right w:val="single" w:sz="4" w:space="0" w:color="auto"/>
            </w:tcBorders>
            <w:shd w:val="clear" w:color="auto" w:fill="auto"/>
            <w:hideMark/>
          </w:tcPr>
          <w:p w14:paraId="138C8D8B"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Servicio Médico Forense</w:t>
            </w:r>
          </w:p>
        </w:tc>
        <w:tc>
          <w:tcPr>
            <w:tcW w:w="1276" w:type="dxa"/>
            <w:tcBorders>
              <w:top w:val="nil"/>
              <w:left w:val="nil"/>
              <w:right w:val="single" w:sz="4" w:space="0" w:color="auto"/>
            </w:tcBorders>
            <w:shd w:val="clear" w:color="auto" w:fill="auto"/>
            <w:noWrap/>
            <w:vAlign w:val="center"/>
            <w:hideMark/>
          </w:tcPr>
          <w:p w14:paraId="121EC41F"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vAlign w:val="center"/>
            <w:hideMark/>
          </w:tcPr>
          <w:p w14:paraId="41569CB3"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21,308.73</w:t>
            </w:r>
          </w:p>
        </w:tc>
      </w:tr>
      <w:tr w:rsidR="000445BA" w:rsidRPr="000445BA" w14:paraId="4C6596EB" w14:textId="77777777" w:rsidTr="00636952">
        <w:trPr>
          <w:trHeight w:hRule="exact" w:val="235"/>
          <w:jc w:val="center"/>
        </w:trPr>
        <w:tc>
          <w:tcPr>
            <w:tcW w:w="4910" w:type="dxa"/>
            <w:tcBorders>
              <w:left w:val="single" w:sz="4" w:space="0" w:color="auto"/>
              <w:bottom w:val="single" w:sz="4" w:space="0" w:color="auto"/>
              <w:right w:val="single" w:sz="4" w:space="0" w:color="auto"/>
            </w:tcBorders>
            <w:shd w:val="clear" w:color="auto" w:fill="auto"/>
            <w:hideMark/>
          </w:tcPr>
          <w:p w14:paraId="7B49B0FA"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Centro de salud (unidad médico quirúrgica intermedia)</w:t>
            </w:r>
          </w:p>
        </w:tc>
        <w:tc>
          <w:tcPr>
            <w:tcW w:w="1276" w:type="dxa"/>
            <w:tcBorders>
              <w:left w:val="nil"/>
              <w:bottom w:val="single" w:sz="4" w:space="0" w:color="auto"/>
              <w:right w:val="single" w:sz="4" w:space="0" w:color="auto"/>
            </w:tcBorders>
            <w:shd w:val="clear" w:color="auto" w:fill="auto"/>
            <w:noWrap/>
            <w:vAlign w:val="center"/>
            <w:hideMark/>
          </w:tcPr>
          <w:p w14:paraId="55175E7B"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left w:val="nil"/>
              <w:bottom w:val="single" w:sz="4" w:space="0" w:color="auto"/>
              <w:right w:val="single" w:sz="4" w:space="0" w:color="auto"/>
            </w:tcBorders>
            <w:shd w:val="clear" w:color="auto" w:fill="auto"/>
            <w:noWrap/>
            <w:vAlign w:val="center"/>
            <w:hideMark/>
          </w:tcPr>
          <w:p w14:paraId="7C9071AB"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14,807.10</w:t>
            </w:r>
          </w:p>
        </w:tc>
      </w:tr>
      <w:tr w:rsidR="000445BA" w:rsidRPr="000445BA" w14:paraId="461D68DF" w14:textId="77777777" w:rsidTr="00636952">
        <w:trPr>
          <w:trHeight w:hRule="exact" w:val="290"/>
          <w:jc w:val="center"/>
        </w:trPr>
        <w:tc>
          <w:tcPr>
            <w:tcW w:w="4910" w:type="dxa"/>
            <w:tcBorders>
              <w:top w:val="single" w:sz="4" w:space="0" w:color="auto"/>
              <w:left w:val="single" w:sz="4" w:space="0" w:color="auto"/>
              <w:right w:val="single" w:sz="4" w:space="0" w:color="auto"/>
            </w:tcBorders>
            <w:shd w:val="clear" w:color="auto" w:fill="auto"/>
            <w:hideMark/>
          </w:tcPr>
          <w:p w14:paraId="705BA17D"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lastRenderedPageBreak/>
              <w:t>Instituto Quintanarroense de la Cultura</w:t>
            </w:r>
          </w:p>
        </w:tc>
        <w:tc>
          <w:tcPr>
            <w:tcW w:w="1276" w:type="dxa"/>
            <w:tcBorders>
              <w:top w:val="single" w:sz="4" w:space="0" w:color="auto"/>
              <w:left w:val="nil"/>
              <w:right w:val="single" w:sz="4" w:space="0" w:color="auto"/>
            </w:tcBorders>
            <w:shd w:val="clear" w:color="auto" w:fill="auto"/>
            <w:noWrap/>
            <w:vAlign w:val="center"/>
            <w:hideMark/>
          </w:tcPr>
          <w:p w14:paraId="064F3CBD"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top w:val="single" w:sz="4" w:space="0" w:color="auto"/>
              <w:left w:val="nil"/>
              <w:right w:val="single" w:sz="4" w:space="0" w:color="auto"/>
            </w:tcBorders>
            <w:shd w:val="clear" w:color="auto" w:fill="auto"/>
            <w:noWrap/>
            <w:vAlign w:val="center"/>
            <w:hideMark/>
          </w:tcPr>
          <w:p w14:paraId="28D9C9BF"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23,001.00</w:t>
            </w:r>
          </w:p>
        </w:tc>
      </w:tr>
      <w:tr w:rsidR="000445BA" w:rsidRPr="000445BA" w14:paraId="2F61EDE3" w14:textId="77777777" w:rsidTr="00636952">
        <w:trPr>
          <w:trHeight w:hRule="exact" w:val="235"/>
          <w:jc w:val="center"/>
        </w:trPr>
        <w:tc>
          <w:tcPr>
            <w:tcW w:w="4910" w:type="dxa"/>
            <w:tcBorders>
              <w:left w:val="single" w:sz="4" w:space="0" w:color="auto"/>
              <w:right w:val="single" w:sz="4" w:space="0" w:color="auto"/>
            </w:tcBorders>
            <w:shd w:val="clear" w:color="auto" w:fill="auto"/>
            <w:hideMark/>
          </w:tcPr>
          <w:p w14:paraId="714D0D99"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Servicios administrativos</w:t>
            </w:r>
          </w:p>
        </w:tc>
        <w:tc>
          <w:tcPr>
            <w:tcW w:w="1276" w:type="dxa"/>
            <w:tcBorders>
              <w:left w:val="nil"/>
              <w:right w:val="single" w:sz="4" w:space="0" w:color="auto"/>
            </w:tcBorders>
            <w:shd w:val="clear" w:color="auto" w:fill="auto"/>
            <w:noWrap/>
            <w:vAlign w:val="center"/>
            <w:hideMark/>
          </w:tcPr>
          <w:p w14:paraId="340F9793"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left w:val="nil"/>
              <w:right w:val="single" w:sz="4" w:space="0" w:color="auto"/>
            </w:tcBorders>
            <w:shd w:val="clear" w:color="auto" w:fill="auto"/>
            <w:noWrap/>
            <w:vAlign w:val="center"/>
            <w:hideMark/>
          </w:tcPr>
          <w:p w14:paraId="5536B8F2"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2,640.00</w:t>
            </w:r>
          </w:p>
        </w:tc>
      </w:tr>
      <w:tr w:rsidR="000445BA" w:rsidRPr="000445BA" w14:paraId="31D64285" w14:textId="77777777" w:rsidTr="00636952">
        <w:trPr>
          <w:trHeight w:hRule="exact" w:val="235"/>
          <w:jc w:val="center"/>
        </w:trPr>
        <w:tc>
          <w:tcPr>
            <w:tcW w:w="4910" w:type="dxa"/>
            <w:tcBorders>
              <w:top w:val="nil"/>
              <w:left w:val="single" w:sz="4" w:space="0" w:color="auto"/>
              <w:right w:val="single" w:sz="4" w:space="0" w:color="auto"/>
            </w:tcBorders>
            <w:shd w:val="clear" w:color="auto" w:fill="auto"/>
            <w:hideMark/>
          </w:tcPr>
          <w:p w14:paraId="5AEFEC5D"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Jardín de niños</w:t>
            </w:r>
          </w:p>
        </w:tc>
        <w:tc>
          <w:tcPr>
            <w:tcW w:w="1276" w:type="dxa"/>
            <w:tcBorders>
              <w:top w:val="nil"/>
              <w:left w:val="nil"/>
              <w:right w:val="single" w:sz="4" w:space="0" w:color="auto"/>
            </w:tcBorders>
            <w:shd w:val="clear" w:color="auto" w:fill="auto"/>
            <w:noWrap/>
            <w:vAlign w:val="center"/>
            <w:hideMark/>
          </w:tcPr>
          <w:p w14:paraId="414B8FE4"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vAlign w:val="center"/>
            <w:hideMark/>
          </w:tcPr>
          <w:p w14:paraId="0ADBEB15"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8,236.80</w:t>
            </w:r>
          </w:p>
        </w:tc>
      </w:tr>
      <w:tr w:rsidR="000445BA" w:rsidRPr="000445BA" w14:paraId="32FFEA08" w14:textId="77777777" w:rsidTr="00636952">
        <w:trPr>
          <w:trHeight w:hRule="exact" w:val="372"/>
          <w:jc w:val="center"/>
        </w:trPr>
        <w:tc>
          <w:tcPr>
            <w:tcW w:w="4910" w:type="dxa"/>
            <w:tcBorders>
              <w:top w:val="nil"/>
              <w:left w:val="single" w:sz="4" w:space="0" w:color="auto"/>
              <w:right w:val="single" w:sz="4" w:space="0" w:color="auto"/>
            </w:tcBorders>
            <w:shd w:val="clear" w:color="auto" w:fill="auto"/>
            <w:hideMark/>
          </w:tcPr>
          <w:p w14:paraId="03C2C382"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 xml:space="preserve">Recaudadora de rentas, Dir. Gral. </w:t>
            </w:r>
            <w:proofErr w:type="gramStart"/>
            <w:r w:rsidRPr="000445BA">
              <w:rPr>
                <w:rFonts w:ascii="Montserrat Medium" w:eastAsia="Times New Roman" w:hAnsi="Montserrat Medium" w:cs="Tahoma"/>
                <w:sz w:val="16"/>
                <w:szCs w:val="18"/>
                <w:lang w:eastAsia="en-US"/>
              </w:rPr>
              <w:t>de</w:t>
            </w:r>
            <w:proofErr w:type="gramEnd"/>
            <w:r w:rsidRPr="000445BA">
              <w:rPr>
                <w:rFonts w:ascii="Montserrat Medium" w:eastAsia="Times New Roman" w:hAnsi="Montserrat Medium" w:cs="Tahoma"/>
                <w:sz w:val="16"/>
                <w:szCs w:val="18"/>
                <w:lang w:eastAsia="en-US"/>
              </w:rPr>
              <w:t xml:space="preserve"> culturas populares y unidad de medicina fam. del I.M.S.S</w:t>
            </w:r>
          </w:p>
        </w:tc>
        <w:tc>
          <w:tcPr>
            <w:tcW w:w="1276" w:type="dxa"/>
            <w:tcBorders>
              <w:top w:val="nil"/>
              <w:left w:val="nil"/>
              <w:right w:val="single" w:sz="4" w:space="0" w:color="auto"/>
            </w:tcBorders>
            <w:shd w:val="clear" w:color="auto" w:fill="auto"/>
            <w:noWrap/>
            <w:vAlign w:val="center"/>
            <w:hideMark/>
          </w:tcPr>
          <w:p w14:paraId="61D307E0"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vAlign w:val="center"/>
            <w:hideMark/>
          </w:tcPr>
          <w:p w14:paraId="77E1F84F"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37,856.54</w:t>
            </w:r>
          </w:p>
        </w:tc>
      </w:tr>
      <w:tr w:rsidR="000445BA" w:rsidRPr="000445BA" w14:paraId="0C873BB6" w14:textId="77777777" w:rsidTr="00636952">
        <w:trPr>
          <w:trHeight w:val="168"/>
          <w:jc w:val="center"/>
        </w:trPr>
        <w:tc>
          <w:tcPr>
            <w:tcW w:w="4910" w:type="dxa"/>
            <w:tcBorders>
              <w:left w:val="single" w:sz="4" w:space="0" w:color="auto"/>
              <w:right w:val="single" w:sz="4" w:space="0" w:color="auto"/>
            </w:tcBorders>
            <w:shd w:val="clear" w:color="auto" w:fill="auto"/>
            <w:hideMark/>
          </w:tcPr>
          <w:p w14:paraId="1EC20E26"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CERESO (fracción 04 del predio rústico denominado "San Andrés"</w:t>
            </w:r>
          </w:p>
        </w:tc>
        <w:tc>
          <w:tcPr>
            <w:tcW w:w="1276" w:type="dxa"/>
            <w:tcBorders>
              <w:left w:val="nil"/>
              <w:right w:val="single" w:sz="4" w:space="0" w:color="auto"/>
            </w:tcBorders>
            <w:shd w:val="clear" w:color="auto" w:fill="auto"/>
            <w:noWrap/>
            <w:vAlign w:val="center"/>
            <w:hideMark/>
          </w:tcPr>
          <w:p w14:paraId="15A58819"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left w:val="nil"/>
              <w:right w:val="single" w:sz="4" w:space="0" w:color="auto"/>
            </w:tcBorders>
            <w:shd w:val="clear" w:color="auto" w:fill="auto"/>
            <w:noWrap/>
            <w:vAlign w:val="center"/>
            <w:hideMark/>
          </w:tcPr>
          <w:p w14:paraId="0A62D4B8"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10,861.48</w:t>
            </w:r>
          </w:p>
        </w:tc>
      </w:tr>
      <w:tr w:rsidR="000445BA" w:rsidRPr="000445BA" w14:paraId="606AECB0" w14:textId="77777777" w:rsidTr="00636952">
        <w:trPr>
          <w:trHeight w:hRule="exact" w:val="235"/>
          <w:jc w:val="center"/>
        </w:trPr>
        <w:tc>
          <w:tcPr>
            <w:tcW w:w="4910" w:type="dxa"/>
            <w:tcBorders>
              <w:top w:val="nil"/>
              <w:left w:val="single" w:sz="4" w:space="0" w:color="auto"/>
              <w:right w:val="single" w:sz="4" w:space="0" w:color="auto"/>
            </w:tcBorders>
            <w:shd w:val="clear" w:color="auto" w:fill="auto"/>
            <w:hideMark/>
          </w:tcPr>
          <w:p w14:paraId="3B0A76AE"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Escuela secundaria "Leona Vicario"</w:t>
            </w:r>
          </w:p>
        </w:tc>
        <w:tc>
          <w:tcPr>
            <w:tcW w:w="1276" w:type="dxa"/>
            <w:tcBorders>
              <w:top w:val="nil"/>
              <w:left w:val="nil"/>
              <w:right w:val="single" w:sz="4" w:space="0" w:color="auto"/>
            </w:tcBorders>
            <w:shd w:val="clear" w:color="auto" w:fill="auto"/>
            <w:noWrap/>
            <w:vAlign w:val="center"/>
            <w:hideMark/>
          </w:tcPr>
          <w:p w14:paraId="1B77C894"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vAlign w:val="center"/>
            <w:hideMark/>
          </w:tcPr>
          <w:p w14:paraId="5D56A7A9"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120,894.96</w:t>
            </w:r>
          </w:p>
        </w:tc>
      </w:tr>
      <w:tr w:rsidR="000445BA" w:rsidRPr="000445BA" w14:paraId="2B94B2EB" w14:textId="77777777" w:rsidTr="00636952">
        <w:trPr>
          <w:trHeight w:hRule="exact" w:val="235"/>
          <w:jc w:val="center"/>
        </w:trPr>
        <w:tc>
          <w:tcPr>
            <w:tcW w:w="4910" w:type="dxa"/>
            <w:tcBorders>
              <w:top w:val="nil"/>
              <w:left w:val="single" w:sz="4" w:space="0" w:color="auto"/>
              <w:right w:val="single" w:sz="4" w:space="0" w:color="auto"/>
            </w:tcBorders>
            <w:shd w:val="clear" w:color="auto" w:fill="auto"/>
            <w:hideMark/>
          </w:tcPr>
          <w:p w14:paraId="0107042B"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Escuela primaria "Moisés Sáenz"</w:t>
            </w:r>
          </w:p>
        </w:tc>
        <w:tc>
          <w:tcPr>
            <w:tcW w:w="1276" w:type="dxa"/>
            <w:tcBorders>
              <w:top w:val="nil"/>
              <w:left w:val="nil"/>
              <w:right w:val="single" w:sz="4" w:space="0" w:color="auto"/>
            </w:tcBorders>
            <w:shd w:val="clear" w:color="auto" w:fill="auto"/>
            <w:noWrap/>
            <w:vAlign w:val="center"/>
            <w:hideMark/>
          </w:tcPr>
          <w:p w14:paraId="05378C23"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vAlign w:val="center"/>
            <w:hideMark/>
          </w:tcPr>
          <w:p w14:paraId="3F07DC21"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83,932.40</w:t>
            </w:r>
          </w:p>
        </w:tc>
      </w:tr>
      <w:tr w:rsidR="000445BA" w:rsidRPr="000445BA" w14:paraId="75AB76B6" w14:textId="77777777" w:rsidTr="00636952">
        <w:trPr>
          <w:trHeight w:hRule="exact" w:val="235"/>
          <w:jc w:val="center"/>
        </w:trPr>
        <w:tc>
          <w:tcPr>
            <w:tcW w:w="4910" w:type="dxa"/>
            <w:tcBorders>
              <w:top w:val="nil"/>
              <w:left w:val="single" w:sz="4" w:space="0" w:color="auto"/>
              <w:right w:val="single" w:sz="4" w:space="0" w:color="auto"/>
            </w:tcBorders>
            <w:shd w:val="clear" w:color="auto" w:fill="auto"/>
            <w:hideMark/>
          </w:tcPr>
          <w:p w14:paraId="02A09C32"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Jardín de niños</w:t>
            </w:r>
          </w:p>
        </w:tc>
        <w:tc>
          <w:tcPr>
            <w:tcW w:w="1276" w:type="dxa"/>
            <w:tcBorders>
              <w:top w:val="nil"/>
              <w:left w:val="nil"/>
              <w:right w:val="single" w:sz="4" w:space="0" w:color="auto"/>
            </w:tcBorders>
            <w:shd w:val="clear" w:color="auto" w:fill="auto"/>
            <w:noWrap/>
            <w:vAlign w:val="center"/>
            <w:hideMark/>
          </w:tcPr>
          <w:p w14:paraId="6694CDD4"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vAlign w:val="center"/>
            <w:hideMark/>
          </w:tcPr>
          <w:p w14:paraId="75A9298A"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1,791.54</w:t>
            </w:r>
          </w:p>
        </w:tc>
      </w:tr>
      <w:tr w:rsidR="000445BA" w:rsidRPr="000445BA" w14:paraId="0309F4E2" w14:textId="77777777" w:rsidTr="00636952">
        <w:trPr>
          <w:trHeight w:val="338"/>
          <w:jc w:val="center"/>
        </w:trPr>
        <w:tc>
          <w:tcPr>
            <w:tcW w:w="4910" w:type="dxa"/>
            <w:tcBorders>
              <w:top w:val="nil"/>
              <w:left w:val="single" w:sz="4" w:space="0" w:color="auto"/>
              <w:bottom w:val="single" w:sz="4" w:space="0" w:color="auto"/>
              <w:right w:val="single" w:sz="4" w:space="0" w:color="auto"/>
            </w:tcBorders>
            <w:shd w:val="clear" w:color="auto" w:fill="auto"/>
            <w:hideMark/>
          </w:tcPr>
          <w:p w14:paraId="4DF60D64"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Vivienda habitacional unifamiliar/ canchas de fútbol y béisbol</w:t>
            </w:r>
          </w:p>
          <w:p w14:paraId="736C971B"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 xml:space="preserve">Casa de la Representación de Gobierno de Quintana Roo </w:t>
            </w:r>
          </w:p>
          <w:p w14:paraId="27EDE896" w14:textId="77777777" w:rsidR="000445BA" w:rsidRPr="000445BA" w:rsidRDefault="000445BA" w:rsidP="002F131C">
            <w:pPr>
              <w:rPr>
                <w:rFonts w:ascii="Montserrat Medium" w:eastAsia="Times New Roman" w:hAnsi="Montserrat Medium" w:cs="Tahoma"/>
                <w:sz w:val="16"/>
                <w:szCs w:val="18"/>
                <w:lang w:eastAsia="en-US"/>
              </w:rPr>
            </w:pPr>
            <w:r w:rsidRPr="000445BA">
              <w:rPr>
                <w:rFonts w:ascii="Montserrat Medium" w:eastAsia="Times New Roman" w:hAnsi="Montserrat Medium" w:cs="Tahoma"/>
                <w:sz w:val="16"/>
                <w:szCs w:val="18"/>
                <w:lang w:eastAsia="en-US"/>
              </w:rPr>
              <w:t>en la Ciudad de México</w:t>
            </w:r>
          </w:p>
        </w:tc>
        <w:tc>
          <w:tcPr>
            <w:tcW w:w="1276" w:type="dxa"/>
            <w:tcBorders>
              <w:top w:val="nil"/>
              <w:left w:val="nil"/>
              <w:bottom w:val="single" w:sz="4" w:space="0" w:color="auto"/>
              <w:right w:val="single" w:sz="4" w:space="0" w:color="auto"/>
            </w:tcBorders>
            <w:shd w:val="clear" w:color="auto" w:fill="auto"/>
            <w:noWrap/>
            <w:vAlign w:val="center"/>
            <w:hideMark/>
          </w:tcPr>
          <w:p w14:paraId="6D008D0B" w14:textId="77777777" w:rsidR="000445BA" w:rsidRPr="000445BA" w:rsidRDefault="000445BA" w:rsidP="00636952">
            <w:pPr>
              <w:jc w:val="center"/>
              <w:rPr>
                <w:rFonts w:ascii="Montserrat Medium" w:eastAsia="Times New Roman" w:hAnsi="Montserrat Medium" w:cs="Calibri"/>
                <w:color w:val="000000"/>
                <w:sz w:val="16"/>
                <w:szCs w:val="18"/>
                <w:lang w:eastAsia="es-MX"/>
              </w:rPr>
            </w:pPr>
            <w:r w:rsidRPr="000445BA">
              <w:rPr>
                <w:rFonts w:ascii="Montserrat Medium" w:eastAsia="Times New Roman" w:hAnsi="Montserrat Medium" w:cs="Calibri"/>
                <w:color w:val="000000"/>
                <w:sz w:val="16"/>
                <w:szCs w:val="18"/>
                <w:lang w:eastAsia="es-MX"/>
              </w:rPr>
              <w:t>30</w:t>
            </w:r>
          </w:p>
          <w:p w14:paraId="492FD4EF" w14:textId="77777777" w:rsidR="000445BA" w:rsidRPr="000445BA" w:rsidRDefault="000445BA" w:rsidP="00636952">
            <w:pPr>
              <w:jc w:val="center"/>
              <w:rPr>
                <w:rFonts w:ascii="Montserrat Medium" w:eastAsia="Times New Roman" w:hAnsi="Montserrat Medium" w:cs="Calibri"/>
                <w:sz w:val="16"/>
                <w:szCs w:val="18"/>
                <w:lang w:eastAsia="es-MX"/>
              </w:rPr>
            </w:pPr>
          </w:p>
          <w:p w14:paraId="4B08AB11" w14:textId="77777777" w:rsidR="000445BA" w:rsidRPr="000445BA" w:rsidRDefault="000445BA" w:rsidP="00636952">
            <w:pPr>
              <w:jc w:val="center"/>
              <w:rPr>
                <w:rFonts w:ascii="Montserrat Medium" w:eastAsia="Times New Roman" w:hAnsi="Montserrat Medium" w:cs="Calibri"/>
                <w:sz w:val="16"/>
                <w:szCs w:val="18"/>
                <w:lang w:eastAsia="es-MX"/>
              </w:rPr>
            </w:pPr>
            <w:r w:rsidRPr="000445BA">
              <w:rPr>
                <w:rFonts w:ascii="Montserrat Medium" w:eastAsia="Times New Roman" w:hAnsi="Montserrat Medium" w:cs="Calibri"/>
                <w:color w:val="000000"/>
                <w:sz w:val="16"/>
                <w:szCs w:val="18"/>
                <w:lang w:eastAsia="es-MX"/>
              </w:rPr>
              <w:t>30</w:t>
            </w:r>
          </w:p>
        </w:tc>
        <w:tc>
          <w:tcPr>
            <w:tcW w:w="1897" w:type="dxa"/>
            <w:tcBorders>
              <w:top w:val="nil"/>
              <w:left w:val="nil"/>
              <w:bottom w:val="single" w:sz="4" w:space="0" w:color="auto"/>
              <w:right w:val="single" w:sz="4" w:space="0" w:color="auto"/>
            </w:tcBorders>
            <w:shd w:val="clear" w:color="auto" w:fill="auto"/>
            <w:noWrap/>
            <w:vAlign w:val="center"/>
            <w:hideMark/>
          </w:tcPr>
          <w:p w14:paraId="269787A4"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343,003.14</w:t>
            </w:r>
          </w:p>
          <w:p w14:paraId="1E3B579A" w14:textId="77777777" w:rsidR="000445BA" w:rsidRPr="000445BA" w:rsidRDefault="000445BA" w:rsidP="00636952">
            <w:pPr>
              <w:jc w:val="center"/>
              <w:rPr>
                <w:rFonts w:ascii="Montserrat Medium" w:hAnsi="Montserrat Medium" w:cs="Calibri"/>
                <w:color w:val="000000"/>
                <w:sz w:val="16"/>
                <w:szCs w:val="16"/>
              </w:rPr>
            </w:pPr>
          </w:p>
          <w:p w14:paraId="659C6B30" w14:textId="77777777" w:rsidR="000445BA" w:rsidRPr="000445BA" w:rsidRDefault="000445BA" w:rsidP="00636952">
            <w:pPr>
              <w:jc w:val="center"/>
              <w:rPr>
                <w:rFonts w:ascii="Montserrat Medium" w:hAnsi="Montserrat Medium" w:cs="Calibri"/>
                <w:color w:val="000000"/>
                <w:sz w:val="16"/>
                <w:szCs w:val="16"/>
              </w:rPr>
            </w:pPr>
            <w:r w:rsidRPr="000445BA">
              <w:rPr>
                <w:rFonts w:ascii="Montserrat Medium" w:hAnsi="Montserrat Medium" w:cs="Calibri"/>
                <w:color w:val="000000"/>
                <w:sz w:val="16"/>
                <w:szCs w:val="16"/>
              </w:rPr>
              <w:t>14,209.25</w:t>
            </w:r>
          </w:p>
          <w:p w14:paraId="3CC8EBC7" w14:textId="77777777" w:rsidR="000445BA" w:rsidRPr="000445BA" w:rsidRDefault="000445BA" w:rsidP="00636952">
            <w:pPr>
              <w:jc w:val="center"/>
              <w:rPr>
                <w:rFonts w:ascii="Montserrat Medium" w:hAnsi="Montserrat Medium" w:cs="Calibri"/>
                <w:color w:val="000000"/>
                <w:sz w:val="16"/>
                <w:szCs w:val="16"/>
              </w:rPr>
            </w:pPr>
          </w:p>
        </w:tc>
      </w:tr>
      <w:tr w:rsidR="000445BA" w:rsidRPr="006707EC" w14:paraId="1E1AAF2A" w14:textId="77777777" w:rsidTr="00B9270E">
        <w:trPr>
          <w:trHeight w:val="200"/>
          <w:jc w:val="center"/>
        </w:trPr>
        <w:tc>
          <w:tcPr>
            <w:tcW w:w="4910" w:type="dxa"/>
            <w:tcBorders>
              <w:top w:val="single" w:sz="4" w:space="0" w:color="auto"/>
              <w:left w:val="single" w:sz="4" w:space="0" w:color="auto"/>
              <w:bottom w:val="single" w:sz="4" w:space="0" w:color="auto"/>
              <w:right w:val="single" w:sz="4" w:space="0" w:color="auto"/>
            </w:tcBorders>
            <w:shd w:val="clear" w:color="auto" w:fill="auto"/>
            <w:vAlign w:val="bottom"/>
          </w:tcPr>
          <w:p w14:paraId="30042F6F" w14:textId="77777777" w:rsidR="000445BA" w:rsidRPr="000445BA" w:rsidRDefault="000445BA" w:rsidP="002F131C">
            <w:pPr>
              <w:jc w:val="both"/>
              <w:rPr>
                <w:rFonts w:ascii="Montserrat Medium" w:eastAsia="Times New Roman" w:hAnsi="Montserrat Medium" w:cs="Tahoma"/>
                <w:sz w:val="16"/>
                <w:szCs w:val="18"/>
                <w:lang w:eastAsia="en-US"/>
              </w:rPr>
            </w:pPr>
            <w:r w:rsidRPr="000445BA">
              <w:rPr>
                <w:rFonts w:ascii="Montserrat Medium" w:eastAsia="Times New Roman" w:hAnsi="Montserrat Medium" w:cs="Calibri"/>
                <w:b/>
                <w:color w:val="000000"/>
                <w:sz w:val="16"/>
                <w:szCs w:val="18"/>
                <w:lang w:eastAsia="es-MX"/>
              </w:rPr>
              <w:t>Total</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B9C8B0C" w14:textId="77777777" w:rsidR="000445BA" w:rsidRPr="000445BA" w:rsidRDefault="000445BA" w:rsidP="002F131C">
            <w:pPr>
              <w:jc w:val="center"/>
              <w:rPr>
                <w:rFonts w:ascii="Montserrat Medium" w:eastAsia="Times New Roman" w:hAnsi="Montserrat Medium" w:cs="Calibri"/>
                <w:color w:val="000000"/>
                <w:sz w:val="16"/>
                <w:szCs w:val="18"/>
                <w:lang w:eastAsia="es-MX"/>
              </w:rPr>
            </w:pPr>
          </w:p>
        </w:tc>
        <w:tc>
          <w:tcPr>
            <w:tcW w:w="1897" w:type="dxa"/>
            <w:tcBorders>
              <w:top w:val="single" w:sz="4" w:space="0" w:color="auto"/>
              <w:left w:val="nil"/>
              <w:bottom w:val="single" w:sz="4" w:space="0" w:color="auto"/>
              <w:right w:val="single" w:sz="4" w:space="0" w:color="auto"/>
            </w:tcBorders>
            <w:shd w:val="clear" w:color="auto" w:fill="auto"/>
            <w:noWrap/>
            <w:vAlign w:val="bottom"/>
          </w:tcPr>
          <w:p w14:paraId="2F8F0E0C" w14:textId="77777777" w:rsidR="000445BA" w:rsidRPr="000445BA" w:rsidRDefault="000445BA" w:rsidP="002F131C">
            <w:pPr>
              <w:jc w:val="center"/>
              <w:rPr>
                <w:rFonts w:ascii="Montserrat Medium" w:hAnsi="Montserrat Medium" w:cs="Calibri"/>
                <w:b/>
                <w:color w:val="000000"/>
                <w:sz w:val="16"/>
                <w:szCs w:val="18"/>
              </w:rPr>
            </w:pPr>
            <w:r w:rsidRPr="000445BA">
              <w:rPr>
                <w:rFonts w:ascii="Montserrat Medium" w:hAnsi="Montserrat Medium" w:cs="Calibri"/>
                <w:b/>
                <w:color w:val="000000"/>
                <w:sz w:val="16"/>
                <w:szCs w:val="18"/>
              </w:rPr>
              <w:t>5,165,339.08</w:t>
            </w:r>
          </w:p>
        </w:tc>
      </w:tr>
    </w:tbl>
    <w:p w14:paraId="33B8F5D0" w14:textId="77777777" w:rsidR="000445BA" w:rsidRDefault="000445BA" w:rsidP="002F131C">
      <w:pPr>
        <w:contextualSpacing/>
        <w:jc w:val="both"/>
        <w:rPr>
          <w:rFonts w:ascii="Montserrat Medium" w:eastAsia="Times New Roman" w:hAnsi="Montserrat Medium" w:cs="Arial"/>
          <w:color w:val="595959"/>
          <w:sz w:val="22"/>
        </w:rPr>
      </w:pPr>
    </w:p>
    <w:p w14:paraId="2190C827" w14:textId="37D5ACA6" w:rsidR="009D646D" w:rsidRPr="00D56579" w:rsidRDefault="009D646D" w:rsidP="002F131C">
      <w:pPr>
        <w:spacing w:after="160"/>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Construcciones en proceso en bienes de dominio público y en bienes propios</w:t>
      </w:r>
    </w:p>
    <w:p w14:paraId="4A5B3DFC" w14:textId="2E1A4BFF" w:rsidR="009D646D" w:rsidRPr="00D56579" w:rsidRDefault="009D646D" w:rsidP="002F131C">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Los saldos a</w:t>
      </w:r>
      <w:r w:rsidR="00A4586C" w:rsidRPr="00D56579">
        <w:rPr>
          <w:rFonts w:ascii="Montserrat Medium" w:eastAsia="Times New Roman" w:hAnsi="Montserrat Medium" w:cs="Arial"/>
          <w:color w:val="595959"/>
          <w:sz w:val="22"/>
          <w:lang w:eastAsia="en-US"/>
        </w:rPr>
        <w:t>l 3</w:t>
      </w:r>
      <w:r w:rsidR="000445BA">
        <w:rPr>
          <w:rFonts w:ascii="Montserrat Medium" w:eastAsia="Times New Roman" w:hAnsi="Montserrat Medium" w:cs="Arial"/>
          <w:color w:val="595959"/>
          <w:sz w:val="22"/>
          <w:lang w:eastAsia="en-US"/>
        </w:rPr>
        <w:t>0</w:t>
      </w:r>
      <w:r w:rsidR="00A4586C" w:rsidRPr="00D56579">
        <w:rPr>
          <w:rFonts w:ascii="Montserrat Medium" w:eastAsia="Times New Roman" w:hAnsi="Montserrat Medium" w:cs="Arial"/>
          <w:color w:val="595959"/>
          <w:sz w:val="22"/>
          <w:lang w:eastAsia="en-US"/>
        </w:rPr>
        <w:t xml:space="preserve"> de </w:t>
      </w:r>
      <w:r w:rsidR="000445BA">
        <w:rPr>
          <w:rFonts w:ascii="Montserrat Medium" w:eastAsia="Times New Roman" w:hAnsi="Montserrat Medium" w:cs="Arial"/>
          <w:color w:val="595959"/>
          <w:sz w:val="22"/>
          <w:lang w:eastAsia="en-US"/>
        </w:rPr>
        <w:t>junio</w:t>
      </w:r>
      <w:r w:rsidR="000063F2">
        <w:rPr>
          <w:rFonts w:ascii="Montserrat Medium" w:eastAsia="Times New Roman" w:hAnsi="Montserrat Medium" w:cs="Arial"/>
          <w:color w:val="595959"/>
          <w:sz w:val="22"/>
          <w:lang w:eastAsia="en-US"/>
        </w:rPr>
        <w:t xml:space="preserve"> de 2025</w:t>
      </w:r>
      <w:r w:rsidR="00322857" w:rsidRPr="00D56579">
        <w:rPr>
          <w:rFonts w:ascii="Montserrat Medium" w:eastAsia="Times New Roman" w:hAnsi="Montserrat Medium" w:cs="Arial"/>
          <w:color w:val="595959"/>
          <w:sz w:val="22"/>
          <w:lang w:eastAsia="en-US"/>
        </w:rPr>
        <w:t xml:space="preserve"> y ejercicio fiscal 202</w:t>
      </w:r>
      <w:r w:rsidR="000063F2">
        <w:rPr>
          <w:rFonts w:ascii="Montserrat Medium" w:eastAsia="Times New Roman" w:hAnsi="Montserrat Medium" w:cs="Arial"/>
          <w:color w:val="595959"/>
          <w:sz w:val="22"/>
          <w:lang w:eastAsia="en-US"/>
        </w:rPr>
        <w:t>4</w:t>
      </w:r>
      <w:r w:rsidRPr="00D56579">
        <w:rPr>
          <w:rFonts w:ascii="Montserrat Medium" w:eastAsia="Times New Roman" w:hAnsi="Montserrat Medium" w:cs="Arial"/>
          <w:color w:val="595959"/>
          <w:sz w:val="22"/>
          <w:lang w:eastAsia="en-US"/>
        </w:rPr>
        <w:t>, se integran como sigue:</w:t>
      </w:r>
    </w:p>
    <w:p w14:paraId="2965C0C5" w14:textId="77777777" w:rsidR="009D646D" w:rsidRPr="00D56579" w:rsidRDefault="009D646D" w:rsidP="002F131C">
      <w:pPr>
        <w:jc w:val="both"/>
        <w:rPr>
          <w:rFonts w:ascii="Montserrat Medium" w:eastAsia="Times New Roman" w:hAnsi="Montserrat Medium" w:cs="Arial"/>
          <w:color w:val="595959"/>
          <w:sz w:val="20"/>
          <w:szCs w:val="20"/>
          <w:lang w:eastAsia="en-US"/>
        </w:rPr>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02"/>
        <w:gridCol w:w="1843"/>
        <w:gridCol w:w="1644"/>
      </w:tblGrid>
      <w:tr w:rsidR="000063F2" w:rsidRPr="00D56579" w14:paraId="52375071" w14:textId="77777777" w:rsidTr="00CF691F">
        <w:trPr>
          <w:trHeight w:val="283"/>
          <w:tblHeader/>
          <w:jc w:val="center"/>
        </w:trPr>
        <w:tc>
          <w:tcPr>
            <w:tcW w:w="6302" w:type="dxa"/>
            <w:tcBorders>
              <w:bottom w:val="single" w:sz="4" w:space="0" w:color="auto"/>
            </w:tcBorders>
            <w:shd w:val="clear" w:color="auto" w:fill="BFBFBF" w:themeFill="background1" w:themeFillShade="BF"/>
            <w:noWrap/>
            <w:vAlign w:val="center"/>
            <w:hideMark/>
          </w:tcPr>
          <w:p w14:paraId="41BCB0F4" w14:textId="77777777" w:rsidR="000063F2" w:rsidRPr="00D56579" w:rsidRDefault="000063F2" w:rsidP="002F131C">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Concepto</w:t>
            </w:r>
          </w:p>
        </w:tc>
        <w:tc>
          <w:tcPr>
            <w:tcW w:w="1843" w:type="dxa"/>
            <w:tcBorders>
              <w:bottom w:val="single" w:sz="4" w:space="0" w:color="auto"/>
            </w:tcBorders>
            <w:shd w:val="clear" w:color="auto" w:fill="BFBFBF" w:themeFill="background1" w:themeFillShade="BF"/>
            <w:vAlign w:val="center"/>
          </w:tcPr>
          <w:p w14:paraId="7EDD524F" w14:textId="1A7EAB7B" w:rsidR="000063F2" w:rsidRPr="00D56579" w:rsidRDefault="000063F2" w:rsidP="002F131C">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Al 3</w:t>
            </w:r>
            <w:r w:rsidR="000445BA">
              <w:rPr>
                <w:rFonts w:ascii="Montserrat Medium" w:hAnsi="Montserrat Medium" w:cs="Calibri"/>
                <w:b/>
                <w:bCs/>
                <w:color w:val="000000"/>
                <w:sz w:val="18"/>
                <w:szCs w:val="18"/>
              </w:rPr>
              <w:t>0</w:t>
            </w:r>
            <w:r>
              <w:rPr>
                <w:rFonts w:ascii="Montserrat Medium" w:hAnsi="Montserrat Medium" w:cs="Calibri"/>
                <w:b/>
                <w:bCs/>
                <w:color w:val="000000"/>
                <w:sz w:val="18"/>
                <w:szCs w:val="18"/>
              </w:rPr>
              <w:t xml:space="preserve"> de </w:t>
            </w:r>
            <w:r w:rsidR="000445BA">
              <w:rPr>
                <w:rFonts w:ascii="Montserrat Medium" w:hAnsi="Montserrat Medium" w:cs="Calibri"/>
                <w:b/>
                <w:bCs/>
                <w:color w:val="000000"/>
                <w:sz w:val="18"/>
                <w:szCs w:val="18"/>
              </w:rPr>
              <w:t>Junio</w:t>
            </w:r>
            <w:r>
              <w:rPr>
                <w:rFonts w:ascii="Montserrat Medium" w:hAnsi="Montserrat Medium" w:cs="Calibri"/>
                <w:b/>
                <w:bCs/>
                <w:color w:val="000000"/>
                <w:sz w:val="18"/>
                <w:szCs w:val="18"/>
              </w:rPr>
              <w:t xml:space="preserve"> de 2025</w:t>
            </w:r>
          </w:p>
        </w:tc>
        <w:tc>
          <w:tcPr>
            <w:tcW w:w="1644" w:type="dxa"/>
            <w:tcBorders>
              <w:bottom w:val="single" w:sz="4" w:space="0" w:color="auto"/>
            </w:tcBorders>
            <w:shd w:val="clear" w:color="auto" w:fill="BFBFBF" w:themeFill="background1" w:themeFillShade="BF"/>
            <w:vAlign w:val="center"/>
          </w:tcPr>
          <w:p w14:paraId="0BABA075" w14:textId="77114CCA" w:rsidR="000063F2" w:rsidRPr="00D56579" w:rsidRDefault="000063F2" w:rsidP="002F131C">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2024</w:t>
            </w:r>
          </w:p>
        </w:tc>
      </w:tr>
      <w:tr w:rsidR="00695B74" w:rsidRPr="00D56579" w14:paraId="0DA6D4F2" w14:textId="77777777" w:rsidTr="00CF691F">
        <w:trPr>
          <w:trHeight w:hRule="exact" w:val="255"/>
          <w:jc w:val="center"/>
        </w:trPr>
        <w:tc>
          <w:tcPr>
            <w:tcW w:w="6302" w:type="dxa"/>
            <w:tcBorders>
              <w:bottom w:val="nil"/>
            </w:tcBorders>
            <w:shd w:val="clear" w:color="auto" w:fill="auto"/>
            <w:noWrap/>
            <w:vAlign w:val="bottom"/>
          </w:tcPr>
          <w:p w14:paraId="2F15D1C6" w14:textId="77777777" w:rsidR="00695B74" w:rsidRPr="00D56579" w:rsidRDefault="00695B74" w:rsidP="002F131C">
            <w:pP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En bienes de dominio público</w:t>
            </w:r>
          </w:p>
        </w:tc>
        <w:tc>
          <w:tcPr>
            <w:tcW w:w="1843" w:type="dxa"/>
            <w:tcBorders>
              <w:bottom w:val="nil"/>
            </w:tcBorders>
            <w:shd w:val="clear" w:color="auto" w:fill="auto"/>
            <w:vAlign w:val="center"/>
          </w:tcPr>
          <w:p w14:paraId="731D60C8" w14:textId="1A98E277" w:rsidR="00695B74" w:rsidRPr="00D56579" w:rsidRDefault="00695B74" w:rsidP="002F131C">
            <w:pPr>
              <w:jc w:val="right"/>
              <w:rPr>
                <w:rFonts w:ascii="Montserrat Medium" w:hAnsi="Montserrat Medium"/>
                <w:b/>
                <w:sz w:val="18"/>
                <w:szCs w:val="18"/>
              </w:rPr>
            </w:pPr>
            <w:r>
              <w:rPr>
                <w:rFonts w:ascii="Montserrat Medium" w:hAnsi="Montserrat Medium" w:cs="Calibri"/>
                <w:b/>
                <w:bCs/>
                <w:color w:val="000000"/>
                <w:sz w:val="18"/>
                <w:szCs w:val="18"/>
              </w:rPr>
              <w:t>1,124,764,504.57</w:t>
            </w:r>
          </w:p>
        </w:tc>
        <w:tc>
          <w:tcPr>
            <w:tcW w:w="1644" w:type="dxa"/>
            <w:tcBorders>
              <w:bottom w:val="nil"/>
            </w:tcBorders>
            <w:shd w:val="clear" w:color="auto" w:fill="auto"/>
            <w:vAlign w:val="center"/>
          </w:tcPr>
          <w:p w14:paraId="4916E047" w14:textId="711AE42E" w:rsidR="00695B74" w:rsidRPr="00D56579" w:rsidRDefault="00695B74" w:rsidP="002F131C">
            <w:pPr>
              <w:jc w:val="right"/>
              <w:rPr>
                <w:rFonts w:ascii="Montserrat Medium" w:hAnsi="Montserrat Medium"/>
                <w:b/>
                <w:sz w:val="18"/>
                <w:szCs w:val="18"/>
              </w:rPr>
            </w:pPr>
            <w:r>
              <w:rPr>
                <w:rFonts w:ascii="Montserrat Medium" w:hAnsi="Montserrat Medium" w:cs="Calibri"/>
                <w:b/>
                <w:bCs/>
                <w:color w:val="000000"/>
                <w:sz w:val="18"/>
                <w:szCs w:val="18"/>
              </w:rPr>
              <w:t>1,340,762,848.52</w:t>
            </w:r>
          </w:p>
        </w:tc>
      </w:tr>
      <w:tr w:rsidR="00695B74" w:rsidRPr="00D56579" w14:paraId="1D19D728" w14:textId="77777777" w:rsidTr="00CF691F">
        <w:trPr>
          <w:trHeight w:hRule="exact" w:val="255"/>
          <w:jc w:val="center"/>
        </w:trPr>
        <w:tc>
          <w:tcPr>
            <w:tcW w:w="6302" w:type="dxa"/>
            <w:tcBorders>
              <w:top w:val="nil"/>
              <w:bottom w:val="nil"/>
            </w:tcBorders>
            <w:shd w:val="clear" w:color="auto" w:fill="auto"/>
            <w:noWrap/>
            <w:vAlign w:val="bottom"/>
            <w:hideMark/>
          </w:tcPr>
          <w:p w14:paraId="5443F086" w14:textId="77777777" w:rsidR="00695B74" w:rsidRPr="00D56579" w:rsidRDefault="00695B74"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Edificación habitacional en proceso </w:t>
            </w:r>
          </w:p>
        </w:tc>
        <w:tc>
          <w:tcPr>
            <w:tcW w:w="1843" w:type="dxa"/>
            <w:tcBorders>
              <w:top w:val="nil"/>
              <w:bottom w:val="nil"/>
            </w:tcBorders>
            <w:shd w:val="clear" w:color="auto" w:fill="auto"/>
            <w:vAlign w:val="center"/>
          </w:tcPr>
          <w:p w14:paraId="4D6F2FC0" w14:textId="5D192280"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17,249,074.48</w:t>
            </w:r>
          </w:p>
        </w:tc>
        <w:tc>
          <w:tcPr>
            <w:tcW w:w="1644" w:type="dxa"/>
            <w:tcBorders>
              <w:top w:val="nil"/>
              <w:bottom w:val="nil"/>
            </w:tcBorders>
            <w:shd w:val="clear" w:color="auto" w:fill="auto"/>
            <w:vAlign w:val="center"/>
          </w:tcPr>
          <w:p w14:paraId="3D87C83E" w14:textId="02008039"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17,249,074.48</w:t>
            </w:r>
          </w:p>
        </w:tc>
      </w:tr>
      <w:tr w:rsidR="00695B74" w:rsidRPr="00D56579" w14:paraId="7036B6C2" w14:textId="77777777" w:rsidTr="000063F2">
        <w:trPr>
          <w:trHeight w:hRule="exact" w:val="255"/>
          <w:jc w:val="center"/>
        </w:trPr>
        <w:tc>
          <w:tcPr>
            <w:tcW w:w="6302" w:type="dxa"/>
            <w:tcBorders>
              <w:top w:val="nil"/>
              <w:bottom w:val="nil"/>
            </w:tcBorders>
            <w:shd w:val="clear" w:color="auto" w:fill="auto"/>
            <w:noWrap/>
            <w:vAlign w:val="bottom"/>
            <w:hideMark/>
          </w:tcPr>
          <w:p w14:paraId="035FCAD7" w14:textId="77777777" w:rsidR="00695B74" w:rsidRPr="00D56579" w:rsidRDefault="00695B74"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Edificación no habitacional en proceso</w:t>
            </w:r>
          </w:p>
        </w:tc>
        <w:tc>
          <w:tcPr>
            <w:tcW w:w="1843" w:type="dxa"/>
            <w:tcBorders>
              <w:top w:val="nil"/>
              <w:bottom w:val="nil"/>
            </w:tcBorders>
            <w:shd w:val="clear" w:color="auto" w:fill="auto"/>
            <w:vAlign w:val="center"/>
          </w:tcPr>
          <w:p w14:paraId="0CF53B27" w14:textId="3F154EFF"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217,522,859.86</w:t>
            </w:r>
          </w:p>
        </w:tc>
        <w:tc>
          <w:tcPr>
            <w:tcW w:w="1644" w:type="dxa"/>
            <w:tcBorders>
              <w:top w:val="nil"/>
              <w:bottom w:val="nil"/>
            </w:tcBorders>
            <w:shd w:val="clear" w:color="auto" w:fill="auto"/>
            <w:vAlign w:val="center"/>
          </w:tcPr>
          <w:p w14:paraId="36EAFE9E" w14:textId="6CA355D1"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220,419,712.03</w:t>
            </w:r>
          </w:p>
        </w:tc>
      </w:tr>
      <w:tr w:rsidR="00695B74" w:rsidRPr="00D56579" w14:paraId="5FD8B986" w14:textId="77777777" w:rsidTr="000063F2">
        <w:trPr>
          <w:trHeight w:hRule="exact" w:val="510"/>
          <w:jc w:val="center"/>
        </w:trPr>
        <w:tc>
          <w:tcPr>
            <w:tcW w:w="6302" w:type="dxa"/>
            <w:tcBorders>
              <w:top w:val="nil"/>
              <w:bottom w:val="nil"/>
            </w:tcBorders>
            <w:shd w:val="clear" w:color="auto" w:fill="auto"/>
            <w:noWrap/>
            <w:vAlign w:val="bottom"/>
            <w:hideMark/>
          </w:tcPr>
          <w:p w14:paraId="7E0E15A0" w14:textId="77777777" w:rsidR="00695B74" w:rsidRPr="00D56579" w:rsidRDefault="00695B74"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Construcción de obras para el abastecimiento de agua, petróleo, gas, electricidad y telecomunicaciones en proceso</w:t>
            </w:r>
          </w:p>
        </w:tc>
        <w:tc>
          <w:tcPr>
            <w:tcW w:w="1843" w:type="dxa"/>
            <w:tcBorders>
              <w:top w:val="nil"/>
              <w:bottom w:val="nil"/>
            </w:tcBorders>
            <w:shd w:val="clear" w:color="auto" w:fill="auto"/>
            <w:vAlign w:val="center"/>
          </w:tcPr>
          <w:p w14:paraId="7D60A3B7" w14:textId="0675DB52"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20,770,210.07</w:t>
            </w:r>
          </w:p>
        </w:tc>
        <w:tc>
          <w:tcPr>
            <w:tcW w:w="1644" w:type="dxa"/>
            <w:tcBorders>
              <w:top w:val="nil"/>
              <w:bottom w:val="nil"/>
            </w:tcBorders>
            <w:shd w:val="clear" w:color="auto" w:fill="auto"/>
            <w:vAlign w:val="center"/>
          </w:tcPr>
          <w:p w14:paraId="7F75A8C6" w14:textId="40D6566D"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20,770,210.07</w:t>
            </w:r>
          </w:p>
        </w:tc>
      </w:tr>
      <w:tr w:rsidR="00695B74" w:rsidRPr="00D56579" w14:paraId="3681EF3A" w14:textId="77777777" w:rsidTr="000063F2">
        <w:trPr>
          <w:trHeight w:hRule="exact" w:val="421"/>
          <w:jc w:val="center"/>
        </w:trPr>
        <w:tc>
          <w:tcPr>
            <w:tcW w:w="6302" w:type="dxa"/>
            <w:tcBorders>
              <w:top w:val="nil"/>
              <w:bottom w:val="nil"/>
            </w:tcBorders>
            <w:shd w:val="clear" w:color="auto" w:fill="auto"/>
            <w:noWrap/>
            <w:vAlign w:val="bottom"/>
            <w:hideMark/>
          </w:tcPr>
          <w:p w14:paraId="185244CA" w14:textId="77777777" w:rsidR="00695B74" w:rsidRPr="00D56579" w:rsidRDefault="00695B74"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División de terrenos y construcción de obras de urbanización en proceso</w:t>
            </w:r>
          </w:p>
        </w:tc>
        <w:tc>
          <w:tcPr>
            <w:tcW w:w="1843" w:type="dxa"/>
            <w:tcBorders>
              <w:top w:val="nil"/>
              <w:bottom w:val="nil"/>
            </w:tcBorders>
            <w:shd w:val="clear" w:color="auto" w:fill="auto"/>
            <w:vAlign w:val="center"/>
          </w:tcPr>
          <w:p w14:paraId="2725BD92" w14:textId="25973FDB"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668,817,838.44</w:t>
            </w:r>
          </w:p>
        </w:tc>
        <w:tc>
          <w:tcPr>
            <w:tcW w:w="1644" w:type="dxa"/>
            <w:tcBorders>
              <w:top w:val="nil"/>
              <w:bottom w:val="nil"/>
            </w:tcBorders>
            <w:shd w:val="clear" w:color="auto" w:fill="auto"/>
            <w:vAlign w:val="center"/>
          </w:tcPr>
          <w:p w14:paraId="6DE648C0" w14:textId="6F1786BF"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777,182,292.94</w:t>
            </w:r>
          </w:p>
        </w:tc>
      </w:tr>
      <w:tr w:rsidR="00695B74" w:rsidRPr="00D56579" w14:paraId="70530C2C" w14:textId="77777777" w:rsidTr="00CF691F">
        <w:trPr>
          <w:trHeight w:hRule="exact" w:val="255"/>
          <w:jc w:val="center"/>
        </w:trPr>
        <w:tc>
          <w:tcPr>
            <w:tcW w:w="6302" w:type="dxa"/>
            <w:tcBorders>
              <w:top w:val="nil"/>
              <w:bottom w:val="nil"/>
            </w:tcBorders>
            <w:shd w:val="clear" w:color="auto" w:fill="auto"/>
            <w:noWrap/>
            <w:vAlign w:val="bottom"/>
            <w:hideMark/>
          </w:tcPr>
          <w:p w14:paraId="31C3591D" w14:textId="77777777" w:rsidR="00695B74" w:rsidRPr="00D56579" w:rsidRDefault="00695B74"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Construcción de vías de comunicación en proceso</w:t>
            </w:r>
          </w:p>
        </w:tc>
        <w:tc>
          <w:tcPr>
            <w:tcW w:w="1843" w:type="dxa"/>
            <w:tcBorders>
              <w:top w:val="nil"/>
              <w:bottom w:val="nil"/>
            </w:tcBorders>
            <w:shd w:val="clear" w:color="auto" w:fill="auto"/>
            <w:vAlign w:val="center"/>
          </w:tcPr>
          <w:p w14:paraId="2E3E8D98" w14:textId="6E47C885"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64,739,166.74</w:t>
            </w:r>
          </w:p>
        </w:tc>
        <w:tc>
          <w:tcPr>
            <w:tcW w:w="1644" w:type="dxa"/>
            <w:tcBorders>
              <w:top w:val="nil"/>
              <w:bottom w:val="nil"/>
            </w:tcBorders>
            <w:shd w:val="clear" w:color="auto" w:fill="auto"/>
            <w:vAlign w:val="center"/>
          </w:tcPr>
          <w:p w14:paraId="30CAD4D0" w14:textId="09A0EC44"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169,476,204.02</w:t>
            </w:r>
          </w:p>
        </w:tc>
      </w:tr>
      <w:tr w:rsidR="00695B74" w:rsidRPr="00D56579" w14:paraId="28CCF755" w14:textId="77777777" w:rsidTr="00257A6B">
        <w:trPr>
          <w:trHeight w:hRule="exact" w:val="255"/>
          <w:jc w:val="center"/>
        </w:trPr>
        <w:tc>
          <w:tcPr>
            <w:tcW w:w="6302" w:type="dxa"/>
            <w:tcBorders>
              <w:top w:val="nil"/>
              <w:bottom w:val="nil"/>
            </w:tcBorders>
            <w:shd w:val="clear" w:color="auto" w:fill="auto"/>
            <w:noWrap/>
            <w:vAlign w:val="bottom"/>
          </w:tcPr>
          <w:p w14:paraId="3D06E14E" w14:textId="77777777" w:rsidR="00695B74" w:rsidRPr="00D56579" w:rsidRDefault="00695B74"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Otras construcciones de ingeniería civil u obra pesada en proceso</w:t>
            </w:r>
          </w:p>
        </w:tc>
        <w:tc>
          <w:tcPr>
            <w:tcW w:w="1843" w:type="dxa"/>
            <w:tcBorders>
              <w:top w:val="nil"/>
              <w:bottom w:val="nil"/>
            </w:tcBorders>
            <w:shd w:val="clear" w:color="auto" w:fill="auto"/>
            <w:vAlign w:val="center"/>
          </w:tcPr>
          <w:p w14:paraId="4BFE47C6" w14:textId="25050E5C"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0.00</w:t>
            </w:r>
          </w:p>
        </w:tc>
        <w:tc>
          <w:tcPr>
            <w:tcW w:w="1644" w:type="dxa"/>
            <w:tcBorders>
              <w:top w:val="nil"/>
              <w:bottom w:val="nil"/>
            </w:tcBorders>
            <w:shd w:val="clear" w:color="auto" w:fill="auto"/>
            <w:vAlign w:val="center"/>
          </w:tcPr>
          <w:p w14:paraId="751459FB" w14:textId="4CC46071"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0.00</w:t>
            </w:r>
          </w:p>
        </w:tc>
      </w:tr>
      <w:tr w:rsidR="00695B74" w:rsidRPr="00D56579" w14:paraId="63CFDD14" w14:textId="77777777" w:rsidTr="00257A6B">
        <w:trPr>
          <w:trHeight w:hRule="exact" w:val="267"/>
          <w:jc w:val="center"/>
        </w:trPr>
        <w:tc>
          <w:tcPr>
            <w:tcW w:w="6302" w:type="dxa"/>
            <w:tcBorders>
              <w:top w:val="nil"/>
              <w:bottom w:val="nil"/>
            </w:tcBorders>
            <w:shd w:val="clear" w:color="auto" w:fill="auto"/>
            <w:noWrap/>
            <w:vAlign w:val="bottom"/>
            <w:hideMark/>
          </w:tcPr>
          <w:p w14:paraId="5A39492D" w14:textId="77777777" w:rsidR="00695B74" w:rsidRPr="00D56579" w:rsidRDefault="00695B74"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Instalaciones y equipamiento en construcciones en proceso</w:t>
            </w:r>
          </w:p>
        </w:tc>
        <w:tc>
          <w:tcPr>
            <w:tcW w:w="1843" w:type="dxa"/>
            <w:tcBorders>
              <w:top w:val="nil"/>
              <w:bottom w:val="nil"/>
            </w:tcBorders>
            <w:shd w:val="clear" w:color="auto" w:fill="auto"/>
            <w:vAlign w:val="center"/>
          </w:tcPr>
          <w:p w14:paraId="62B92042" w14:textId="2492048B"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60,156,647.15</w:t>
            </w:r>
          </w:p>
        </w:tc>
        <w:tc>
          <w:tcPr>
            <w:tcW w:w="1644" w:type="dxa"/>
            <w:tcBorders>
              <w:top w:val="nil"/>
              <w:bottom w:val="nil"/>
            </w:tcBorders>
            <w:shd w:val="clear" w:color="auto" w:fill="auto"/>
            <w:vAlign w:val="center"/>
          </w:tcPr>
          <w:p w14:paraId="731766CE" w14:textId="3522219A"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60,156,647.15</w:t>
            </w:r>
          </w:p>
        </w:tc>
      </w:tr>
      <w:tr w:rsidR="00695B74" w:rsidRPr="00D56579" w14:paraId="5E7948AC" w14:textId="77777777" w:rsidTr="00257A6B">
        <w:trPr>
          <w:trHeight w:hRule="exact" w:val="510"/>
          <w:jc w:val="center"/>
        </w:trPr>
        <w:tc>
          <w:tcPr>
            <w:tcW w:w="6302" w:type="dxa"/>
            <w:tcBorders>
              <w:top w:val="nil"/>
              <w:bottom w:val="nil"/>
            </w:tcBorders>
            <w:shd w:val="clear" w:color="auto" w:fill="auto"/>
            <w:noWrap/>
            <w:vAlign w:val="bottom"/>
            <w:hideMark/>
          </w:tcPr>
          <w:p w14:paraId="38612600" w14:textId="77777777" w:rsidR="00695B74" w:rsidRPr="00D56579" w:rsidRDefault="00695B74"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Trabajos de acabados en edificaciones y otros trabajos especializados en proceso</w:t>
            </w:r>
          </w:p>
        </w:tc>
        <w:tc>
          <w:tcPr>
            <w:tcW w:w="1843" w:type="dxa"/>
            <w:tcBorders>
              <w:top w:val="nil"/>
              <w:bottom w:val="nil"/>
            </w:tcBorders>
            <w:shd w:val="clear" w:color="auto" w:fill="auto"/>
            <w:vAlign w:val="center"/>
          </w:tcPr>
          <w:p w14:paraId="01FBB0C2" w14:textId="7136E34A"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75,508,707.83</w:t>
            </w:r>
          </w:p>
        </w:tc>
        <w:tc>
          <w:tcPr>
            <w:tcW w:w="1644" w:type="dxa"/>
            <w:tcBorders>
              <w:top w:val="nil"/>
              <w:bottom w:val="nil"/>
            </w:tcBorders>
            <w:shd w:val="clear" w:color="auto" w:fill="auto"/>
            <w:vAlign w:val="center"/>
          </w:tcPr>
          <w:p w14:paraId="2FB8C564" w14:textId="0497806D"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75,508,707.83</w:t>
            </w:r>
          </w:p>
        </w:tc>
      </w:tr>
      <w:tr w:rsidR="00695B74" w:rsidRPr="00D56579" w14:paraId="07A47CBF" w14:textId="77777777" w:rsidTr="00CF691F">
        <w:trPr>
          <w:trHeight w:hRule="exact" w:val="227"/>
          <w:jc w:val="center"/>
        </w:trPr>
        <w:tc>
          <w:tcPr>
            <w:tcW w:w="6302" w:type="dxa"/>
            <w:tcBorders>
              <w:top w:val="nil"/>
              <w:bottom w:val="nil"/>
            </w:tcBorders>
            <w:shd w:val="clear" w:color="auto" w:fill="auto"/>
            <w:noWrap/>
            <w:vAlign w:val="bottom"/>
          </w:tcPr>
          <w:p w14:paraId="6DE5D9EE" w14:textId="77777777" w:rsidR="00695B74" w:rsidRPr="00D56579" w:rsidRDefault="00695B74" w:rsidP="002F131C">
            <w:pP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En bienes propios</w:t>
            </w:r>
          </w:p>
        </w:tc>
        <w:tc>
          <w:tcPr>
            <w:tcW w:w="1843" w:type="dxa"/>
            <w:tcBorders>
              <w:top w:val="nil"/>
              <w:bottom w:val="nil"/>
            </w:tcBorders>
            <w:shd w:val="clear" w:color="auto" w:fill="auto"/>
            <w:vAlign w:val="center"/>
          </w:tcPr>
          <w:p w14:paraId="25E66B6F" w14:textId="4A013529" w:rsidR="00695B74" w:rsidRPr="00D56579" w:rsidRDefault="00695B74" w:rsidP="002F131C">
            <w:pPr>
              <w:jc w:val="right"/>
              <w:rPr>
                <w:rFonts w:ascii="Montserrat Medium" w:hAnsi="Montserrat Medium"/>
                <w:b/>
                <w:sz w:val="18"/>
                <w:szCs w:val="18"/>
              </w:rPr>
            </w:pPr>
            <w:r>
              <w:rPr>
                <w:rFonts w:ascii="Montserrat Medium" w:hAnsi="Montserrat Medium" w:cs="Calibri"/>
                <w:b/>
                <w:bCs/>
                <w:color w:val="000000"/>
                <w:sz w:val="18"/>
                <w:szCs w:val="18"/>
              </w:rPr>
              <w:t>296,418,455.77</w:t>
            </w:r>
          </w:p>
        </w:tc>
        <w:tc>
          <w:tcPr>
            <w:tcW w:w="1644" w:type="dxa"/>
            <w:tcBorders>
              <w:top w:val="nil"/>
              <w:bottom w:val="nil"/>
            </w:tcBorders>
            <w:shd w:val="clear" w:color="auto" w:fill="auto"/>
            <w:vAlign w:val="center"/>
          </w:tcPr>
          <w:p w14:paraId="13B4516D" w14:textId="67276E47" w:rsidR="00695B74" w:rsidRPr="00D56579" w:rsidRDefault="00695B74" w:rsidP="002F131C">
            <w:pPr>
              <w:jc w:val="right"/>
              <w:rPr>
                <w:rFonts w:ascii="Montserrat Medium" w:hAnsi="Montserrat Medium"/>
                <w:b/>
                <w:sz w:val="18"/>
                <w:szCs w:val="18"/>
              </w:rPr>
            </w:pPr>
            <w:r>
              <w:rPr>
                <w:rFonts w:ascii="Montserrat Medium" w:hAnsi="Montserrat Medium" w:cs="Calibri"/>
                <w:b/>
                <w:bCs/>
                <w:color w:val="000000"/>
                <w:sz w:val="18"/>
                <w:szCs w:val="18"/>
              </w:rPr>
              <w:t>197,200,002.26</w:t>
            </w:r>
          </w:p>
        </w:tc>
      </w:tr>
      <w:tr w:rsidR="00695B74" w:rsidRPr="00D56579" w14:paraId="6AE5390C" w14:textId="77777777" w:rsidTr="00CF691F">
        <w:trPr>
          <w:trHeight w:hRule="exact" w:val="227"/>
          <w:jc w:val="center"/>
        </w:trPr>
        <w:tc>
          <w:tcPr>
            <w:tcW w:w="6302" w:type="dxa"/>
            <w:tcBorders>
              <w:top w:val="nil"/>
              <w:bottom w:val="nil"/>
            </w:tcBorders>
            <w:shd w:val="clear" w:color="auto" w:fill="auto"/>
            <w:noWrap/>
            <w:vAlign w:val="bottom"/>
          </w:tcPr>
          <w:p w14:paraId="4C525D10" w14:textId="77777777" w:rsidR="00695B74" w:rsidRPr="00D56579" w:rsidRDefault="00695B74"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Edificación no habitacional en proceso</w:t>
            </w:r>
          </w:p>
        </w:tc>
        <w:tc>
          <w:tcPr>
            <w:tcW w:w="1843" w:type="dxa"/>
            <w:tcBorders>
              <w:top w:val="nil"/>
              <w:bottom w:val="nil"/>
            </w:tcBorders>
            <w:shd w:val="clear" w:color="auto" w:fill="auto"/>
            <w:vAlign w:val="center"/>
          </w:tcPr>
          <w:p w14:paraId="0EC91910" w14:textId="4BC00D83"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293,390,208.10</w:t>
            </w:r>
          </w:p>
        </w:tc>
        <w:tc>
          <w:tcPr>
            <w:tcW w:w="1644" w:type="dxa"/>
            <w:tcBorders>
              <w:top w:val="nil"/>
              <w:bottom w:val="nil"/>
            </w:tcBorders>
            <w:shd w:val="clear" w:color="auto" w:fill="auto"/>
            <w:vAlign w:val="center"/>
          </w:tcPr>
          <w:p w14:paraId="53D34404" w14:textId="0E35CA57"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194,171,754.59</w:t>
            </w:r>
          </w:p>
        </w:tc>
      </w:tr>
      <w:tr w:rsidR="00695B74" w:rsidRPr="00D56579" w14:paraId="40493C24" w14:textId="77777777" w:rsidTr="00CF691F">
        <w:trPr>
          <w:trHeight w:hRule="exact" w:val="221"/>
          <w:jc w:val="center"/>
        </w:trPr>
        <w:tc>
          <w:tcPr>
            <w:tcW w:w="6302" w:type="dxa"/>
            <w:tcBorders>
              <w:top w:val="nil"/>
              <w:bottom w:val="nil"/>
            </w:tcBorders>
            <w:shd w:val="clear" w:color="auto" w:fill="auto"/>
            <w:noWrap/>
            <w:vAlign w:val="bottom"/>
          </w:tcPr>
          <w:p w14:paraId="76CA7B44" w14:textId="77777777" w:rsidR="00695B74" w:rsidRPr="00D56579" w:rsidRDefault="00695B74"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Instalaciones y equipamiento en construcciones en proceso</w:t>
            </w:r>
          </w:p>
        </w:tc>
        <w:tc>
          <w:tcPr>
            <w:tcW w:w="1843" w:type="dxa"/>
            <w:tcBorders>
              <w:top w:val="nil"/>
              <w:bottom w:val="nil"/>
            </w:tcBorders>
            <w:shd w:val="clear" w:color="auto" w:fill="auto"/>
            <w:vAlign w:val="center"/>
          </w:tcPr>
          <w:p w14:paraId="50E7CDEC" w14:textId="40E7F69B"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101,990.16</w:t>
            </w:r>
          </w:p>
        </w:tc>
        <w:tc>
          <w:tcPr>
            <w:tcW w:w="1644" w:type="dxa"/>
            <w:tcBorders>
              <w:top w:val="nil"/>
              <w:bottom w:val="nil"/>
            </w:tcBorders>
            <w:shd w:val="clear" w:color="auto" w:fill="auto"/>
            <w:vAlign w:val="center"/>
          </w:tcPr>
          <w:p w14:paraId="67D3B810" w14:textId="7F69D26F"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101,990.16</w:t>
            </w:r>
          </w:p>
        </w:tc>
      </w:tr>
      <w:tr w:rsidR="00695B74" w:rsidRPr="00D56579" w14:paraId="10DE83D1" w14:textId="77777777" w:rsidTr="00CF691F">
        <w:trPr>
          <w:trHeight w:hRule="exact" w:val="412"/>
          <w:jc w:val="center"/>
        </w:trPr>
        <w:tc>
          <w:tcPr>
            <w:tcW w:w="6302" w:type="dxa"/>
            <w:tcBorders>
              <w:top w:val="nil"/>
              <w:bottom w:val="nil"/>
            </w:tcBorders>
            <w:shd w:val="clear" w:color="auto" w:fill="auto"/>
            <w:noWrap/>
            <w:vAlign w:val="bottom"/>
          </w:tcPr>
          <w:p w14:paraId="5495145B" w14:textId="77777777" w:rsidR="00695B74" w:rsidRPr="00D56579" w:rsidRDefault="00695B74"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División de terrenos construcción de obras de urbanización en proceso</w:t>
            </w:r>
          </w:p>
        </w:tc>
        <w:tc>
          <w:tcPr>
            <w:tcW w:w="1843" w:type="dxa"/>
            <w:tcBorders>
              <w:top w:val="nil"/>
              <w:bottom w:val="nil"/>
            </w:tcBorders>
            <w:shd w:val="clear" w:color="auto" w:fill="auto"/>
            <w:vAlign w:val="center"/>
          </w:tcPr>
          <w:p w14:paraId="763ADABF" w14:textId="103AAC21" w:rsidR="00695B74" w:rsidRPr="00D56579" w:rsidRDefault="00695B74" w:rsidP="002F131C">
            <w:pPr>
              <w:jc w:val="right"/>
              <w:rPr>
                <w:rFonts w:ascii="Montserrat Medium" w:eastAsia="Times New Roman" w:hAnsi="Montserrat Medium" w:cs="Arial"/>
                <w:sz w:val="18"/>
                <w:szCs w:val="18"/>
                <w:lang w:eastAsia="en-US"/>
              </w:rPr>
            </w:pPr>
            <w:r>
              <w:rPr>
                <w:rFonts w:ascii="Montserrat Medium" w:hAnsi="Montserrat Medium" w:cs="Calibri"/>
                <w:color w:val="000000"/>
                <w:sz w:val="18"/>
                <w:szCs w:val="18"/>
              </w:rPr>
              <w:t>369,653.23</w:t>
            </w:r>
          </w:p>
        </w:tc>
        <w:tc>
          <w:tcPr>
            <w:tcW w:w="1644" w:type="dxa"/>
            <w:tcBorders>
              <w:top w:val="nil"/>
              <w:bottom w:val="nil"/>
            </w:tcBorders>
            <w:shd w:val="clear" w:color="auto" w:fill="auto"/>
            <w:vAlign w:val="center"/>
          </w:tcPr>
          <w:p w14:paraId="4AE6BC9C" w14:textId="38A4BDCA" w:rsidR="00695B74" w:rsidRPr="00D56579" w:rsidRDefault="00695B74" w:rsidP="002F131C">
            <w:pPr>
              <w:jc w:val="right"/>
              <w:rPr>
                <w:rFonts w:ascii="Montserrat Medium" w:eastAsia="Times New Roman" w:hAnsi="Montserrat Medium" w:cs="Arial"/>
                <w:sz w:val="18"/>
                <w:szCs w:val="18"/>
                <w:lang w:eastAsia="en-US"/>
              </w:rPr>
            </w:pPr>
            <w:r>
              <w:rPr>
                <w:rFonts w:ascii="Montserrat Medium" w:hAnsi="Montserrat Medium" w:cs="Calibri"/>
                <w:color w:val="000000"/>
                <w:sz w:val="18"/>
                <w:szCs w:val="18"/>
              </w:rPr>
              <w:t>369,653.23</w:t>
            </w:r>
          </w:p>
        </w:tc>
      </w:tr>
      <w:tr w:rsidR="00695B74" w:rsidRPr="00D56579" w14:paraId="67CF47A6" w14:textId="77777777" w:rsidTr="00CF691F">
        <w:trPr>
          <w:trHeight w:hRule="exact" w:val="527"/>
          <w:jc w:val="center"/>
        </w:trPr>
        <w:tc>
          <w:tcPr>
            <w:tcW w:w="6302" w:type="dxa"/>
            <w:tcBorders>
              <w:top w:val="nil"/>
              <w:bottom w:val="single" w:sz="4" w:space="0" w:color="auto"/>
            </w:tcBorders>
            <w:shd w:val="clear" w:color="auto" w:fill="auto"/>
            <w:noWrap/>
            <w:vAlign w:val="bottom"/>
          </w:tcPr>
          <w:p w14:paraId="4373A5EB" w14:textId="77777777" w:rsidR="00695B74" w:rsidRPr="00D56579" w:rsidRDefault="00695B74" w:rsidP="002F131C">
            <w:pPr>
              <w:rPr>
                <w:rFonts w:ascii="Montserrat" w:hAnsi="Montserrat" w:cs="Calibri"/>
                <w:color w:val="000000"/>
                <w:sz w:val="18"/>
                <w:szCs w:val="18"/>
              </w:rPr>
            </w:pPr>
            <w:r w:rsidRPr="00D56579">
              <w:rPr>
                <w:rFonts w:ascii="Montserrat" w:hAnsi="Montserrat" w:cs="Calibri"/>
                <w:color w:val="000000"/>
                <w:sz w:val="18"/>
                <w:szCs w:val="18"/>
              </w:rPr>
              <w:t>Trabajos de acabados en edificaciones y otros trabajos especializados en proceso</w:t>
            </w:r>
          </w:p>
          <w:p w14:paraId="46B0FCAA" w14:textId="77777777" w:rsidR="00695B74" w:rsidRPr="00D56579" w:rsidRDefault="00695B74" w:rsidP="002F131C">
            <w:pPr>
              <w:rPr>
                <w:rFonts w:ascii="Montserrat Medium" w:eastAsia="Times New Roman" w:hAnsi="Montserrat Medium" w:cs="Arial"/>
                <w:sz w:val="18"/>
                <w:szCs w:val="18"/>
                <w:lang w:eastAsia="en-US"/>
              </w:rPr>
            </w:pPr>
          </w:p>
        </w:tc>
        <w:tc>
          <w:tcPr>
            <w:tcW w:w="1843" w:type="dxa"/>
            <w:tcBorders>
              <w:top w:val="nil"/>
              <w:bottom w:val="single" w:sz="4" w:space="0" w:color="auto"/>
            </w:tcBorders>
            <w:shd w:val="clear" w:color="auto" w:fill="auto"/>
            <w:vAlign w:val="center"/>
          </w:tcPr>
          <w:p w14:paraId="0ED9ECDD" w14:textId="74A4E649"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2,556,604.28</w:t>
            </w:r>
          </w:p>
        </w:tc>
        <w:tc>
          <w:tcPr>
            <w:tcW w:w="1644" w:type="dxa"/>
            <w:tcBorders>
              <w:top w:val="nil"/>
              <w:bottom w:val="single" w:sz="4" w:space="0" w:color="auto"/>
            </w:tcBorders>
            <w:shd w:val="clear" w:color="auto" w:fill="auto"/>
            <w:vAlign w:val="center"/>
          </w:tcPr>
          <w:p w14:paraId="59608B5D" w14:textId="2F021EDF"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2,556,604.28</w:t>
            </w:r>
          </w:p>
        </w:tc>
      </w:tr>
      <w:tr w:rsidR="00695B74" w:rsidRPr="00D56579" w14:paraId="549C0986" w14:textId="77777777" w:rsidTr="00CF691F">
        <w:trPr>
          <w:trHeight w:hRule="exact" w:val="255"/>
          <w:jc w:val="center"/>
        </w:trPr>
        <w:tc>
          <w:tcPr>
            <w:tcW w:w="6302" w:type="dxa"/>
            <w:tcBorders>
              <w:bottom w:val="single" w:sz="4" w:space="0" w:color="auto"/>
            </w:tcBorders>
            <w:shd w:val="clear" w:color="auto" w:fill="auto"/>
            <w:noWrap/>
            <w:vAlign w:val="bottom"/>
          </w:tcPr>
          <w:p w14:paraId="15FC957B" w14:textId="77777777" w:rsidR="00695B74" w:rsidRPr="00D56579" w:rsidRDefault="00695B74" w:rsidP="002F131C">
            <w:pPr>
              <w:ind w:left="2"/>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Total de construcciones en proceso</w:t>
            </w:r>
          </w:p>
        </w:tc>
        <w:tc>
          <w:tcPr>
            <w:tcW w:w="1843" w:type="dxa"/>
            <w:tcBorders>
              <w:bottom w:val="single" w:sz="4" w:space="0" w:color="auto"/>
            </w:tcBorders>
            <w:shd w:val="clear" w:color="auto" w:fill="auto"/>
            <w:vAlign w:val="center"/>
          </w:tcPr>
          <w:p w14:paraId="15FF51EC" w14:textId="75236744" w:rsidR="00695B74" w:rsidRPr="00D56579" w:rsidRDefault="00695B74" w:rsidP="002F131C">
            <w:pPr>
              <w:jc w:val="right"/>
              <w:rPr>
                <w:rFonts w:ascii="Montserrat Medium" w:hAnsi="Montserrat Medium"/>
                <w:b/>
                <w:sz w:val="18"/>
                <w:szCs w:val="18"/>
              </w:rPr>
            </w:pPr>
            <w:r>
              <w:rPr>
                <w:rFonts w:ascii="Montserrat Medium" w:hAnsi="Montserrat Medium" w:cs="Calibri"/>
                <w:b/>
                <w:bCs/>
                <w:color w:val="000000"/>
                <w:sz w:val="18"/>
                <w:szCs w:val="18"/>
              </w:rPr>
              <w:t>1,421,182,960.34</w:t>
            </w:r>
          </w:p>
        </w:tc>
        <w:tc>
          <w:tcPr>
            <w:tcW w:w="1644" w:type="dxa"/>
            <w:tcBorders>
              <w:bottom w:val="single" w:sz="4" w:space="0" w:color="auto"/>
            </w:tcBorders>
            <w:shd w:val="clear" w:color="auto" w:fill="auto"/>
            <w:vAlign w:val="center"/>
          </w:tcPr>
          <w:p w14:paraId="7EF69416" w14:textId="7D90810F" w:rsidR="00695B74" w:rsidRPr="00D56579" w:rsidRDefault="00695B74" w:rsidP="002F131C">
            <w:pPr>
              <w:jc w:val="right"/>
              <w:rPr>
                <w:rFonts w:ascii="Montserrat Medium" w:hAnsi="Montserrat Medium"/>
                <w:b/>
                <w:sz w:val="18"/>
                <w:szCs w:val="18"/>
              </w:rPr>
            </w:pPr>
            <w:r>
              <w:rPr>
                <w:rFonts w:ascii="Montserrat Medium" w:hAnsi="Montserrat Medium" w:cs="Calibri"/>
                <w:b/>
                <w:bCs/>
                <w:color w:val="000000"/>
                <w:sz w:val="18"/>
                <w:szCs w:val="18"/>
              </w:rPr>
              <w:t>1,639,156,361.55</w:t>
            </w:r>
          </w:p>
        </w:tc>
      </w:tr>
    </w:tbl>
    <w:p w14:paraId="5FAC7979" w14:textId="77777777" w:rsidR="00E242CA" w:rsidRPr="00D56579" w:rsidRDefault="00E242CA" w:rsidP="002F131C">
      <w:pPr>
        <w:jc w:val="both"/>
        <w:rPr>
          <w:rFonts w:ascii="Montserrat Medium" w:eastAsia="Times New Roman" w:hAnsi="Montserrat Medium" w:cs="Arial"/>
          <w:color w:val="595959"/>
          <w:sz w:val="20"/>
          <w:szCs w:val="20"/>
          <w:lang w:eastAsia="en-US"/>
        </w:rPr>
      </w:pPr>
    </w:p>
    <w:p w14:paraId="48B856E8" w14:textId="74F09414" w:rsidR="009D646D" w:rsidRPr="00D56579" w:rsidRDefault="009D646D" w:rsidP="002F131C">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Infraestructura</w:t>
      </w:r>
    </w:p>
    <w:p w14:paraId="62EADAEB" w14:textId="77777777" w:rsidR="009D646D" w:rsidRPr="00D56579" w:rsidRDefault="009D646D" w:rsidP="002F131C">
      <w:pPr>
        <w:ind w:firstLine="567"/>
        <w:jc w:val="both"/>
        <w:rPr>
          <w:rFonts w:ascii="Montserrat Medium" w:eastAsia="Times New Roman" w:hAnsi="Montserrat Medium" w:cs="Arial"/>
          <w:color w:val="595959"/>
          <w:sz w:val="22"/>
          <w:lang w:eastAsia="en-US"/>
        </w:rPr>
      </w:pPr>
    </w:p>
    <w:p w14:paraId="5678A5F6" w14:textId="050D1817" w:rsidR="00EB7C9D" w:rsidRDefault="000063F2" w:rsidP="002F131C">
      <w:pPr>
        <w:contextualSpacing/>
        <w:jc w:val="both"/>
        <w:rPr>
          <w:rFonts w:ascii="Montserrat Medium" w:eastAsia="Times New Roman" w:hAnsi="Montserrat Medium" w:cs="Arial"/>
          <w:color w:val="595959"/>
          <w:sz w:val="22"/>
          <w:lang w:eastAsia="en-US"/>
        </w:rPr>
      </w:pPr>
      <w:r w:rsidRPr="000063F2">
        <w:rPr>
          <w:rFonts w:ascii="Montserrat Medium" w:eastAsia="Times New Roman" w:hAnsi="Montserrat Medium" w:cs="Arial"/>
          <w:color w:val="595959"/>
          <w:sz w:val="22"/>
          <w:lang w:eastAsia="en-US"/>
        </w:rPr>
        <w:t>Al 3</w:t>
      </w:r>
      <w:r w:rsidR="00695B74">
        <w:rPr>
          <w:rFonts w:ascii="Montserrat Medium" w:eastAsia="Times New Roman" w:hAnsi="Montserrat Medium" w:cs="Arial"/>
          <w:color w:val="595959"/>
          <w:sz w:val="22"/>
          <w:lang w:eastAsia="en-US"/>
        </w:rPr>
        <w:t>0</w:t>
      </w:r>
      <w:r w:rsidRPr="000063F2">
        <w:rPr>
          <w:rFonts w:ascii="Montserrat Medium" w:eastAsia="Times New Roman" w:hAnsi="Montserrat Medium" w:cs="Arial"/>
          <w:color w:val="595959"/>
          <w:sz w:val="22"/>
          <w:lang w:eastAsia="en-US"/>
        </w:rPr>
        <w:t xml:space="preserve"> de </w:t>
      </w:r>
      <w:r w:rsidR="00695B74">
        <w:rPr>
          <w:rFonts w:ascii="Montserrat Medium" w:eastAsia="Times New Roman" w:hAnsi="Montserrat Medium" w:cs="Arial"/>
          <w:color w:val="595959"/>
          <w:sz w:val="22"/>
          <w:lang w:eastAsia="en-US"/>
        </w:rPr>
        <w:t>junio</w:t>
      </w:r>
      <w:r w:rsidRPr="000063F2">
        <w:rPr>
          <w:rFonts w:ascii="Montserrat Medium" w:eastAsia="Times New Roman" w:hAnsi="Montserrat Medium" w:cs="Arial"/>
          <w:color w:val="595959"/>
          <w:sz w:val="22"/>
          <w:lang w:eastAsia="en-US"/>
        </w:rPr>
        <w:t xml:space="preserve"> de 2025, existe un importe de 97</w:t>
      </w:r>
      <w:proofErr w:type="gramStart"/>
      <w:r w:rsidRPr="000063F2">
        <w:rPr>
          <w:rFonts w:ascii="Montserrat Medium" w:eastAsia="Times New Roman" w:hAnsi="Montserrat Medium" w:cs="Arial"/>
          <w:color w:val="595959"/>
          <w:sz w:val="22"/>
          <w:lang w:eastAsia="en-US"/>
        </w:rPr>
        <w:t>,207,176.12</w:t>
      </w:r>
      <w:proofErr w:type="gramEnd"/>
      <w:r w:rsidRPr="000063F2">
        <w:rPr>
          <w:rFonts w:ascii="Montserrat Medium" w:eastAsia="Times New Roman" w:hAnsi="Montserrat Medium" w:cs="Arial"/>
          <w:color w:val="595959"/>
          <w:sz w:val="22"/>
          <w:lang w:eastAsia="en-US"/>
        </w:rPr>
        <w:t xml:space="preserve"> en la cuenta de infraestructura, que representa las inversiones físicas que se consideran necesarias para el desarrollo de una actividad productiva.</w:t>
      </w:r>
    </w:p>
    <w:p w14:paraId="24E0EAA2" w14:textId="77777777" w:rsidR="00257A6B" w:rsidRDefault="00257A6B" w:rsidP="002F131C">
      <w:pPr>
        <w:jc w:val="both"/>
        <w:rPr>
          <w:rFonts w:ascii="Montserrat Medium" w:eastAsia="Times New Roman" w:hAnsi="Montserrat Medium" w:cs="Arial"/>
          <w:b/>
          <w:color w:val="595959"/>
          <w:sz w:val="22"/>
          <w:lang w:eastAsia="en-US"/>
        </w:rPr>
      </w:pPr>
    </w:p>
    <w:p w14:paraId="6D83BCF5" w14:textId="77777777" w:rsidR="007C1133" w:rsidRPr="00D56579" w:rsidRDefault="007C1133" w:rsidP="002F131C">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lastRenderedPageBreak/>
        <w:t xml:space="preserve">8.2 Bienes Muebles </w:t>
      </w:r>
    </w:p>
    <w:p w14:paraId="71F5071A" w14:textId="77777777" w:rsidR="007C1133" w:rsidRPr="00D56579" w:rsidRDefault="007C1133" w:rsidP="002F131C">
      <w:pPr>
        <w:jc w:val="both"/>
        <w:rPr>
          <w:rFonts w:ascii="Montserrat Medium" w:eastAsia="Times New Roman" w:hAnsi="Montserrat Medium" w:cs="Arial"/>
          <w:b/>
          <w:color w:val="595959"/>
          <w:sz w:val="22"/>
          <w:lang w:eastAsia="en-US"/>
        </w:rPr>
      </w:pPr>
    </w:p>
    <w:p w14:paraId="601E5346" w14:textId="7D012B7E" w:rsidR="007C1133" w:rsidRDefault="007C1133" w:rsidP="002F131C">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Los saldos de bienes muebles a</w:t>
      </w:r>
      <w:r w:rsidR="00A4586C" w:rsidRPr="00D56579">
        <w:rPr>
          <w:rFonts w:ascii="Montserrat Medium" w:eastAsia="Times New Roman" w:hAnsi="Montserrat Medium" w:cs="Arial"/>
          <w:color w:val="595959"/>
          <w:sz w:val="22"/>
          <w:lang w:eastAsia="en-US"/>
        </w:rPr>
        <w:t>l 3</w:t>
      </w:r>
      <w:r w:rsidR="00695B74">
        <w:rPr>
          <w:rFonts w:ascii="Montserrat Medium" w:eastAsia="Times New Roman" w:hAnsi="Montserrat Medium" w:cs="Arial"/>
          <w:color w:val="595959"/>
          <w:sz w:val="22"/>
          <w:lang w:eastAsia="en-US"/>
        </w:rPr>
        <w:t>0</w:t>
      </w:r>
      <w:r w:rsidR="00A4586C" w:rsidRPr="00D56579">
        <w:rPr>
          <w:rFonts w:ascii="Montserrat Medium" w:eastAsia="Times New Roman" w:hAnsi="Montserrat Medium" w:cs="Arial"/>
          <w:color w:val="595959"/>
          <w:sz w:val="22"/>
          <w:lang w:eastAsia="en-US"/>
        </w:rPr>
        <w:t xml:space="preserve"> de </w:t>
      </w:r>
      <w:r w:rsidR="00695B74">
        <w:rPr>
          <w:rFonts w:ascii="Montserrat Medium" w:eastAsia="Times New Roman" w:hAnsi="Montserrat Medium" w:cs="Arial"/>
          <w:color w:val="595959"/>
          <w:sz w:val="22"/>
          <w:lang w:eastAsia="en-US"/>
        </w:rPr>
        <w:t>junio</w:t>
      </w:r>
      <w:r w:rsidR="00A4586C" w:rsidRPr="00D56579">
        <w:rPr>
          <w:rFonts w:ascii="Montserrat Medium" w:eastAsia="Times New Roman" w:hAnsi="Montserrat Medium" w:cs="Arial"/>
          <w:color w:val="595959"/>
          <w:sz w:val="22"/>
          <w:lang w:eastAsia="en-US"/>
        </w:rPr>
        <w:t xml:space="preserve"> de 202</w:t>
      </w:r>
      <w:r w:rsidR="00677156">
        <w:rPr>
          <w:rFonts w:ascii="Montserrat Medium" w:eastAsia="Times New Roman" w:hAnsi="Montserrat Medium" w:cs="Arial"/>
          <w:color w:val="595959"/>
          <w:sz w:val="22"/>
          <w:lang w:eastAsia="en-US"/>
        </w:rPr>
        <w:t>5</w:t>
      </w:r>
      <w:r w:rsidR="00322857" w:rsidRPr="00D56579">
        <w:rPr>
          <w:rFonts w:ascii="Montserrat Medium" w:eastAsia="Times New Roman" w:hAnsi="Montserrat Medium" w:cs="Arial"/>
          <w:color w:val="595959"/>
          <w:sz w:val="22"/>
          <w:lang w:eastAsia="en-US"/>
        </w:rPr>
        <w:t xml:space="preserve"> y ejercicio fiscal 202</w:t>
      </w:r>
      <w:r w:rsidR="00677156">
        <w:rPr>
          <w:rFonts w:ascii="Montserrat Medium" w:eastAsia="Times New Roman" w:hAnsi="Montserrat Medium" w:cs="Arial"/>
          <w:color w:val="595959"/>
          <w:sz w:val="22"/>
          <w:lang w:eastAsia="en-US"/>
        </w:rPr>
        <w:t>4</w:t>
      </w:r>
      <w:r w:rsidRPr="00D56579">
        <w:rPr>
          <w:rFonts w:ascii="Montserrat Medium" w:eastAsia="Times New Roman" w:hAnsi="Montserrat Medium" w:cs="Arial"/>
          <w:color w:val="595959"/>
          <w:sz w:val="22"/>
          <w:lang w:eastAsia="en-US"/>
        </w:rPr>
        <w:t>, se muestran en el siguiente cuadro:</w:t>
      </w:r>
    </w:p>
    <w:p w14:paraId="662CDC64" w14:textId="77777777" w:rsidR="006015CD" w:rsidRPr="00D56579" w:rsidRDefault="006015CD" w:rsidP="002F131C">
      <w:pPr>
        <w:jc w:val="both"/>
        <w:rPr>
          <w:rFonts w:ascii="Montserrat Medium" w:eastAsia="Times New Roman" w:hAnsi="Montserrat Medium" w:cs="Arial"/>
          <w:color w:val="595959"/>
          <w:sz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2"/>
        <w:gridCol w:w="1747"/>
        <w:gridCol w:w="1747"/>
      </w:tblGrid>
      <w:tr w:rsidR="00677156" w:rsidRPr="00D56579" w14:paraId="15228ABC" w14:textId="058B5B37" w:rsidTr="00CF691F">
        <w:trPr>
          <w:trHeight w:val="283"/>
          <w:tblHeader/>
          <w:jc w:val="center"/>
        </w:trPr>
        <w:tc>
          <w:tcPr>
            <w:tcW w:w="46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F047F1" w14:textId="77777777" w:rsidR="00677156" w:rsidRPr="00D56579" w:rsidRDefault="00677156" w:rsidP="002F131C">
            <w:pPr>
              <w:jc w:val="center"/>
              <w:rPr>
                <w:rFonts w:ascii="Montserrat Medium" w:eastAsia="Times New Roman" w:hAnsi="Montserrat Medium" w:cs="Calibri"/>
                <w:b/>
                <w:bCs/>
                <w:sz w:val="18"/>
                <w:szCs w:val="18"/>
              </w:rPr>
            </w:pPr>
            <w:r w:rsidRPr="00D56579">
              <w:rPr>
                <w:rFonts w:ascii="Montserrat Medium" w:eastAsia="Times New Roman" w:hAnsi="Montserrat Medium" w:cs="Calibri"/>
                <w:b/>
                <w:bCs/>
                <w:sz w:val="18"/>
                <w:szCs w:val="18"/>
              </w:rPr>
              <w:t>Concepto</w:t>
            </w:r>
          </w:p>
        </w:tc>
        <w:tc>
          <w:tcPr>
            <w:tcW w:w="1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04B941" w14:textId="244EB032" w:rsidR="00677156" w:rsidRPr="00D56579" w:rsidRDefault="00677156" w:rsidP="002F131C">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Al 3</w:t>
            </w:r>
            <w:r w:rsidR="00695B74">
              <w:rPr>
                <w:rFonts w:ascii="Montserrat Medium" w:hAnsi="Montserrat Medium" w:cs="Calibri"/>
                <w:b/>
                <w:bCs/>
                <w:color w:val="000000"/>
                <w:sz w:val="18"/>
                <w:szCs w:val="18"/>
              </w:rPr>
              <w:t>0</w:t>
            </w:r>
            <w:r>
              <w:rPr>
                <w:rFonts w:ascii="Montserrat Medium" w:hAnsi="Montserrat Medium" w:cs="Calibri"/>
                <w:b/>
                <w:bCs/>
                <w:color w:val="000000"/>
                <w:sz w:val="18"/>
                <w:szCs w:val="18"/>
              </w:rPr>
              <w:t xml:space="preserve"> de </w:t>
            </w:r>
            <w:r w:rsidR="00695B74">
              <w:rPr>
                <w:rFonts w:ascii="Montserrat Medium" w:hAnsi="Montserrat Medium" w:cs="Calibri"/>
                <w:b/>
                <w:bCs/>
                <w:color w:val="000000"/>
                <w:sz w:val="18"/>
                <w:szCs w:val="18"/>
              </w:rPr>
              <w:t>Junio</w:t>
            </w:r>
            <w:r>
              <w:rPr>
                <w:rFonts w:ascii="Montserrat Medium" w:hAnsi="Montserrat Medium" w:cs="Calibri"/>
                <w:b/>
                <w:bCs/>
                <w:color w:val="000000"/>
                <w:sz w:val="18"/>
                <w:szCs w:val="18"/>
              </w:rPr>
              <w:t xml:space="preserve"> de 2025</w:t>
            </w:r>
          </w:p>
        </w:tc>
        <w:tc>
          <w:tcPr>
            <w:tcW w:w="1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36FE5C" w14:textId="1D433FE3" w:rsidR="00677156" w:rsidRPr="00D56579" w:rsidRDefault="00677156" w:rsidP="002F131C">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2024</w:t>
            </w:r>
          </w:p>
        </w:tc>
      </w:tr>
      <w:tr w:rsidR="00695B74" w:rsidRPr="00D56579" w14:paraId="638F383A" w14:textId="2EC8DDCC" w:rsidTr="00CF691F">
        <w:trPr>
          <w:trHeight w:val="255"/>
          <w:jc w:val="center"/>
        </w:trPr>
        <w:tc>
          <w:tcPr>
            <w:tcW w:w="4612" w:type="dxa"/>
            <w:tcBorders>
              <w:top w:val="single" w:sz="4" w:space="0" w:color="auto"/>
              <w:left w:val="single" w:sz="4" w:space="0" w:color="auto"/>
              <w:bottom w:val="nil"/>
              <w:right w:val="single" w:sz="4" w:space="0" w:color="auto"/>
            </w:tcBorders>
            <w:vAlign w:val="bottom"/>
          </w:tcPr>
          <w:p w14:paraId="6930FA51" w14:textId="77777777" w:rsidR="00695B74" w:rsidRPr="00D56579" w:rsidRDefault="00695B74"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Mobiliario y equipo de administración</w:t>
            </w:r>
          </w:p>
        </w:tc>
        <w:tc>
          <w:tcPr>
            <w:tcW w:w="1747" w:type="dxa"/>
            <w:tcBorders>
              <w:top w:val="single" w:sz="4" w:space="0" w:color="auto"/>
              <w:left w:val="single" w:sz="4" w:space="0" w:color="auto"/>
              <w:bottom w:val="nil"/>
              <w:right w:val="single" w:sz="4" w:space="0" w:color="auto"/>
            </w:tcBorders>
            <w:vAlign w:val="center"/>
          </w:tcPr>
          <w:p w14:paraId="16FFD779" w14:textId="019F2135"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769,066,711.25</w:t>
            </w:r>
          </w:p>
        </w:tc>
        <w:tc>
          <w:tcPr>
            <w:tcW w:w="1747" w:type="dxa"/>
            <w:tcBorders>
              <w:top w:val="single" w:sz="4" w:space="0" w:color="auto"/>
              <w:left w:val="single" w:sz="4" w:space="0" w:color="auto"/>
              <w:bottom w:val="nil"/>
              <w:right w:val="single" w:sz="4" w:space="0" w:color="auto"/>
            </w:tcBorders>
            <w:vAlign w:val="center"/>
          </w:tcPr>
          <w:p w14:paraId="6AF1B4CC" w14:textId="7995ED85"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764,068,296.24</w:t>
            </w:r>
          </w:p>
        </w:tc>
      </w:tr>
      <w:tr w:rsidR="00695B74" w:rsidRPr="00D56579" w14:paraId="6E692874" w14:textId="55B1E035" w:rsidTr="00CF691F">
        <w:trPr>
          <w:trHeight w:val="255"/>
          <w:jc w:val="center"/>
        </w:trPr>
        <w:tc>
          <w:tcPr>
            <w:tcW w:w="4612" w:type="dxa"/>
            <w:tcBorders>
              <w:top w:val="nil"/>
              <w:left w:val="single" w:sz="4" w:space="0" w:color="auto"/>
              <w:bottom w:val="nil"/>
              <w:right w:val="single" w:sz="4" w:space="0" w:color="auto"/>
            </w:tcBorders>
            <w:vAlign w:val="bottom"/>
          </w:tcPr>
          <w:p w14:paraId="086CEB28" w14:textId="77777777" w:rsidR="00695B74" w:rsidRPr="00D56579" w:rsidRDefault="00695B74"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Mobiliario y equipo educacional y recreativo</w:t>
            </w:r>
          </w:p>
        </w:tc>
        <w:tc>
          <w:tcPr>
            <w:tcW w:w="1747" w:type="dxa"/>
            <w:tcBorders>
              <w:top w:val="nil"/>
              <w:left w:val="single" w:sz="4" w:space="0" w:color="auto"/>
              <w:bottom w:val="nil"/>
              <w:right w:val="single" w:sz="4" w:space="0" w:color="auto"/>
            </w:tcBorders>
            <w:vAlign w:val="center"/>
          </w:tcPr>
          <w:p w14:paraId="55860817" w14:textId="64455DF9"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119,662,647.41</w:t>
            </w:r>
          </w:p>
        </w:tc>
        <w:tc>
          <w:tcPr>
            <w:tcW w:w="1747" w:type="dxa"/>
            <w:tcBorders>
              <w:top w:val="nil"/>
              <w:left w:val="single" w:sz="4" w:space="0" w:color="auto"/>
              <w:bottom w:val="nil"/>
              <w:right w:val="single" w:sz="4" w:space="0" w:color="auto"/>
            </w:tcBorders>
            <w:vAlign w:val="center"/>
          </w:tcPr>
          <w:p w14:paraId="23F332E3" w14:textId="0D249ACC"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119,448,383.93</w:t>
            </w:r>
          </w:p>
        </w:tc>
      </w:tr>
      <w:tr w:rsidR="00695B74" w:rsidRPr="00D56579" w14:paraId="196768F4" w14:textId="43F3FBF1" w:rsidTr="00CF691F">
        <w:trPr>
          <w:trHeight w:val="255"/>
          <w:jc w:val="center"/>
        </w:trPr>
        <w:tc>
          <w:tcPr>
            <w:tcW w:w="4612" w:type="dxa"/>
            <w:tcBorders>
              <w:top w:val="nil"/>
              <w:left w:val="single" w:sz="4" w:space="0" w:color="auto"/>
              <w:bottom w:val="nil"/>
              <w:right w:val="single" w:sz="4" w:space="0" w:color="auto"/>
            </w:tcBorders>
            <w:vAlign w:val="bottom"/>
          </w:tcPr>
          <w:p w14:paraId="5341D882" w14:textId="77777777" w:rsidR="00695B74" w:rsidRPr="00D56579" w:rsidRDefault="00695B74"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Equipo e instrumental médico y de laboratorio</w:t>
            </w:r>
          </w:p>
        </w:tc>
        <w:tc>
          <w:tcPr>
            <w:tcW w:w="1747" w:type="dxa"/>
            <w:tcBorders>
              <w:top w:val="nil"/>
              <w:left w:val="single" w:sz="4" w:space="0" w:color="auto"/>
              <w:bottom w:val="nil"/>
              <w:right w:val="single" w:sz="4" w:space="0" w:color="auto"/>
            </w:tcBorders>
            <w:vAlign w:val="center"/>
          </w:tcPr>
          <w:p w14:paraId="201BE27F" w14:textId="447B1BF3"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73,945,767.01</w:t>
            </w:r>
          </w:p>
        </w:tc>
        <w:tc>
          <w:tcPr>
            <w:tcW w:w="1747" w:type="dxa"/>
            <w:tcBorders>
              <w:top w:val="nil"/>
              <w:left w:val="single" w:sz="4" w:space="0" w:color="auto"/>
              <w:bottom w:val="nil"/>
              <w:right w:val="single" w:sz="4" w:space="0" w:color="auto"/>
            </w:tcBorders>
            <w:vAlign w:val="center"/>
          </w:tcPr>
          <w:p w14:paraId="02151F5A" w14:textId="4869418C"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73,945,767.01</w:t>
            </w:r>
          </w:p>
        </w:tc>
      </w:tr>
      <w:tr w:rsidR="00695B74" w:rsidRPr="00D56579" w14:paraId="7C2B8B14" w14:textId="7F606827" w:rsidTr="00CF691F">
        <w:trPr>
          <w:trHeight w:val="255"/>
          <w:jc w:val="center"/>
        </w:trPr>
        <w:tc>
          <w:tcPr>
            <w:tcW w:w="4612" w:type="dxa"/>
            <w:tcBorders>
              <w:top w:val="nil"/>
              <w:left w:val="single" w:sz="4" w:space="0" w:color="auto"/>
              <w:bottom w:val="nil"/>
              <w:right w:val="single" w:sz="4" w:space="0" w:color="auto"/>
            </w:tcBorders>
            <w:vAlign w:val="bottom"/>
          </w:tcPr>
          <w:p w14:paraId="2F321EED" w14:textId="77777777" w:rsidR="00695B74" w:rsidRPr="00D56579" w:rsidRDefault="00695B74"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Vehículos y equipo de transporte</w:t>
            </w:r>
          </w:p>
        </w:tc>
        <w:tc>
          <w:tcPr>
            <w:tcW w:w="1747" w:type="dxa"/>
            <w:tcBorders>
              <w:top w:val="nil"/>
              <w:left w:val="single" w:sz="4" w:space="0" w:color="auto"/>
              <w:bottom w:val="nil"/>
              <w:right w:val="single" w:sz="4" w:space="0" w:color="auto"/>
            </w:tcBorders>
            <w:vAlign w:val="center"/>
          </w:tcPr>
          <w:p w14:paraId="30D92C1C" w14:textId="1969AEC7"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559,013,201.90</w:t>
            </w:r>
          </w:p>
        </w:tc>
        <w:tc>
          <w:tcPr>
            <w:tcW w:w="1747" w:type="dxa"/>
            <w:tcBorders>
              <w:top w:val="nil"/>
              <w:left w:val="single" w:sz="4" w:space="0" w:color="auto"/>
              <w:bottom w:val="nil"/>
              <w:right w:val="single" w:sz="4" w:space="0" w:color="auto"/>
            </w:tcBorders>
            <w:vAlign w:val="center"/>
          </w:tcPr>
          <w:p w14:paraId="3088A3AC" w14:textId="19C163A3"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551,447,426.86</w:t>
            </w:r>
          </w:p>
        </w:tc>
      </w:tr>
      <w:tr w:rsidR="00695B74" w:rsidRPr="00D56579" w14:paraId="7CB3CD58" w14:textId="04FBBF80" w:rsidTr="00CF691F">
        <w:trPr>
          <w:trHeight w:val="255"/>
          <w:jc w:val="center"/>
        </w:trPr>
        <w:tc>
          <w:tcPr>
            <w:tcW w:w="4612" w:type="dxa"/>
            <w:tcBorders>
              <w:top w:val="nil"/>
              <w:left w:val="single" w:sz="4" w:space="0" w:color="auto"/>
              <w:bottom w:val="nil"/>
              <w:right w:val="single" w:sz="4" w:space="0" w:color="auto"/>
            </w:tcBorders>
            <w:vAlign w:val="bottom"/>
          </w:tcPr>
          <w:p w14:paraId="2D836ECF" w14:textId="77777777" w:rsidR="00695B74" w:rsidRPr="00D56579" w:rsidRDefault="00695B74"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Equipo de defensa y seguridad</w:t>
            </w:r>
          </w:p>
        </w:tc>
        <w:tc>
          <w:tcPr>
            <w:tcW w:w="1747" w:type="dxa"/>
            <w:tcBorders>
              <w:top w:val="nil"/>
              <w:left w:val="single" w:sz="4" w:space="0" w:color="auto"/>
              <w:bottom w:val="nil"/>
              <w:right w:val="single" w:sz="4" w:space="0" w:color="auto"/>
            </w:tcBorders>
            <w:vAlign w:val="center"/>
          </w:tcPr>
          <w:p w14:paraId="263ECE72" w14:textId="18B858FA"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74,458,007.12</w:t>
            </w:r>
          </w:p>
        </w:tc>
        <w:tc>
          <w:tcPr>
            <w:tcW w:w="1747" w:type="dxa"/>
            <w:tcBorders>
              <w:top w:val="nil"/>
              <w:left w:val="single" w:sz="4" w:space="0" w:color="auto"/>
              <w:bottom w:val="nil"/>
              <w:right w:val="single" w:sz="4" w:space="0" w:color="auto"/>
            </w:tcBorders>
            <w:vAlign w:val="center"/>
          </w:tcPr>
          <w:p w14:paraId="48EE45F3" w14:textId="27D47619"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74,498,684.65</w:t>
            </w:r>
          </w:p>
        </w:tc>
      </w:tr>
      <w:tr w:rsidR="00695B74" w:rsidRPr="00D56579" w14:paraId="4C1DE8C8" w14:textId="77FE5ACF" w:rsidTr="00CF691F">
        <w:trPr>
          <w:trHeight w:val="255"/>
          <w:jc w:val="center"/>
        </w:trPr>
        <w:tc>
          <w:tcPr>
            <w:tcW w:w="4612" w:type="dxa"/>
            <w:tcBorders>
              <w:top w:val="nil"/>
              <w:left w:val="single" w:sz="4" w:space="0" w:color="auto"/>
              <w:bottom w:val="nil"/>
              <w:right w:val="single" w:sz="4" w:space="0" w:color="auto"/>
            </w:tcBorders>
            <w:vAlign w:val="bottom"/>
          </w:tcPr>
          <w:p w14:paraId="18D9A2F4" w14:textId="77777777" w:rsidR="00695B74" w:rsidRPr="00D56579" w:rsidRDefault="00695B74"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Maquinaria, otros equipos y herramientas</w:t>
            </w:r>
          </w:p>
        </w:tc>
        <w:tc>
          <w:tcPr>
            <w:tcW w:w="1747" w:type="dxa"/>
            <w:tcBorders>
              <w:top w:val="nil"/>
              <w:left w:val="single" w:sz="4" w:space="0" w:color="auto"/>
              <w:bottom w:val="nil"/>
              <w:right w:val="single" w:sz="4" w:space="0" w:color="auto"/>
            </w:tcBorders>
            <w:vAlign w:val="center"/>
          </w:tcPr>
          <w:p w14:paraId="704D3963" w14:textId="1A81756B"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577,662,427.63</w:t>
            </w:r>
          </w:p>
        </w:tc>
        <w:tc>
          <w:tcPr>
            <w:tcW w:w="1747" w:type="dxa"/>
            <w:tcBorders>
              <w:top w:val="nil"/>
              <w:left w:val="single" w:sz="4" w:space="0" w:color="auto"/>
              <w:bottom w:val="nil"/>
              <w:right w:val="single" w:sz="4" w:space="0" w:color="auto"/>
            </w:tcBorders>
            <w:vAlign w:val="center"/>
          </w:tcPr>
          <w:p w14:paraId="73EEA7BD" w14:textId="77B00C16"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580,125,001.35</w:t>
            </w:r>
          </w:p>
        </w:tc>
      </w:tr>
      <w:tr w:rsidR="00695B74" w:rsidRPr="00D56579" w14:paraId="682C4022" w14:textId="25A5F745" w:rsidTr="00CF691F">
        <w:trPr>
          <w:trHeight w:val="255"/>
          <w:jc w:val="center"/>
        </w:trPr>
        <w:tc>
          <w:tcPr>
            <w:tcW w:w="4612" w:type="dxa"/>
            <w:tcBorders>
              <w:top w:val="nil"/>
              <w:left w:val="single" w:sz="4" w:space="0" w:color="auto"/>
              <w:bottom w:val="nil"/>
              <w:right w:val="single" w:sz="4" w:space="0" w:color="auto"/>
            </w:tcBorders>
            <w:shd w:val="clear" w:color="auto" w:fill="auto"/>
            <w:vAlign w:val="bottom"/>
          </w:tcPr>
          <w:p w14:paraId="32780BBC" w14:textId="77777777" w:rsidR="00695B74" w:rsidRPr="00D56579" w:rsidRDefault="00695B74"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Colecciones, obras de arte y objetos valiosos</w:t>
            </w:r>
          </w:p>
        </w:tc>
        <w:tc>
          <w:tcPr>
            <w:tcW w:w="1747" w:type="dxa"/>
            <w:tcBorders>
              <w:top w:val="nil"/>
              <w:left w:val="single" w:sz="4" w:space="0" w:color="auto"/>
              <w:bottom w:val="nil"/>
              <w:right w:val="single" w:sz="4" w:space="0" w:color="auto"/>
            </w:tcBorders>
            <w:vAlign w:val="center"/>
          </w:tcPr>
          <w:p w14:paraId="42670549" w14:textId="6963AF61"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19,595,697.50</w:t>
            </w:r>
          </w:p>
        </w:tc>
        <w:tc>
          <w:tcPr>
            <w:tcW w:w="1747" w:type="dxa"/>
            <w:tcBorders>
              <w:top w:val="nil"/>
              <w:left w:val="single" w:sz="4" w:space="0" w:color="auto"/>
              <w:bottom w:val="nil"/>
              <w:right w:val="single" w:sz="4" w:space="0" w:color="auto"/>
            </w:tcBorders>
            <w:vAlign w:val="center"/>
          </w:tcPr>
          <w:p w14:paraId="6B0BE469" w14:textId="666C04B0"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19,595,697.50</w:t>
            </w:r>
          </w:p>
        </w:tc>
      </w:tr>
      <w:tr w:rsidR="00695B74" w:rsidRPr="00D56579" w14:paraId="616778F9" w14:textId="424681E3" w:rsidTr="00CF691F">
        <w:trPr>
          <w:trHeight w:val="255"/>
          <w:jc w:val="center"/>
        </w:trPr>
        <w:tc>
          <w:tcPr>
            <w:tcW w:w="4612" w:type="dxa"/>
            <w:tcBorders>
              <w:top w:val="nil"/>
              <w:left w:val="single" w:sz="4" w:space="0" w:color="auto"/>
              <w:bottom w:val="nil"/>
              <w:right w:val="single" w:sz="4" w:space="0" w:color="auto"/>
            </w:tcBorders>
            <w:vAlign w:val="bottom"/>
          </w:tcPr>
          <w:p w14:paraId="04A54DB1" w14:textId="77777777" w:rsidR="00695B74" w:rsidRPr="00D56579" w:rsidRDefault="00695B74"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Activos biológicos</w:t>
            </w:r>
          </w:p>
        </w:tc>
        <w:tc>
          <w:tcPr>
            <w:tcW w:w="1747" w:type="dxa"/>
            <w:tcBorders>
              <w:top w:val="nil"/>
              <w:left w:val="single" w:sz="4" w:space="0" w:color="auto"/>
              <w:bottom w:val="nil"/>
              <w:right w:val="single" w:sz="4" w:space="0" w:color="auto"/>
            </w:tcBorders>
            <w:vAlign w:val="center"/>
          </w:tcPr>
          <w:p w14:paraId="54A24402" w14:textId="6D882ACC"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92,300.00</w:t>
            </w:r>
          </w:p>
        </w:tc>
        <w:tc>
          <w:tcPr>
            <w:tcW w:w="1747" w:type="dxa"/>
            <w:tcBorders>
              <w:top w:val="nil"/>
              <w:left w:val="single" w:sz="4" w:space="0" w:color="auto"/>
              <w:bottom w:val="nil"/>
              <w:right w:val="single" w:sz="4" w:space="0" w:color="auto"/>
            </w:tcBorders>
            <w:vAlign w:val="center"/>
          </w:tcPr>
          <w:p w14:paraId="25F1B11E" w14:textId="3926B28E"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92,300.00</w:t>
            </w:r>
          </w:p>
        </w:tc>
      </w:tr>
      <w:tr w:rsidR="00695B74" w:rsidRPr="00D56579" w14:paraId="463FA168" w14:textId="44248299" w:rsidTr="00CF691F">
        <w:trPr>
          <w:trHeight w:hRule="exact" w:val="227"/>
          <w:jc w:val="center"/>
        </w:trPr>
        <w:tc>
          <w:tcPr>
            <w:tcW w:w="4612" w:type="dxa"/>
            <w:tcBorders>
              <w:top w:val="single" w:sz="4" w:space="0" w:color="auto"/>
              <w:left w:val="single" w:sz="4" w:space="0" w:color="auto"/>
              <w:bottom w:val="single" w:sz="4" w:space="0" w:color="auto"/>
              <w:right w:val="single" w:sz="4" w:space="0" w:color="auto"/>
            </w:tcBorders>
            <w:vAlign w:val="bottom"/>
          </w:tcPr>
          <w:p w14:paraId="5998C032" w14:textId="77777777" w:rsidR="00695B74" w:rsidRPr="00D56579" w:rsidRDefault="00695B74" w:rsidP="002F131C">
            <w:pPr>
              <w:ind w:left="2"/>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Total</w:t>
            </w:r>
          </w:p>
        </w:tc>
        <w:tc>
          <w:tcPr>
            <w:tcW w:w="1747" w:type="dxa"/>
            <w:tcBorders>
              <w:top w:val="single" w:sz="4" w:space="0" w:color="auto"/>
              <w:left w:val="single" w:sz="4" w:space="0" w:color="auto"/>
              <w:bottom w:val="single" w:sz="4" w:space="0" w:color="auto"/>
              <w:right w:val="single" w:sz="4" w:space="0" w:color="auto"/>
            </w:tcBorders>
            <w:vAlign w:val="center"/>
          </w:tcPr>
          <w:p w14:paraId="541232E7" w14:textId="4BEEB08E" w:rsidR="00695B74" w:rsidRPr="00D56579" w:rsidRDefault="00695B74" w:rsidP="002F131C">
            <w:pPr>
              <w:jc w:val="right"/>
              <w:rPr>
                <w:rFonts w:ascii="Montserrat Medium" w:eastAsia="Times New Roman" w:hAnsi="Montserrat Medium" w:cs="Tahoma"/>
                <w:b/>
                <w:sz w:val="18"/>
                <w:szCs w:val="18"/>
                <w:lang w:eastAsia="en-US"/>
              </w:rPr>
            </w:pPr>
            <w:r>
              <w:rPr>
                <w:rFonts w:ascii="Montserrat Medium" w:hAnsi="Montserrat Medium" w:cs="Calibri"/>
                <w:b/>
                <w:bCs/>
                <w:color w:val="000000"/>
                <w:sz w:val="18"/>
                <w:szCs w:val="18"/>
              </w:rPr>
              <w:t>2,193,496,759.82</w:t>
            </w:r>
          </w:p>
        </w:tc>
        <w:tc>
          <w:tcPr>
            <w:tcW w:w="1747" w:type="dxa"/>
            <w:tcBorders>
              <w:top w:val="single" w:sz="4" w:space="0" w:color="auto"/>
              <w:left w:val="single" w:sz="4" w:space="0" w:color="auto"/>
              <w:bottom w:val="single" w:sz="4" w:space="0" w:color="auto"/>
              <w:right w:val="single" w:sz="4" w:space="0" w:color="auto"/>
            </w:tcBorders>
            <w:vAlign w:val="center"/>
          </w:tcPr>
          <w:p w14:paraId="47B2F1FC" w14:textId="483B2F4F" w:rsidR="00695B74" w:rsidRPr="00D56579" w:rsidRDefault="00695B74" w:rsidP="002F131C">
            <w:pPr>
              <w:jc w:val="right"/>
              <w:rPr>
                <w:rFonts w:ascii="Montserrat Medium" w:hAnsi="Montserrat Medium"/>
                <w:b/>
                <w:sz w:val="18"/>
                <w:szCs w:val="18"/>
              </w:rPr>
            </w:pPr>
            <w:r>
              <w:rPr>
                <w:rFonts w:ascii="Montserrat Medium" w:hAnsi="Montserrat Medium" w:cs="Calibri"/>
                <w:b/>
                <w:bCs/>
                <w:color w:val="000000"/>
                <w:sz w:val="18"/>
                <w:szCs w:val="18"/>
              </w:rPr>
              <w:t>2,183,221,557.54</w:t>
            </w:r>
          </w:p>
        </w:tc>
      </w:tr>
    </w:tbl>
    <w:p w14:paraId="23F72C09" w14:textId="77777777" w:rsidR="00677156" w:rsidRDefault="00677156" w:rsidP="002F131C">
      <w:pPr>
        <w:rPr>
          <w:rFonts w:ascii="Montserrat Medium" w:eastAsia="Times New Roman" w:hAnsi="Montserrat Medium" w:cs="Arial"/>
          <w:b/>
          <w:iCs/>
          <w:color w:val="595959"/>
          <w:sz w:val="22"/>
        </w:rPr>
      </w:pPr>
    </w:p>
    <w:p w14:paraId="5518902D" w14:textId="77777777" w:rsidR="00695B74" w:rsidRDefault="00695B74" w:rsidP="002F131C">
      <w:pPr>
        <w:rPr>
          <w:rFonts w:ascii="Montserrat Medium" w:eastAsia="Times New Roman" w:hAnsi="Montserrat Medium" w:cs="Arial"/>
          <w:iCs/>
          <w:color w:val="595959"/>
          <w:sz w:val="22"/>
        </w:rPr>
      </w:pPr>
      <w:r w:rsidRPr="00695B74">
        <w:rPr>
          <w:rFonts w:ascii="Montserrat Medium" w:eastAsia="Times New Roman" w:hAnsi="Montserrat Medium" w:cs="Arial"/>
          <w:iCs/>
          <w:color w:val="595959"/>
          <w:sz w:val="22"/>
        </w:rPr>
        <w:t>La Depreciación al 30 de junio de 2025 se integra como sigue:</w:t>
      </w:r>
    </w:p>
    <w:p w14:paraId="2A5FE0FF" w14:textId="77777777" w:rsidR="00695B74" w:rsidRDefault="00695B74" w:rsidP="002F131C">
      <w:pPr>
        <w:rPr>
          <w:rFonts w:ascii="Montserrat Medium" w:eastAsia="Times New Roman" w:hAnsi="Montserrat Medium" w:cs="Arial"/>
          <w:iCs/>
          <w:color w:val="595959"/>
          <w:sz w:val="22"/>
        </w:rPr>
      </w:pPr>
    </w:p>
    <w:tbl>
      <w:tblPr>
        <w:tblW w:w="10520" w:type="dxa"/>
        <w:tblInd w:w="55" w:type="dxa"/>
        <w:tblCellMar>
          <w:left w:w="70" w:type="dxa"/>
          <w:right w:w="70" w:type="dxa"/>
        </w:tblCellMar>
        <w:tblLook w:val="04A0" w:firstRow="1" w:lastRow="0" w:firstColumn="1" w:lastColumn="0" w:noHBand="0" w:noVBand="1"/>
      </w:tblPr>
      <w:tblGrid>
        <w:gridCol w:w="5320"/>
        <w:gridCol w:w="1840"/>
        <w:gridCol w:w="1760"/>
        <w:gridCol w:w="1600"/>
      </w:tblGrid>
      <w:tr w:rsidR="00695B74" w:rsidRPr="00695B74" w14:paraId="58E78AAA" w14:textId="77777777" w:rsidTr="00695B74">
        <w:trPr>
          <w:trHeight w:val="300"/>
        </w:trPr>
        <w:tc>
          <w:tcPr>
            <w:tcW w:w="5320" w:type="dxa"/>
            <w:tcBorders>
              <w:top w:val="single" w:sz="4" w:space="0" w:color="auto"/>
              <w:left w:val="single" w:sz="4" w:space="0" w:color="auto"/>
              <w:bottom w:val="nil"/>
              <w:right w:val="nil"/>
            </w:tcBorders>
            <w:shd w:val="clear" w:color="000000" w:fill="BFBFBF"/>
            <w:vAlign w:val="center"/>
            <w:hideMark/>
          </w:tcPr>
          <w:p w14:paraId="399FA5E2" w14:textId="77777777" w:rsidR="00695B74" w:rsidRPr="00695B74" w:rsidRDefault="00695B74" w:rsidP="002F131C">
            <w:pPr>
              <w:jc w:val="center"/>
              <w:rPr>
                <w:rFonts w:ascii="Montserrat Medium" w:eastAsia="Times New Roman" w:hAnsi="Montserrat Medium" w:cs="Calibri"/>
                <w:b/>
                <w:bCs/>
                <w:color w:val="000000"/>
                <w:sz w:val="18"/>
                <w:szCs w:val="18"/>
                <w:lang w:val="es-MX" w:eastAsia="es-MX"/>
              </w:rPr>
            </w:pPr>
            <w:r w:rsidRPr="00695B74">
              <w:rPr>
                <w:rFonts w:ascii="Montserrat Medium" w:eastAsia="Times New Roman" w:hAnsi="Montserrat Medium" w:cs="Calibri"/>
                <w:b/>
                <w:bCs/>
                <w:color w:val="000000"/>
                <w:sz w:val="18"/>
                <w:szCs w:val="18"/>
                <w:lang w:eastAsia="es-MX"/>
              </w:rPr>
              <w:t>Concepto</w:t>
            </w:r>
          </w:p>
        </w:tc>
        <w:tc>
          <w:tcPr>
            <w:tcW w:w="184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CABB2AF" w14:textId="77777777" w:rsidR="00695B74" w:rsidRPr="00695B74" w:rsidRDefault="00695B74" w:rsidP="002F131C">
            <w:pPr>
              <w:jc w:val="center"/>
              <w:rPr>
                <w:rFonts w:ascii="Montserrat Medium" w:eastAsia="Times New Roman" w:hAnsi="Montserrat Medium" w:cs="Calibri"/>
                <w:b/>
                <w:bCs/>
                <w:color w:val="000000"/>
                <w:sz w:val="18"/>
                <w:szCs w:val="18"/>
                <w:lang w:val="es-MX" w:eastAsia="es-MX"/>
              </w:rPr>
            </w:pPr>
            <w:r w:rsidRPr="00695B74">
              <w:rPr>
                <w:rFonts w:ascii="Montserrat Medium" w:eastAsia="Times New Roman" w:hAnsi="Montserrat Medium" w:cs="Calibri"/>
                <w:b/>
                <w:bCs/>
                <w:color w:val="000000"/>
                <w:sz w:val="18"/>
                <w:szCs w:val="18"/>
                <w:lang w:eastAsia="es-MX"/>
              </w:rPr>
              <w:t>Al 30 de junio de 2025</w:t>
            </w:r>
          </w:p>
        </w:tc>
        <w:tc>
          <w:tcPr>
            <w:tcW w:w="1760" w:type="dxa"/>
            <w:tcBorders>
              <w:top w:val="single" w:sz="4" w:space="0" w:color="auto"/>
              <w:left w:val="nil"/>
              <w:bottom w:val="single" w:sz="4" w:space="0" w:color="auto"/>
              <w:right w:val="single" w:sz="4" w:space="0" w:color="auto"/>
            </w:tcBorders>
            <w:shd w:val="clear" w:color="000000" w:fill="BFBFBF"/>
            <w:vAlign w:val="center"/>
            <w:hideMark/>
          </w:tcPr>
          <w:p w14:paraId="21F2A66A" w14:textId="77777777" w:rsidR="00695B74" w:rsidRPr="00695B74" w:rsidRDefault="00695B74" w:rsidP="002F131C">
            <w:pPr>
              <w:jc w:val="center"/>
              <w:rPr>
                <w:rFonts w:ascii="Montserrat Medium" w:eastAsia="Times New Roman" w:hAnsi="Montserrat Medium" w:cs="Calibri"/>
                <w:b/>
                <w:bCs/>
                <w:color w:val="000000"/>
                <w:sz w:val="18"/>
                <w:szCs w:val="18"/>
                <w:lang w:val="es-MX" w:eastAsia="es-MX"/>
              </w:rPr>
            </w:pPr>
            <w:r w:rsidRPr="00695B74">
              <w:rPr>
                <w:rFonts w:ascii="Montserrat Medium" w:eastAsia="Times New Roman" w:hAnsi="Montserrat Medium" w:cs="Calibri"/>
                <w:b/>
                <w:bCs/>
                <w:color w:val="000000"/>
                <w:sz w:val="18"/>
                <w:szCs w:val="18"/>
                <w:lang w:eastAsia="es-MX"/>
              </w:rPr>
              <w:t>2024</w:t>
            </w:r>
          </w:p>
        </w:tc>
        <w:tc>
          <w:tcPr>
            <w:tcW w:w="1600" w:type="dxa"/>
            <w:tcBorders>
              <w:top w:val="single" w:sz="4" w:space="0" w:color="auto"/>
              <w:left w:val="nil"/>
              <w:bottom w:val="single" w:sz="4" w:space="0" w:color="auto"/>
              <w:right w:val="single" w:sz="4" w:space="0" w:color="auto"/>
            </w:tcBorders>
            <w:shd w:val="clear" w:color="000000" w:fill="BFBFBF"/>
            <w:vAlign w:val="center"/>
            <w:hideMark/>
          </w:tcPr>
          <w:p w14:paraId="74E6E4E1" w14:textId="77777777" w:rsidR="00695B74" w:rsidRPr="00695B74" w:rsidRDefault="00695B74" w:rsidP="002F131C">
            <w:pPr>
              <w:jc w:val="center"/>
              <w:rPr>
                <w:rFonts w:ascii="Montserrat Medium" w:eastAsia="Times New Roman" w:hAnsi="Montserrat Medium" w:cs="Calibri"/>
                <w:b/>
                <w:bCs/>
                <w:color w:val="000000"/>
                <w:sz w:val="18"/>
                <w:szCs w:val="18"/>
                <w:lang w:val="es-MX" w:eastAsia="es-MX"/>
              </w:rPr>
            </w:pPr>
            <w:r w:rsidRPr="00695B74">
              <w:rPr>
                <w:rFonts w:ascii="Montserrat Medium" w:eastAsia="Times New Roman" w:hAnsi="Montserrat Medium" w:cs="Calibri"/>
                <w:b/>
                <w:bCs/>
                <w:color w:val="000000"/>
                <w:sz w:val="18"/>
                <w:szCs w:val="18"/>
                <w:lang w:val="es-MX" w:eastAsia="es-MX"/>
              </w:rPr>
              <w:t>Total</w:t>
            </w:r>
          </w:p>
        </w:tc>
      </w:tr>
      <w:tr w:rsidR="00695B74" w:rsidRPr="00695B74" w14:paraId="43C2BC72" w14:textId="77777777" w:rsidTr="0056239F">
        <w:trPr>
          <w:trHeight w:val="239"/>
        </w:trPr>
        <w:tc>
          <w:tcPr>
            <w:tcW w:w="5320" w:type="dxa"/>
            <w:tcBorders>
              <w:top w:val="single" w:sz="4" w:space="0" w:color="auto"/>
              <w:left w:val="single" w:sz="4" w:space="0" w:color="auto"/>
              <w:bottom w:val="nil"/>
              <w:right w:val="single" w:sz="4" w:space="0" w:color="auto"/>
            </w:tcBorders>
            <w:shd w:val="clear" w:color="auto" w:fill="auto"/>
            <w:vAlign w:val="center"/>
            <w:hideMark/>
          </w:tcPr>
          <w:p w14:paraId="45BF9092" w14:textId="77777777" w:rsidR="00695B74" w:rsidRPr="00695B74" w:rsidRDefault="00695B74" w:rsidP="002F131C">
            <w:pPr>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val="es-MX" w:eastAsia="es-MX"/>
              </w:rPr>
              <w:t>Muebles de oficina y estantería</w:t>
            </w:r>
          </w:p>
        </w:tc>
        <w:tc>
          <w:tcPr>
            <w:tcW w:w="1840" w:type="dxa"/>
            <w:tcBorders>
              <w:top w:val="single" w:sz="4" w:space="0" w:color="auto"/>
              <w:left w:val="nil"/>
              <w:bottom w:val="nil"/>
              <w:right w:val="single" w:sz="4" w:space="0" w:color="auto"/>
            </w:tcBorders>
            <w:shd w:val="clear" w:color="auto" w:fill="auto"/>
            <w:vAlign w:val="center"/>
            <w:hideMark/>
          </w:tcPr>
          <w:p w14:paraId="611A11B2"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232,131.53</w:t>
            </w:r>
          </w:p>
        </w:tc>
        <w:tc>
          <w:tcPr>
            <w:tcW w:w="1760" w:type="dxa"/>
            <w:tcBorders>
              <w:top w:val="single" w:sz="4" w:space="0" w:color="auto"/>
              <w:left w:val="nil"/>
              <w:bottom w:val="nil"/>
              <w:right w:val="single" w:sz="4" w:space="0" w:color="auto"/>
            </w:tcBorders>
            <w:shd w:val="clear" w:color="auto" w:fill="auto"/>
            <w:vAlign w:val="center"/>
            <w:hideMark/>
          </w:tcPr>
          <w:p w14:paraId="4025BFA4"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41,537,290.66</w:t>
            </w:r>
          </w:p>
        </w:tc>
        <w:tc>
          <w:tcPr>
            <w:tcW w:w="1600" w:type="dxa"/>
            <w:tcBorders>
              <w:top w:val="single" w:sz="4" w:space="0" w:color="auto"/>
              <w:left w:val="nil"/>
              <w:bottom w:val="nil"/>
              <w:right w:val="single" w:sz="4" w:space="0" w:color="auto"/>
            </w:tcBorders>
            <w:shd w:val="clear" w:color="auto" w:fill="auto"/>
            <w:vAlign w:val="center"/>
            <w:hideMark/>
          </w:tcPr>
          <w:p w14:paraId="0335D897"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41,769,422.20</w:t>
            </w:r>
          </w:p>
        </w:tc>
      </w:tr>
      <w:tr w:rsidR="00695B74" w:rsidRPr="00695B74" w14:paraId="1D5C51C8" w14:textId="77777777" w:rsidTr="0056239F">
        <w:trPr>
          <w:trHeight w:val="139"/>
        </w:trPr>
        <w:tc>
          <w:tcPr>
            <w:tcW w:w="5320" w:type="dxa"/>
            <w:tcBorders>
              <w:top w:val="nil"/>
              <w:left w:val="single" w:sz="4" w:space="0" w:color="auto"/>
              <w:bottom w:val="nil"/>
              <w:right w:val="single" w:sz="4" w:space="0" w:color="auto"/>
            </w:tcBorders>
            <w:shd w:val="clear" w:color="auto" w:fill="auto"/>
            <w:vAlign w:val="center"/>
            <w:hideMark/>
          </w:tcPr>
          <w:p w14:paraId="20C445F9" w14:textId="77777777" w:rsidR="00695B74" w:rsidRPr="00695B74" w:rsidRDefault="00695B74" w:rsidP="002F131C">
            <w:pPr>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val="es-MX" w:eastAsia="es-MX"/>
              </w:rPr>
              <w:t>Muebles, excepto de oficina y estantería</w:t>
            </w:r>
          </w:p>
        </w:tc>
        <w:tc>
          <w:tcPr>
            <w:tcW w:w="1840" w:type="dxa"/>
            <w:tcBorders>
              <w:top w:val="nil"/>
              <w:left w:val="nil"/>
              <w:bottom w:val="nil"/>
              <w:right w:val="single" w:sz="4" w:space="0" w:color="auto"/>
            </w:tcBorders>
            <w:shd w:val="clear" w:color="auto" w:fill="auto"/>
            <w:vAlign w:val="center"/>
            <w:hideMark/>
          </w:tcPr>
          <w:p w14:paraId="24BD22CC"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32,699.21</w:t>
            </w:r>
          </w:p>
        </w:tc>
        <w:tc>
          <w:tcPr>
            <w:tcW w:w="1760" w:type="dxa"/>
            <w:tcBorders>
              <w:top w:val="nil"/>
              <w:left w:val="nil"/>
              <w:bottom w:val="nil"/>
              <w:right w:val="single" w:sz="4" w:space="0" w:color="auto"/>
            </w:tcBorders>
            <w:shd w:val="clear" w:color="auto" w:fill="auto"/>
            <w:vAlign w:val="center"/>
            <w:hideMark/>
          </w:tcPr>
          <w:p w14:paraId="06ECAE93"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4,474,089.87</w:t>
            </w:r>
          </w:p>
        </w:tc>
        <w:tc>
          <w:tcPr>
            <w:tcW w:w="1600" w:type="dxa"/>
            <w:tcBorders>
              <w:top w:val="nil"/>
              <w:left w:val="nil"/>
              <w:bottom w:val="nil"/>
              <w:right w:val="single" w:sz="4" w:space="0" w:color="auto"/>
            </w:tcBorders>
            <w:shd w:val="clear" w:color="auto" w:fill="auto"/>
            <w:vAlign w:val="center"/>
            <w:hideMark/>
          </w:tcPr>
          <w:p w14:paraId="40F1F54D"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4,506,789.08</w:t>
            </w:r>
          </w:p>
        </w:tc>
      </w:tr>
      <w:tr w:rsidR="00695B74" w:rsidRPr="00695B74" w14:paraId="5420F117" w14:textId="77777777" w:rsidTr="0056239F">
        <w:trPr>
          <w:trHeight w:val="199"/>
        </w:trPr>
        <w:tc>
          <w:tcPr>
            <w:tcW w:w="5320" w:type="dxa"/>
            <w:tcBorders>
              <w:top w:val="nil"/>
              <w:left w:val="single" w:sz="4" w:space="0" w:color="auto"/>
              <w:bottom w:val="nil"/>
              <w:right w:val="single" w:sz="4" w:space="0" w:color="auto"/>
            </w:tcBorders>
            <w:shd w:val="clear" w:color="auto" w:fill="auto"/>
            <w:vAlign w:val="center"/>
            <w:hideMark/>
          </w:tcPr>
          <w:p w14:paraId="79BA3214" w14:textId="77777777" w:rsidR="00695B74" w:rsidRPr="00695B74" w:rsidRDefault="00695B74" w:rsidP="002F131C">
            <w:pPr>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val="es-MX" w:eastAsia="es-MX"/>
              </w:rPr>
              <w:t>Equipo de cómputo y de tecnologías de la información</w:t>
            </w:r>
          </w:p>
        </w:tc>
        <w:tc>
          <w:tcPr>
            <w:tcW w:w="1840" w:type="dxa"/>
            <w:tcBorders>
              <w:top w:val="nil"/>
              <w:left w:val="nil"/>
              <w:bottom w:val="nil"/>
              <w:right w:val="single" w:sz="4" w:space="0" w:color="auto"/>
            </w:tcBorders>
            <w:shd w:val="clear" w:color="auto" w:fill="auto"/>
            <w:vAlign w:val="center"/>
            <w:hideMark/>
          </w:tcPr>
          <w:p w14:paraId="772033F4"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2,728,831.01</w:t>
            </w:r>
          </w:p>
        </w:tc>
        <w:tc>
          <w:tcPr>
            <w:tcW w:w="1760" w:type="dxa"/>
            <w:tcBorders>
              <w:top w:val="nil"/>
              <w:left w:val="nil"/>
              <w:bottom w:val="nil"/>
              <w:right w:val="single" w:sz="4" w:space="0" w:color="auto"/>
            </w:tcBorders>
            <w:shd w:val="clear" w:color="auto" w:fill="auto"/>
            <w:vAlign w:val="center"/>
            <w:hideMark/>
          </w:tcPr>
          <w:p w14:paraId="2976203D"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409,831,297.19</w:t>
            </w:r>
          </w:p>
        </w:tc>
        <w:tc>
          <w:tcPr>
            <w:tcW w:w="1600" w:type="dxa"/>
            <w:tcBorders>
              <w:top w:val="nil"/>
              <w:left w:val="nil"/>
              <w:bottom w:val="nil"/>
              <w:right w:val="single" w:sz="4" w:space="0" w:color="auto"/>
            </w:tcBorders>
            <w:shd w:val="clear" w:color="auto" w:fill="auto"/>
            <w:vAlign w:val="center"/>
            <w:hideMark/>
          </w:tcPr>
          <w:p w14:paraId="33BF7CBB"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412,560,128.00</w:t>
            </w:r>
          </w:p>
        </w:tc>
      </w:tr>
      <w:tr w:rsidR="00695B74" w:rsidRPr="00695B74" w14:paraId="07EC31AC" w14:textId="77777777" w:rsidTr="0056239F">
        <w:trPr>
          <w:trHeight w:val="131"/>
        </w:trPr>
        <w:tc>
          <w:tcPr>
            <w:tcW w:w="5320" w:type="dxa"/>
            <w:tcBorders>
              <w:top w:val="nil"/>
              <w:left w:val="single" w:sz="4" w:space="0" w:color="auto"/>
              <w:bottom w:val="nil"/>
              <w:right w:val="single" w:sz="4" w:space="0" w:color="auto"/>
            </w:tcBorders>
            <w:shd w:val="clear" w:color="auto" w:fill="auto"/>
            <w:vAlign w:val="center"/>
            <w:hideMark/>
          </w:tcPr>
          <w:p w14:paraId="0ECDF36C" w14:textId="77777777" w:rsidR="00695B74" w:rsidRPr="00695B74" w:rsidRDefault="00695B74" w:rsidP="002F131C">
            <w:pPr>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val="es-MX" w:eastAsia="es-MX"/>
              </w:rPr>
              <w:t>Otros mobiliarios y equipos de administración</w:t>
            </w:r>
          </w:p>
        </w:tc>
        <w:tc>
          <w:tcPr>
            <w:tcW w:w="1840" w:type="dxa"/>
            <w:tcBorders>
              <w:top w:val="nil"/>
              <w:left w:val="nil"/>
              <w:bottom w:val="nil"/>
              <w:right w:val="single" w:sz="4" w:space="0" w:color="auto"/>
            </w:tcBorders>
            <w:shd w:val="clear" w:color="auto" w:fill="auto"/>
            <w:vAlign w:val="center"/>
            <w:hideMark/>
          </w:tcPr>
          <w:p w14:paraId="0E003793"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362,258.78</w:t>
            </w:r>
          </w:p>
        </w:tc>
        <w:tc>
          <w:tcPr>
            <w:tcW w:w="1760" w:type="dxa"/>
            <w:tcBorders>
              <w:top w:val="nil"/>
              <w:left w:val="nil"/>
              <w:bottom w:val="nil"/>
              <w:right w:val="single" w:sz="4" w:space="0" w:color="auto"/>
            </w:tcBorders>
            <w:shd w:val="clear" w:color="auto" w:fill="auto"/>
            <w:vAlign w:val="center"/>
            <w:hideMark/>
          </w:tcPr>
          <w:p w14:paraId="3960C4DD"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55,154,571.90</w:t>
            </w:r>
          </w:p>
        </w:tc>
        <w:tc>
          <w:tcPr>
            <w:tcW w:w="1600" w:type="dxa"/>
            <w:tcBorders>
              <w:top w:val="nil"/>
              <w:left w:val="nil"/>
              <w:bottom w:val="nil"/>
              <w:right w:val="single" w:sz="4" w:space="0" w:color="auto"/>
            </w:tcBorders>
            <w:shd w:val="clear" w:color="auto" w:fill="auto"/>
            <w:vAlign w:val="center"/>
            <w:hideMark/>
          </w:tcPr>
          <w:p w14:paraId="506D308B"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55,516,830.70</w:t>
            </w:r>
          </w:p>
        </w:tc>
      </w:tr>
      <w:tr w:rsidR="00695B74" w:rsidRPr="00695B74" w14:paraId="04BEA07D" w14:textId="77777777" w:rsidTr="0056239F">
        <w:trPr>
          <w:trHeight w:val="177"/>
        </w:trPr>
        <w:tc>
          <w:tcPr>
            <w:tcW w:w="5320" w:type="dxa"/>
            <w:tcBorders>
              <w:top w:val="nil"/>
              <w:left w:val="single" w:sz="4" w:space="0" w:color="auto"/>
              <w:bottom w:val="nil"/>
              <w:right w:val="single" w:sz="4" w:space="0" w:color="auto"/>
            </w:tcBorders>
            <w:shd w:val="clear" w:color="auto" w:fill="auto"/>
            <w:vAlign w:val="center"/>
            <w:hideMark/>
          </w:tcPr>
          <w:p w14:paraId="0B3A398D" w14:textId="77777777" w:rsidR="00695B74" w:rsidRPr="00695B74" w:rsidRDefault="00695B74" w:rsidP="002F131C">
            <w:pPr>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val="es-MX" w:eastAsia="es-MX"/>
              </w:rPr>
              <w:t>Equipos y aparatos audiovisuales</w:t>
            </w:r>
          </w:p>
        </w:tc>
        <w:tc>
          <w:tcPr>
            <w:tcW w:w="1840" w:type="dxa"/>
            <w:tcBorders>
              <w:top w:val="nil"/>
              <w:left w:val="nil"/>
              <w:bottom w:val="nil"/>
              <w:right w:val="single" w:sz="4" w:space="0" w:color="auto"/>
            </w:tcBorders>
            <w:shd w:val="clear" w:color="auto" w:fill="auto"/>
            <w:vAlign w:val="center"/>
            <w:hideMark/>
          </w:tcPr>
          <w:p w14:paraId="53BE9430"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321,916.80</w:t>
            </w:r>
          </w:p>
        </w:tc>
        <w:tc>
          <w:tcPr>
            <w:tcW w:w="1760" w:type="dxa"/>
            <w:tcBorders>
              <w:top w:val="nil"/>
              <w:left w:val="nil"/>
              <w:bottom w:val="nil"/>
              <w:right w:val="single" w:sz="4" w:space="0" w:color="auto"/>
            </w:tcBorders>
            <w:shd w:val="clear" w:color="auto" w:fill="auto"/>
            <w:vAlign w:val="center"/>
            <w:hideMark/>
          </w:tcPr>
          <w:p w14:paraId="5147D798"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14,183,182.64</w:t>
            </w:r>
          </w:p>
        </w:tc>
        <w:tc>
          <w:tcPr>
            <w:tcW w:w="1600" w:type="dxa"/>
            <w:tcBorders>
              <w:top w:val="nil"/>
              <w:left w:val="nil"/>
              <w:bottom w:val="nil"/>
              <w:right w:val="single" w:sz="4" w:space="0" w:color="auto"/>
            </w:tcBorders>
            <w:shd w:val="clear" w:color="auto" w:fill="auto"/>
            <w:vAlign w:val="center"/>
            <w:hideMark/>
          </w:tcPr>
          <w:p w14:paraId="4C26BA1C"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14,505,099.40</w:t>
            </w:r>
          </w:p>
        </w:tc>
      </w:tr>
      <w:tr w:rsidR="00695B74" w:rsidRPr="00695B74" w14:paraId="3C19F191" w14:textId="77777777" w:rsidTr="0056239F">
        <w:trPr>
          <w:trHeight w:val="251"/>
        </w:trPr>
        <w:tc>
          <w:tcPr>
            <w:tcW w:w="5320" w:type="dxa"/>
            <w:tcBorders>
              <w:top w:val="nil"/>
              <w:left w:val="single" w:sz="4" w:space="0" w:color="auto"/>
              <w:bottom w:val="nil"/>
              <w:right w:val="single" w:sz="4" w:space="0" w:color="auto"/>
            </w:tcBorders>
            <w:shd w:val="clear" w:color="auto" w:fill="auto"/>
            <w:vAlign w:val="center"/>
            <w:hideMark/>
          </w:tcPr>
          <w:p w14:paraId="201F867F" w14:textId="77777777" w:rsidR="00695B74" w:rsidRPr="00695B74" w:rsidRDefault="00695B74" w:rsidP="002F131C">
            <w:pPr>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val="es-MX" w:eastAsia="es-MX"/>
              </w:rPr>
              <w:t>Aparatos deportivos</w:t>
            </w:r>
          </w:p>
        </w:tc>
        <w:tc>
          <w:tcPr>
            <w:tcW w:w="1840" w:type="dxa"/>
            <w:tcBorders>
              <w:top w:val="nil"/>
              <w:left w:val="nil"/>
              <w:bottom w:val="nil"/>
              <w:right w:val="single" w:sz="4" w:space="0" w:color="auto"/>
            </w:tcBorders>
            <w:shd w:val="clear" w:color="auto" w:fill="auto"/>
            <w:vAlign w:val="center"/>
            <w:hideMark/>
          </w:tcPr>
          <w:p w14:paraId="74777A9E"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44,079.54</w:t>
            </w:r>
          </w:p>
        </w:tc>
        <w:tc>
          <w:tcPr>
            <w:tcW w:w="1760" w:type="dxa"/>
            <w:tcBorders>
              <w:top w:val="nil"/>
              <w:left w:val="nil"/>
              <w:bottom w:val="nil"/>
              <w:right w:val="single" w:sz="4" w:space="0" w:color="auto"/>
            </w:tcBorders>
            <w:shd w:val="clear" w:color="auto" w:fill="auto"/>
            <w:vAlign w:val="center"/>
            <w:hideMark/>
          </w:tcPr>
          <w:p w14:paraId="26A8005A"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224,797.56</w:t>
            </w:r>
          </w:p>
        </w:tc>
        <w:tc>
          <w:tcPr>
            <w:tcW w:w="1600" w:type="dxa"/>
            <w:tcBorders>
              <w:top w:val="nil"/>
              <w:left w:val="nil"/>
              <w:bottom w:val="nil"/>
              <w:right w:val="single" w:sz="4" w:space="0" w:color="auto"/>
            </w:tcBorders>
            <w:shd w:val="clear" w:color="auto" w:fill="auto"/>
            <w:vAlign w:val="center"/>
            <w:hideMark/>
          </w:tcPr>
          <w:p w14:paraId="16224767"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268,877.10</w:t>
            </w:r>
          </w:p>
        </w:tc>
      </w:tr>
      <w:tr w:rsidR="00695B74" w:rsidRPr="00695B74" w14:paraId="3E4A2C6D" w14:textId="77777777" w:rsidTr="0056239F">
        <w:trPr>
          <w:trHeight w:val="141"/>
        </w:trPr>
        <w:tc>
          <w:tcPr>
            <w:tcW w:w="5320" w:type="dxa"/>
            <w:tcBorders>
              <w:top w:val="nil"/>
              <w:left w:val="single" w:sz="4" w:space="0" w:color="auto"/>
              <w:bottom w:val="nil"/>
              <w:right w:val="single" w:sz="4" w:space="0" w:color="auto"/>
            </w:tcBorders>
            <w:shd w:val="clear" w:color="auto" w:fill="auto"/>
            <w:vAlign w:val="center"/>
            <w:hideMark/>
          </w:tcPr>
          <w:p w14:paraId="4A551587" w14:textId="77777777" w:rsidR="00695B74" w:rsidRPr="00695B74" w:rsidRDefault="00695B74" w:rsidP="002F131C">
            <w:pPr>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val="es-MX" w:eastAsia="es-MX"/>
              </w:rPr>
              <w:t>Cámaras fotográficas y de video</w:t>
            </w:r>
          </w:p>
        </w:tc>
        <w:tc>
          <w:tcPr>
            <w:tcW w:w="1840" w:type="dxa"/>
            <w:tcBorders>
              <w:top w:val="nil"/>
              <w:left w:val="nil"/>
              <w:bottom w:val="nil"/>
              <w:right w:val="single" w:sz="4" w:space="0" w:color="auto"/>
            </w:tcBorders>
            <w:shd w:val="clear" w:color="auto" w:fill="auto"/>
            <w:vAlign w:val="center"/>
            <w:hideMark/>
          </w:tcPr>
          <w:p w14:paraId="3D27AB51"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53,628.73</w:t>
            </w:r>
          </w:p>
        </w:tc>
        <w:tc>
          <w:tcPr>
            <w:tcW w:w="1760" w:type="dxa"/>
            <w:tcBorders>
              <w:top w:val="nil"/>
              <w:left w:val="nil"/>
              <w:bottom w:val="nil"/>
              <w:right w:val="single" w:sz="4" w:space="0" w:color="auto"/>
            </w:tcBorders>
            <w:shd w:val="clear" w:color="auto" w:fill="auto"/>
            <w:vAlign w:val="center"/>
            <w:hideMark/>
          </w:tcPr>
          <w:p w14:paraId="35E42302"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8,664,548.91</w:t>
            </w:r>
          </w:p>
        </w:tc>
        <w:tc>
          <w:tcPr>
            <w:tcW w:w="1600" w:type="dxa"/>
            <w:tcBorders>
              <w:top w:val="nil"/>
              <w:left w:val="nil"/>
              <w:bottom w:val="nil"/>
              <w:right w:val="single" w:sz="4" w:space="0" w:color="auto"/>
            </w:tcBorders>
            <w:shd w:val="clear" w:color="auto" w:fill="auto"/>
            <w:vAlign w:val="center"/>
            <w:hideMark/>
          </w:tcPr>
          <w:p w14:paraId="0C1FE2BD"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8,718,177.64</w:t>
            </w:r>
          </w:p>
        </w:tc>
      </w:tr>
      <w:tr w:rsidR="00695B74" w:rsidRPr="00695B74" w14:paraId="13E24611" w14:textId="77777777" w:rsidTr="0056239F">
        <w:trPr>
          <w:trHeight w:val="202"/>
        </w:trPr>
        <w:tc>
          <w:tcPr>
            <w:tcW w:w="5320" w:type="dxa"/>
            <w:tcBorders>
              <w:top w:val="nil"/>
              <w:left w:val="single" w:sz="4" w:space="0" w:color="auto"/>
              <w:bottom w:val="nil"/>
              <w:right w:val="single" w:sz="4" w:space="0" w:color="auto"/>
            </w:tcBorders>
            <w:shd w:val="clear" w:color="auto" w:fill="auto"/>
            <w:vAlign w:val="center"/>
            <w:hideMark/>
          </w:tcPr>
          <w:p w14:paraId="3E971B2D" w14:textId="77777777" w:rsidR="00695B74" w:rsidRPr="00695B74" w:rsidRDefault="00695B74" w:rsidP="002F131C">
            <w:pPr>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val="es-MX" w:eastAsia="es-MX"/>
              </w:rPr>
              <w:t>Otro mobiliario y equipo educacional y recreativo</w:t>
            </w:r>
          </w:p>
        </w:tc>
        <w:tc>
          <w:tcPr>
            <w:tcW w:w="1840" w:type="dxa"/>
            <w:tcBorders>
              <w:top w:val="nil"/>
              <w:left w:val="nil"/>
              <w:bottom w:val="nil"/>
              <w:right w:val="single" w:sz="4" w:space="0" w:color="auto"/>
            </w:tcBorders>
            <w:shd w:val="clear" w:color="auto" w:fill="auto"/>
            <w:vAlign w:val="center"/>
            <w:hideMark/>
          </w:tcPr>
          <w:p w14:paraId="45FA756C"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4,930.02</w:t>
            </w:r>
          </w:p>
        </w:tc>
        <w:tc>
          <w:tcPr>
            <w:tcW w:w="1760" w:type="dxa"/>
            <w:tcBorders>
              <w:top w:val="nil"/>
              <w:left w:val="nil"/>
              <w:bottom w:val="nil"/>
              <w:right w:val="single" w:sz="4" w:space="0" w:color="auto"/>
            </w:tcBorders>
            <w:shd w:val="clear" w:color="auto" w:fill="auto"/>
            <w:vAlign w:val="center"/>
            <w:hideMark/>
          </w:tcPr>
          <w:p w14:paraId="3477958A"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42,363,913.65</w:t>
            </w:r>
          </w:p>
        </w:tc>
        <w:tc>
          <w:tcPr>
            <w:tcW w:w="1600" w:type="dxa"/>
            <w:tcBorders>
              <w:top w:val="nil"/>
              <w:left w:val="nil"/>
              <w:bottom w:val="nil"/>
              <w:right w:val="single" w:sz="4" w:space="0" w:color="auto"/>
            </w:tcBorders>
            <w:shd w:val="clear" w:color="auto" w:fill="auto"/>
            <w:vAlign w:val="center"/>
            <w:hideMark/>
          </w:tcPr>
          <w:p w14:paraId="6AB098C9"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42,368,843.70</w:t>
            </w:r>
          </w:p>
        </w:tc>
      </w:tr>
      <w:tr w:rsidR="00695B74" w:rsidRPr="00695B74" w14:paraId="7C38B732" w14:textId="77777777" w:rsidTr="0056239F">
        <w:trPr>
          <w:trHeight w:val="275"/>
        </w:trPr>
        <w:tc>
          <w:tcPr>
            <w:tcW w:w="5320" w:type="dxa"/>
            <w:tcBorders>
              <w:top w:val="nil"/>
              <w:left w:val="single" w:sz="4" w:space="0" w:color="auto"/>
              <w:bottom w:val="nil"/>
              <w:right w:val="single" w:sz="4" w:space="0" w:color="auto"/>
            </w:tcBorders>
            <w:shd w:val="clear" w:color="auto" w:fill="auto"/>
            <w:vAlign w:val="center"/>
            <w:hideMark/>
          </w:tcPr>
          <w:p w14:paraId="6AA6B4FE" w14:textId="77777777" w:rsidR="00695B74" w:rsidRPr="00695B74" w:rsidRDefault="00695B74" w:rsidP="002F131C">
            <w:pPr>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val="es-MX" w:eastAsia="es-MX"/>
              </w:rPr>
              <w:t>Vehículos y equipo terrestre</w:t>
            </w:r>
          </w:p>
        </w:tc>
        <w:tc>
          <w:tcPr>
            <w:tcW w:w="1840" w:type="dxa"/>
            <w:tcBorders>
              <w:top w:val="nil"/>
              <w:left w:val="nil"/>
              <w:bottom w:val="nil"/>
              <w:right w:val="single" w:sz="4" w:space="0" w:color="auto"/>
            </w:tcBorders>
            <w:shd w:val="clear" w:color="auto" w:fill="auto"/>
            <w:vAlign w:val="center"/>
            <w:hideMark/>
          </w:tcPr>
          <w:p w14:paraId="187A64AB"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5,524,427.19</w:t>
            </w:r>
          </w:p>
        </w:tc>
        <w:tc>
          <w:tcPr>
            <w:tcW w:w="1760" w:type="dxa"/>
            <w:tcBorders>
              <w:top w:val="nil"/>
              <w:left w:val="nil"/>
              <w:bottom w:val="nil"/>
              <w:right w:val="single" w:sz="4" w:space="0" w:color="auto"/>
            </w:tcBorders>
            <w:shd w:val="clear" w:color="auto" w:fill="auto"/>
            <w:vAlign w:val="center"/>
            <w:hideMark/>
          </w:tcPr>
          <w:p w14:paraId="2A74B948"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317,531,424.48</w:t>
            </w:r>
          </w:p>
        </w:tc>
        <w:tc>
          <w:tcPr>
            <w:tcW w:w="1600" w:type="dxa"/>
            <w:tcBorders>
              <w:top w:val="nil"/>
              <w:left w:val="nil"/>
              <w:bottom w:val="nil"/>
              <w:right w:val="single" w:sz="4" w:space="0" w:color="auto"/>
            </w:tcBorders>
            <w:shd w:val="clear" w:color="auto" w:fill="auto"/>
            <w:vAlign w:val="center"/>
            <w:hideMark/>
          </w:tcPr>
          <w:p w14:paraId="5AF4CBBB"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323,055,852.00</w:t>
            </w:r>
          </w:p>
        </w:tc>
      </w:tr>
      <w:tr w:rsidR="00695B74" w:rsidRPr="00695B74" w14:paraId="55334D8D" w14:textId="77777777" w:rsidTr="0056239F">
        <w:trPr>
          <w:trHeight w:val="138"/>
        </w:trPr>
        <w:tc>
          <w:tcPr>
            <w:tcW w:w="5320" w:type="dxa"/>
            <w:tcBorders>
              <w:top w:val="nil"/>
              <w:left w:val="single" w:sz="4" w:space="0" w:color="auto"/>
              <w:bottom w:val="nil"/>
              <w:right w:val="single" w:sz="4" w:space="0" w:color="auto"/>
            </w:tcBorders>
            <w:shd w:val="clear" w:color="auto" w:fill="auto"/>
            <w:vAlign w:val="center"/>
            <w:hideMark/>
          </w:tcPr>
          <w:p w14:paraId="26D8F971" w14:textId="77777777" w:rsidR="00695B74" w:rsidRPr="00695B74" w:rsidRDefault="00695B74" w:rsidP="002F131C">
            <w:pPr>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val="es-MX" w:eastAsia="es-MX"/>
              </w:rPr>
              <w:t>Carrocerías y remolques</w:t>
            </w:r>
          </w:p>
        </w:tc>
        <w:tc>
          <w:tcPr>
            <w:tcW w:w="1840" w:type="dxa"/>
            <w:tcBorders>
              <w:top w:val="nil"/>
              <w:left w:val="nil"/>
              <w:bottom w:val="nil"/>
              <w:right w:val="single" w:sz="4" w:space="0" w:color="auto"/>
            </w:tcBorders>
            <w:shd w:val="clear" w:color="auto" w:fill="auto"/>
            <w:vAlign w:val="center"/>
            <w:hideMark/>
          </w:tcPr>
          <w:p w14:paraId="6CE63CB0"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112,847.94</w:t>
            </w:r>
          </w:p>
        </w:tc>
        <w:tc>
          <w:tcPr>
            <w:tcW w:w="1760" w:type="dxa"/>
            <w:tcBorders>
              <w:top w:val="nil"/>
              <w:left w:val="nil"/>
              <w:bottom w:val="nil"/>
              <w:right w:val="single" w:sz="4" w:space="0" w:color="auto"/>
            </w:tcBorders>
            <w:shd w:val="clear" w:color="auto" w:fill="auto"/>
            <w:vAlign w:val="center"/>
            <w:hideMark/>
          </w:tcPr>
          <w:p w14:paraId="57B32791"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8,749,385.98</w:t>
            </w:r>
          </w:p>
        </w:tc>
        <w:tc>
          <w:tcPr>
            <w:tcW w:w="1600" w:type="dxa"/>
            <w:tcBorders>
              <w:top w:val="nil"/>
              <w:left w:val="nil"/>
              <w:bottom w:val="nil"/>
              <w:right w:val="single" w:sz="4" w:space="0" w:color="auto"/>
            </w:tcBorders>
            <w:shd w:val="clear" w:color="auto" w:fill="auto"/>
            <w:vAlign w:val="center"/>
            <w:hideMark/>
          </w:tcPr>
          <w:p w14:paraId="0F01DACB"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8,862,233.92</w:t>
            </w:r>
          </w:p>
        </w:tc>
      </w:tr>
      <w:tr w:rsidR="00695B74" w:rsidRPr="00695B74" w14:paraId="3FAF345C" w14:textId="77777777" w:rsidTr="0056239F">
        <w:trPr>
          <w:trHeight w:val="197"/>
        </w:trPr>
        <w:tc>
          <w:tcPr>
            <w:tcW w:w="5320" w:type="dxa"/>
            <w:tcBorders>
              <w:top w:val="nil"/>
              <w:left w:val="single" w:sz="4" w:space="0" w:color="auto"/>
              <w:bottom w:val="nil"/>
              <w:right w:val="single" w:sz="4" w:space="0" w:color="auto"/>
            </w:tcBorders>
            <w:shd w:val="clear" w:color="auto" w:fill="auto"/>
            <w:vAlign w:val="center"/>
            <w:hideMark/>
          </w:tcPr>
          <w:p w14:paraId="2C32EFB8" w14:textId="77777777" w:rsidR="00695B74" w:rsidRPr="00695B74" w:rsidRDefault="00695B74" w:rsidP="002F131C">
            <w:pPr>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val="es-MX" w:eastAsia="es-MX"/>
              </w:rPr>
              <w:t>Embarcaciones</w:t>
            </w:r>
          </w:p>
        </w:tc>
        <w:tc>
          <w:tcPr>
            <w:tcW w:w="1840" w:type="dxa"/>
            <w:tcBorders>
              <w:top w:val="nil"/>
              <w:left w:val="nil"/>
              <w:bottom w:val="nil"/>
              <w:right w:val="single" w:sz="4" w:space="0" w:color="auto"/>
            </w:tcBorders>
            <w:shd w:val="clear" w:color="auto" w:fill="auto"/>
            <w:vAlign w:val="center"/>
            <w:hideMark/>
          </w:tcPr>
          <w:p w14:paraId="392322FC"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2,837,999.88</w:t>
            </w:r>
          </w:p>
        </w:tc>
        <w:tc>
          <w:tcPr>
            <w:tcW w:w="1760" w:type="dxa"/>
            <w:tcBorders>
              <w:top w:val="nil"/>
              <w:left w:val="nil"/>
              <w:bottom w:val="nil"/>
              <w:right w:val="single" w:sz="4" w:space="0" w:color="auto"/>
            </w:tcBorders>
            <w:shd w:val="clear" w:color="auto" w:fill="auto"/>
            <w:vAlign w:val="center"/>
            <w:hideMark/>
          </w:tcPr>
          <w:p w14:paraId="1401FFC8"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8,900,334.40</w:t>
            </w:r>
          </w:p>
        </w:tc>
        <w:tc>
          <w:tcPr>
            <w:tcW w:w="1600" w:type="dxa"/>
            <w:tcBorders>
              <w:top w:val="nil"/>
              <w:left w:val="nil"/>
              <w:bottom w:val="nil"/>
              <w:right w:val="single" w:sz="4" w:space="0" w:color="auto"/>
            </w:tcBorders>
            <w:shd w:val="clear" w:color="auto" w:fill="auto"/>
            <w:vAlign w:val="center"/>
            <w:hideMark/>
          </w:tcPr>
          <w:p w14:paraId="2BBE5427"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11,738,334.30</w:t>
            </w:r>
          </w:p>
        </w:tc>
      </w:tr>
      <w:tr w:rsidR="00695B74" w:rsidRPr="00695B74" w14:paraId="7CCCACE9" w14:textId="77777777" w:rsidTr="0056239F">
        <w:trPr>
          <w:trHeight w:val="129"/>
        </w:trPr>
        <w:tc>
          <w:tcPr>
            <w:tcW w:w="5320" w:type="dxa"/>
            <w:tcBorders>
              <w:top w:val="nil"/>
              <w:left w:val="single" w:sz="4" w:space="0" w:color="auto"/>
              <w:bottom w:val="nil"/>
              <w:right w:val="single" w:sz="4" w:space="0" w:color="auto"/>
            </w:tcBorders>
            <w:shd w:val="clear" w:color="auto" w:fill="auto"/>
            <w:vAlign w:val="center"/>
            <w:hideMark/>
          </w:tcPr>
          <w:p w14:paraId="3F787F3E" w14:textId="77777777" w:rsidR="00695B74" w:rsidRPr="00695B74" w:rsidRDefault="00695B74" w:rsidP="002F131C">
            <w:pPr>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val="es-MX" w:eastAsia="es-MX"/>
              </w:rPr>
              <w:t>Otros equipos de transporte</w:t>
            </w:r>
          </w:p>
        </w:tc>
        <w:tc>
          <w:tcPr>
            <w:tcW w:w="1840" w:type="dxa"/>
            <w:tcBorders>
              <w:top w:val="nil"/>
              <w:left w:val="nil"/>
              <w:bottom w:val="nil"/>
              <w:right w:val="single" w:sz="4" w:space="0" w:color="auto"/>
            </w:tcBorders>
            <w:shd w:val="clear" w:color="auto" w:fill="auto"/>
            <w:vAlign w:val="center"/>
            <w:hideMark/>
          </w:tcPr>
          <w:p w14:paraId="0CB654DA"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56,179.98</w:t>
            </w:r>
          </w:p>
        </w:tc>
        <w:tc>
          <w:tcPr>
            <w:tcW w:w="1760" w:type="dxa"/>
            <w:tcBorders>
              <w:top w:val="nil"/>
              <w:left w:val="nil"/>
              <w:bottom w:val="nil"/>
              <w:right w:val="single" w:sz="4" w:space="0" w:color="auto"/>
            </w:tcBorders>
            <w:shd w:val="clear" w:color="auto" w:fill="auto"/>
            <w:vAlign w:val="center"/>
            <w:hideMark/>
          </w:tcPr>
          <w:p w14:paraId="49E1F52E"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24,937,997.30</w:t>
            </w:r>
          </w:p>
        </w:tc>
        <w:tc>
          <w:tcPr>
            <w:tcW w:w="1600" w:type="dxa"/>
            <w:tcBorders>
              <w:top w:val="nil"/>
              <w:left w:val="nil"/>
              <w:bottom w:val="nil"/>
              <w:right w:val="single" w:sz="4" w:space="0" w:color="auto"/>
            </w:tcBorders>
            <w:shd w:val="clear" w:color="auto" w:fill="auto"/>
            <w:vAlign w:val="center"/>
            <w:hideMark/>
          </w:tcPr>
          <w:p w14:paraId="7C87B236"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24,994,177.30</w:t>
            </w:r>
          </w:p>
        </w:tc>
      </w:tr>
      <w:tr w:rsidR="00695B74" w:rsidRPr="00695B74" w14:paraId="6FD701B9" w14:textId="77777777" w:rsidTr="0056239F">
        <w:trPr>
          <w:trHeight w:val="70"/>
        </w:trPr>
        <w:tc>
          <w:tcPr>
            <w:tcW w:w="5320" w:type="dxa"/>
            <w:tcBorders>
              <w:top w:val="nil"/>
              <w:left w:val="single" w:sz="4" w:space="0" w:color="auto"/>
              <w:bottom w:val="nil"/>
              <w:right w:val="single" w:sz="4" w:space="0" w:color="auto"/>
            </w:tcBorders>
            <w:shd w:val="clear" w:color="auto" w:fill="auto"/>
            <w:vAlign w:val="center"/>
            <w:hideMark/>
          </w:tcPr>
          <w:p w14:paraId="53126B0B" w14:textId="77777777" w:rsidR="00695B74" w:rsidRPr="00695B74" w:rsidRDefault="00695B74" w:rsidP="002F131C">
            <w:pPr>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val="es-MX" w:eastAsia="es-MX"/>
              </w:rPr>
              <w:t>Equipo de defensa y seguridad</w:t>
            </w:r>
          </w:p>
        </w:tc>
        <w:tc>
          <w:tcPr>
            <w:tcW w:w="1840" w:type="dxa"/>
            <w:tcBorders>
              <w:top w:val="nil"/>
              <w:left w:val="nil"/>
              <w:bottom w:val="nil"/>
              <w:right w:val="single" w:sz="4" w:space="0" w:color="auto"/>
            </w:tcBorders>
            <w:shd w:val="clear" w:color="auto" w:fill="auto"/>
            <w:vAlign w:val="center"/>
            <w:hideMark/>
          </w:tcPr>
          <w:p w14:paraId="04A15D57"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57,517.44</w:t>
            </w:r>
          </w:p>
        </w:tc>
        <w:tc>
          <w:tcPr>
            <w:tcW w:w="1760" w:type="dxa"/>
            <w:tcBorders>
              <w:top w:val="nil"/>
              <w:left w:val="nil"/>
              <w:bottom w:val="nil"/>
              <w:right w:val="single" w:sz="4" w:space="0" w:color="auto"/>
            </w:tcBorders>
            <w:shd w:val="clear" w:color="auto" w:fill="auto"/>
            <w:vAlign w:val="center"/>
            <w:hideMark/>
          </w:tcPr>
          <w:p w14:paraId="3D868C00"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40,687,157.11</w:t>
            </w:r>
          </w:p>
        </w:tc>
        <w:tc>
          <w:tcPr>
            <w:tcW w:w="1600" w:type="dxa"/>
            <w:tcBorders>
              <w:top w:val="nil"/>
              <w:left w:val="nil"/>
              <w:bottom w:val="nil"/>
              <w:right w:val="single" w:sz="4" w:space="0" w:color="auto"/>
            </w:tcBorders>
            <w:shd w:val="clear" w:color="auto" w:fill="auto"/>
            <w:vAlign w:val="center"/>
            <w:hideMark/>
          </w:tcPr>
          <w:p w14:paraId="6DB5BB15"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40,744,674.60</w:t>
            </w:r>
          </w:p>
        </w:tc>
      </w:tr>
      <w:tr w:rsidR="00695B74" w:rsidRPr="00695B74" w14:paraId="7DFC5554" w14:textId="77777777" w:rsidTr="0056239F">
        <w:trPr>
          <w:trHeight w:val="107"/>
        </w:trPr>
        <w:tc>
          <w:tcPr>
            <w:tcW w:w="5320" w:type="dxa"/>
            <w:tcBorders>
              <w:top w:val="nil"/>
              <w:left w:val="single" w:sz="4" w:space="0" w:color="auto"/>
              <w:bottom w:val="nil"/>
              <w:right w:val="single" w:sz="4" w:space="0" w:color="auto"/>
            </w:tcBorders>
            <w:shd w:val="clear" w:color="auto" w:fill="auto"/>
            <w:vAlign w:val="center"/>
            <w:hideMark/>
          </w:tcPr>
          <w:p w14:paraId="266A0208" w14:textId="77777777" w:rsidR="00695B74" w:rsidRPr="00695B74" w:rsidRDefault="00695B74" w:rsidP="002F131C">
            <w:pPr>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val="es-MX" w:eastAsia="es-MX"/>
              </w:rPr>
              <w:t>Maquinaria y equipo agropecuario</w:t>
            </w:r>
          </w:p>
        </w:tc>
        <w:tc>
          <w:tcPr>
            <w:tcW w:w="1840" w:type="dxa"/>
            <w:tcBorders>
              <w:top w:val="nil"/>
              <w:left w:val="nil"/>
              <w:bottom w:val="nil"/>
              <w:right w:val="single" w:sz="4" w:space="0" w:color="auto"/>
            </w:tcBorders>
            <w:shd w:val="clear" w:color="auto" w:fill="auto"/>
            <w:vAlign w:val="center"/>
            <w:hideMark/>
          </w:tcPr>
          <w:p w14:paraId="4BDCAF11"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1,065,347.52</w:t>
            </w:r>
          </w:p>
        </w:tc>
        <w:tc>
          <w:tcPr>
            <w:tcW w:w="1760" w:type="dxa"/>
            <w:tcBorders>
              <w:top w:val="nil"/>
              <w:left w:val="nil"/>
              <w:bottom w:val="nil"/>
              <w:right w:val="single" w:sz="4" w:space="0" w:color="auto"/>
            </w:tcBorders>
            <w:shd w:val="clear" w:color="auto" w:fill="auto"/>
            <w:vAlign w:val="center"/>
            <w:hideMark/>
          </w:tcPr>
          <w:p w14:paraId="6C3507EC"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2,192,837.10</w:t>
            </w:r>
          </w:p>
        </w:tc>
        <w:tc>
          <w:tcPr>
            <w:tcW w:w="1600" w:type="dxa"/>
            <w:tcBorders>
              <w:top w:val="nil"/>
              <w:left w:val="nil"/>
              <w:bottom w:val="nil"/>
              <w:right w:val="single" w:sz="4" w:space="0" w:color="auto"/>
            </w:tcBorders>
            <w:shd w:val="clear" w:color="auto" w:fill="auto"/>
            <w:vAlign w:val="center"/>
            <w:hideMark/>
          </w:tcPr>
          <w:p w14:paraId="497DE664"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3258184.62</w:t>
            </w:r>
          </w:p>
        </w:tc>
      </w:tr>
      <w:tr w:rsidR="00695B74" w:rsidRPr="00695B74" w14:paraId="5AB68556" w14:textId="77777777" w:rsidTr="0056239F">
        <w:trPr>
          <w:trHeight w:val="167"/>
        </w:trPr>
        <w:tc>
          <w:tcPr>
            <w:tcW w:w="5320" w:type="dxa"/>
            <w:tcBorders>
              <w:top w:val="nil"/>
              <w:left w:val="single" w:sz="4" w:space="0" w:color="auto"/>
              <w:bottom w:val="nil"/>
              <w:right w:val="single" w:sz="4" w:space="0" w:color="auto"/>
            </w:tcBorders>
            <w:shd w:val="clear" w:color="auto" w:fill="auto"/>
            <w:vAlign w:val="center"/>
            <w:hideMark/>
          </w:tcPr>
          <w:p w14:paraId="546270E6" w14:textId="77777777" w:rsidR="00695B74" w:rsidRPr="00695B74" w:rsidRDefault="00695B74" w:rsidP="002F131C">
            <w:pPr>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val="es-MX" w:eastAsia="es-MX"/>
              </w:rPr>
              <w:t>Maquinaria y equipo industrial</w:t>
            </w:r>
          </w:p>
        </w:tc>
        <w:tc>
          <w:tcPr>
            <w:tcW w:w="1840" w:type="dxa"/>
            <w:tcBorders>
              <w:top w:val="nil"/>
              <w:left w:val="nil"/>
              <w:bottom w:val="nil"/>
              <w:right w:val="single" w:sz="4" w:space="0" w:color="auto"/>
            </w:tcBorders>
            <w:shd w:val="clear" w:color="auto" w:fill="auto"/>
            <w:vAlign w:val="center"/>
            <w:hideMark/>
          </w:tcPr>
          <w:p w14:paraId="5F920B48"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273,467.09</w:t>
            </w:r>
          </w:p>
        </w:tc>
        <w:tc>
          <w:tcPr>
            <w:tcW w:w="1760" w:type="dxa"/>
            <w:tcBorders>
              <w:top w:val="nil"/>
              <w:left w:val="nil"/>
              <w:bottom w:val="nil"/>
              <w:right w:val="single" w:sz="4" w:space="0" w:color="auto"/>
            </w:tcBorders>
            <w:shd w:val="clear" w:color="auto" w:fill="auto"/>
            <w:vAlign w:val="center"/>
            <w:hideMark/>
          </w:tcPr>
          <w:p w14:paraId="00C7C04C"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12,727,664.99</w:t>
            </w:r>
          </w:p>
        </w:tc>
        <w:tc>
          <w:tcPr>
            <w:tcW w:w="1600" w:type="dxa"/>
            <w:tcBorders>
              <w:top w:val="nil"/>
              <w:left w:val="nil"/>
              <w:bottom w:val="nil"/>
              <w:right w:val="single" w:sz="4" w:space="0" w:color="auto"/>
            </w:tcBorders>
            <w:shd w:val="clear" w:color="auto" w:fill="auto"/>
            <w:vAlign w:val="center"/>
            <w:hideMark/>
          </w:tcPr>
          <w:p w14:paraId="0A28CFBF"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13,001,132.10</w:t>
            </w:r>
          </w:p>
        </w:tc>
      </w:tr>
      <w:tr w:rsidR="00695B74" w:rsidRPr="00695B74" w14:paraId="3C288572" w14:textId="77777777" w:rsidTr="0056239F">
        <w:trPr>
          <w:trHeight w:val="369"/>
        </w:trPr>
        <w:tc>
          <w:tcPr>
            <w:tcW w:w="5320" w:type="dxa"/>
            <w:tcBorders>
              <w:top w:val="nil"/>
              <w:left w:val="single" w:sz="4" w:space="0" w:color="auto"/>
              <w:bottom w:val="nil"/>
              <w:right w:val="single" w:sz="4" w:space="0" w:color="auto"/>
            </w:tcBorders>
            <w:shd w:val="clear" w:color="auto" w:fill="auto"/>
            <w:vAlign w:val="center"/>
            <w:hideMark/>
          </w:tcPr>
          <w:p w14:paraId="27262D5E" w14:textId="77777777" w:rsidR="00695B74" w:rsidRPr="00695B74" w:rsidRDefault="00695B74" w:rsidP="002F131C">
            <w:pPr>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val="es-MX" w:eastAsia="es-MX"/>
              </w:rPr>
              <w:t>Sistemas de aire acondicionado, calefacción y de refrigeración industrial y comercial</w:t>
            </w:r>
          </w:p>
        </w:tc>
        <w:tc>
          <w:tcPr>
            <w:tcW w:w="1840" w:type="dxa"/>
            <w:tcBorders>
              <w:top w:val="nil"/>
              <w:left w:val="nil"/>
              <w:bottom w:val="nil"/>
              <w:right w:val="single" w:sz="4" w:space="0" w:color="auto"/>
            </w:tcBorders>
            <w:shd w:val="clear" w:color="auto" w:fill="auto"/>
            <w:vAlign w:val="center"/>
            <w:hideMark/>
          </w:tcPr>
          <w:p w14:paraId="7EA72757"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248,879.74</w:t>
            </w:r>
          </w:p>
        </w:tc>
        <w:tc>
          <w:tcPr>
            <w:tcW w:w="1760" w:type="dxa"/>
            <w:tcBorders>
              <w:top w:val="nil"/>
              <w:left w:val="nil"/>
              <w:bottom w:val="nil"/>
              <w:right w:val="single" w:sz="4" w:space="0" w:color="auto"/>
            </w:tcBorders>
            <w:shd w:val="clear" w:color="auto" w:fill="auto"/>
            <w:vAlign w:val="center"/>
            <w:hideMark/>
          </w:tcPr>
          <w:p w14:paraId="6D9D3DA6"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23,041,654.61</w:t>
            </w:r>
          </w:p>
        </w:tc>
        <w:tc>
          <w:tcPr>
            <w:tcW w:w="1600" w:type="dxa"/>
            <w:tcBorders>
              <w:top w:val="nil"/>
              <w:left w:val="nil"/>
              <w:bottom w:val="nil"/>
              <w:right w:val="single" w:sz="4" w:space="0" w:color="auto"/>
            </w:tcBorders>
            <w:shd w:val="clear" w:color="auto" w:fill="auto"/>
            <w:vAlign w:val="center"/>
            <w:hideMark/>
          </w:tcPr>
          <w:p w14:paraId="4452EBB0"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23,290,534.40</w:t>
            </w:r>
          </w:p>
        </w:tc>
      </w:tr>
      <w:tr w:rsidR="00695B74" w:rsidRPr="00695B74" w14:paraId="349C8544" w14:textId="77777777" w:rsidTr="00B9270E">
        <w:trPr>
          <w:trHeight w:val="300"/>
        </w:trPr>
        <w:tc>
          <w:tcPr>
            <w:tcW w:w="5320" w:type="dxa"/>
            <w:tcBorders>
              <w:top w:val="nil"/>
              <w:left w:val="single" w:sz="4" w:space="0" w:color="auto"/>
              <w:bottom w:val="nil"/>
              <w:right w:val="single" w:sz="4" w:space="0" w:color="auto"/>
            </w:tcBorders>
            <w:shd w:val="clear" w:color="auto" w:fill="auto"/>
            <w:vAlign w:val="center"/>
            <w:hideMark/>
          </w:tcPr>
          <w:p w14:paraId="79943D54" w14:textId="77777777" w:rsidR="00695B74" w:rsidRPr="00695B74" w:rsidRDefault="00695B74" w:rsidP="002F131C">
            <w:pPr>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val="es-MX" w:eastAsia="es-MX"/>
              </w:rPr>
              <w:t>Equipo de comunicación y telecomunicación</w:t>
            </w:r>
          </w:p>
        </w:tc>
        <w:tc>
          <w:tcPr>
            <w:tcW w:w="1840" w:type="dxa"/>
            <w:tcBorders>
              <w:top w:val="nil"/>
              <w:left w:val="nil"/>
              <w:bottom w:val="nil"/>
              <w:right w:val="single" w:sz="4" w:space="0" w:color="auto"/>
            </w:tcBorders>
            <w:shd w:val="clear" w:color="auto" w:fill="auto"/>
            <w:vAlign w:val="center"/>
            <w:hideMark/>
          </w:tcPr>
          <w:p w14:paraId="4701B454"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713,402.84</w:t>
            </w:r>
          </w:p>
        </w:tc>
        <w:tc>
          <w:tcPr>
            <w:tcW w:w="1760" w:type="dxa"/>
            <w:tcBorders>
              <w:top w:val="nil"/>
              <w:left w:val="nil"/>
              <w:bottom w:val="nil"/>
              <w:right w:val="single" w:sz="4" w:space="0" w:color="auto"/>
            </w:tcBorders>
            <w:shd w:val="clear" w:color="auto" w:fill="auto"/>
            <w:vAlign w:val="center"/>
            <w:hideMark/>
          </w:tcPr>
          <w:p w14:paraId="276FDB40"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117,266,048.16</w:t>
            </w:r>
          </w:p>
        </w:tc>
        <w:tc>
          <w:tcPr>
            <w:tcW w:w="1600" w:type="dxa"/>
            <w:tcBorders>
              <w:top w:val="nil"/>
              <w:left w:val="nil"/>
              <w:bottom w:val="nil"/>
              <w:right w:val="single" w:sz="4" w:space="0" w:color="auto"/>
            </w:tcBorders>
            <w:shd w:val="clear" w:color="auto" w:fill="auto"/>
            <w:vAlign w:val="center"/>
            <w:hideMark/>
          </w:tcPr>
          <w:p w14:paraId="093AECD6"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117,979,451.00</w:t>
            </w:r>
          </w:p>
        </w:tc>
      </w:tr>
      <w:tr w:rsidR="00695B74" w:rsidRPr="00695B74" w14:paraId="41101CA2" w14:textId="77777777" w:rsidTr="00B9270E">
        <w:trPr>
          <w:trHeight w:val="300"/>
        </w:trPr>
        <w:tc>
          <w:tcPr>
            <w:tcW w:w="5320" w:type="dxa"/>
            <w:tcBorders>
              <w:top w:val="nil"/>
              <w:left w:val="single" w:sz="4" w:space="0" w:color="auto"/>
              <w:bottom w:val="nil"/>
              <w:right w:val="single" w:sz="4" w:space="0" w:color="auto"/>
            </w:tcBorders>
            <w:shd w:val="clear" w:color="auto" w:fill="auto"/>
            <w:vAlign w:val="center"/>
            <w:hideMark/>
          </w:tcPr>
          <w:p w14:paraId="73B14C07" w14:textId="77777777" w:rsidR="00695B74" w:rsidRPr="00695B74" w:rsidRDefault="00695B74" w:rsidP="002F131C">
            <w:pPr>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val="es-MX" w:eastAsia="es-MX"/>
              </w:rPr>
              <w:t>Equipos de generación eléctrica, aparatos y accesorios eléctricos</w:t>
            </w:r>
          </w:p>
        </w:tc>
        <w:tc>
          <w:tcPr>
            <w:tcW w:w="1840" w:type="dxa"/>
            <w:tcBorders>
              <w:top w:val="nil"/>
              <w:left w:val="nil"/>
              <w:bottom w:val="nil"/>
              <w:right w:val="single" w:sz="4" w:space="0" w:color="auto"/>
            </w:tcBorders>
            <w:shd w:val="clear" w:color="auto" w:fill="auto"/>
            <w:vAlign w:val="center"/>
            <w:hideMark/>
          </w:tcPr>
          <w:p w14:paraId="73BEAFF0"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326,620.89</w:t>
            </w:r>
          </w:p>
        </w:tc>
        <w:tc>
          <w:tcPr>
            <w:tcW w:w="1760" w:type="dxa"/>
            <w:tcBorders>
              <w:top w:val="nil"/>
              <w:left w:val="nil"/>
              <w:bottom w:val="nil"/>
              <w:right w:val="single" w:sz="4" w:space="0" w:color="auto"/>
            </w:tcBorders>
            <w:shd w:val="clear" w:color="auto" w:fill="auto"/>
            <w:vAlign w:val="center"/>
            <w:hideMark/>
          </w:tcPr>
          <w:p w14:paraId="75706CB7"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18,542,560.34</w:t>
            </w:r>
          </w:p>
        </w:tc>
        <w:tc>
          <w:tcPr>
            <w:tcW w:w="1600" w:type="dxa"/>
            <w:tcBorders>
              <w:top w:val="nil"/>
              <w:left w:val="nil"/>
              <w:bottom w:val="nil"/>
              <w:right w:val="single" w:sz="4" w:space="0" w:color="auto"/>
            </w:tcBorders>
            <w:shd w:val="clear" w:color="auto" w:fill="auto"/>
            <w:vAlign w:val="center"/>
            <w:hideMark/>
          </w:tcPr>
          <w:p w14:paraId="7507A349"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18,869,181.20</w:t>
            </w:r>
          </w:p>
        </w:tc>
      </w:tr>
      <w:tr w:rsidR="00695B74" w:rsidRPr="00695B74" w14:paraId="1ABCC07E" w14:textId="77777777" w:rsidTr="00B9270E">
        <w:trPr>
          <w:trHeight w:val="300"/>
        </w:trPr>
        <w:tc>
          <w:tcPr>
            <w:tcW w:w="5320" w:type="dxa"/>
            <w:tcBorders>
              <w:top w:val="nil"/>
              <w:left w:val="single" w:sz="4" w:space="0" w:color="auto"/>
              <w:bottom w:val="nil"/>
              <w:right w:val="single" w:sz="4" w:space="0" w:color="auto"/>
            </w:tcBorders>
            <w:shd w:val="clear" w:color="auto" w:fill="auto"/>
            <w:vAlign w:val="center"/>
            <w:hideMark/>
          </w:tcPr>
          <w:p w14:paraId="22274919" w14:textId="77777777" w:rsidR="00695B74" w:rsidRPr="00695B74" w:rsidRDefault="00695B74" w:rsidP="002F131C">
            <w:pPr>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val="es-MX" w:eastAsia="es-MX"/>
              </w:rPr>
              <w:t>Herramientas y maquinas-herramientas</w:t>
            </w:r>
          </w:p>
        </w:tc>
        <w:tc>
          <w:tcPr>
            <w:tcW w:w="1840" w:type="dxa"/>
            <w:tcBorders>
              <w:top w:val="nil"/>
              <w:left w:val="nil"/>
              <w:bottom w:val="nil"/>
              <w:right w:val="single" w:sz="4" w:space="0" w:color="auto"/>
            </w:tcBorders>
            <w:shd w:val="clear" w:color="auto" w:fill="auto"/>
            <w:vAlign w:val="center"/>
            <w:hideMark/>
          </w:tcPr>
          <w:p w14:paraId="582BFA2E"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98,122.09</w:t>
            </w:r>
          </w:p>
        </w:tc>
        <w:tc>
          <w:tcPr>
            <w:tcW w:w="1760" w:type="dxa"/>
            <w:tcBorders>
              <w:top w:val="nil"/>
              <w:left w:val="nil"/>
              <w:bottom w:val="nil"/>
              <w:right w:val="single" w:sz="4" w:space="0" w:color="auto"/>
            </w:tcBorders>
            <w:shd w:val="clear" w:color="auto" w:fill="auto"/>
            <w:vAlign w:val="center"/>
            <w:hideMark/>
          </w:tcPr>
          <w:p w14:paraId="2A299619"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1,761,563.66</w:t>
            </w:r>
          </w:p>
        </w:tc>
        <w:tc>
          <w:tcPr>
            <w:tcW w:w="1600" w:type="dxa"/>
            <w:tcBorders>
              <w:top w:val="nil"/>
              <w:left w:val="nil"/>
              <w:bottom w:val="nil"/>
              <w:right w:val="single" w:sz="4" w:space="0" w:color="auto"/>
            </w:tcBorders>
            <w:shd w:val="clear" w:color="auto" w:fill="auto"/>
            <w:vAlign w:val="center"/>
            <w:hideMark/>
          </w:tcPr>
          <w:p w14:paraId="186FF954"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1,859,685.75</w:t>
            </w:r>
          </w:p>
        </w:tc>
      </w:tr>
      <w:tr w:rsidR="00695B74" w:rsidRPr="00695B74" w14:paraId="30FC8848" w14:textId="77777777" w:rsidTr="0056239F">
        <w:trPr>
          <w:trHeight w:val="163"/>
        </w:trPr>
        <w:tc>
          <w:tcPr>
            <w:tcW w:w="5320" w:type="dxa"/>
            <w:tcBorders>
              <w:top w:val="nil"/>
              <w:left w:val="single" w:sz="4" w:space="0" w:color="auto"/>
              <w:bottom w:val="nil"/>
              <w:right w:val="single" w:sz="4" w:space="0" w:color="auto"/>
            </w:tcBorders>
            <w:shd w:val="clear" w:color="auto" w:fill="auto"/>
            <w:vAlign w:val="center"/>
            <w:hideMark/>
          </w:tcPr>
          <w:p w14:paraId="5631655C" w14:textId="77777777" w:rsidR="00695B74" w:rsidRPr="00695B74" w:rsidRDefault="00695B74" w:rsidP="002F131C">
            <w:pPr>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val="es-MX" w:eastAsia="es-MX"/>
              </w:rPr>
              <w:t>Otros equipos</w:t>
            </w:r>
          </w:p>
        </w:tc>
        <w:tc>
          <w:tcPr>
            <w:tcW w:w="1840" w:type="dxa"/>
            <w:tcBorders>
              <w:top w:val="nil"/>
              <w:left w:val="nil"/>
              <w:bottom w:val="nil"/>
              <w:right w:val="single" w:sz="4" w:space="0" w:color="auto"/>
            </w:tcBorders>
            <w:shd w:val="clear" w:color="auto" w:fill="auto"/>
            <w:vAlign w:val="center"/>
            <w:hideMark/>
          </w:tcPr>
          <w:p w14:paraId="400A4E1E"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707,304.06</w:t>
            </w:r>
          </w:p>
        </w:tc>
        <w:tc>
          <w:tcPr>
            <w:tcW w:w="1760" w:type="dxa"/>
            <w:tcBorders>
              <w:top w:val="nil"/>
              <w:left w:val="nil"/>
              <w:bottom w:val="nil"/>
              <w:right w:val="single" w:sz="4" w:space="0" w:color="auto"/>
            </w:tcBorders>
            <w:shd w:val="clear" w:color="auto" w:fill="auto"/>
            <w:vAlign w:val="center"/>
            <w:hideMark/>
          </w:tcPr>
          <w:p w14:paraId="6663AA9D"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55,207,570.86</w:t>
            </w:r>
          </w:p>
        </w:tc>
        <w:tc>
          <w:tcPr>
            <w:tcW w:w="1600" w:type="dxa"/>
            <w:tcBorders>
              <w:top w:val="nil"/>
              <w:left w:val="nil"/>
              <w:bottom w:val="nil"/>
              <w:right w:val="single" w:sz="4" w:space="0" w:color="auto"/>
            </w:tcBorders>
            <w:shd w:val="clear" w:color="auto" w:fill="auto"/>
            <w:vAlign w:val="center"/>
            <w:hideMark/>
          </w:tcPr>
          <w:p w14:paraId="18954173"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55,914,874.90</w:t>
            </w:r>
          </w:p>
        </w:tc>
      </w:tr>
      <w:tr w:rsidR="00695B74" w:rsidRPr="00695B74" w14:paraId="062BAF25" w14:textId="77777777" w:rsidTr="00B9270E">
        <w:trPr>
          <w:trHeight w:val="30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63051223" w14:textId="77777777" w:rsidR="00695B74" w:rsidRPr="00695B74" w:rsidRDefault="00695B74" w:rsidP="002F131C">
            <w:pPr>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val="es-MX" w:eastAsia="es-MX"/>
              </w:rPr>
              <w:t>Total</w:t>
            </w:r>
          </w:p>
        </w:tc>
        <w:tc>
          <w:tcPr>
            <w:tcW w:w="1840" w:type="dxa"/>
            <w:tcBorders>
              <w:top w:val="nil"/>
              <w:left w:val="nil"/>
              <w:bottom w:val="single" w:sz="4" w:space="0" w:color="auto"/>
              <w:right w:val="single" w:sz="4" w:space="0" w:color="auto"/>
            </w:tcBorders>
            <w:shd w:val="clear" w:color="auto" w:fill="auto"/>
            <w:vAlign w:val="center"/>
            <w:hideMark/>
          </w:tcPr>
          <w:p w14:paraId="5495BCB4"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15,802,592.28</w:t>
            </w:r>
          </w:p>
        </w:tc>
        <w:tc>
          <w:tcPr>
            <w:tcW w:w="1760" w:type="dxa"/>
            <w:tcBorders>
              <w:top w:val="nil"/>
              <w:left w:val="nil"/>
              <w:bottom w:val="single" w:sz="4" w:space="0" w:color="auto"/>
              <w:right w:val="single" w:sz="4" w:space="0" w:color="auto"/>
            </w:tcBorders>
            <w:shd w:val="clear" w:color="auto" w:fill="auto"/>
            <w:vAlign w:val="center"/>
            <w:hideMark/>
          </w:tcPr>
          <w:p w14:paraId="0F752620"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1,207,979,891.37</w:t>
            </w:r>
          </w:p>
        </w:tc>
        <w:tc>
          <w:tcPr>
            <w:tcW w:w="1600" w:type="dxa"/>
            <w:tcBorders>
              <w:top w:val="nil"/>
              <w:left w:val="nil"/>
              <w:bottom w:val="single" w:sz="4" w:space="0" w:color="auto"/>
              <w:right w:val="single" w:sz="4" w:space="0" w:color="auto"/>
            </w:tcBorders>
            <w:shd w:val="clear" w:color="auto" w:fill="auto"/>
            <w:vAlign w:val="center"/>
            <w:hideMark/>
          </w:tcPr>
          <w:p w14:paraId="1C446036" w14:textId="77777777" w:rsidR="00695B74" w:rsidRPr="00695B74" w:rsidRDefault="00695B74" w:rsidP="002F131C">
            <w:pPr>
              <w:jc w:val="right"/>
              <w:rPr>
                <w:rFonts w:ascii="Montserrat Medium" w:eastAsia="Times New Roman" w:hAnsi="Montserrat Medium" w:cs="Calibri"/>
                <w:color w:val="000000"/>
                <w:sz w:val="18"/>
                <w:szCs w:val="18"/>
                <w:lang w:val="es-MX" w:eastAsia="es-MX"/>
              </w:rPr>
            </w:pPr>
            <w:r w:rsidRPr="00695B74">
              <w:rPr>
                <w:rFonts w:ascii="Montserrat Medium" w:eastAsia="Times New Roman" w:hAnsi="Montserrat Medium" w:cs="Calibri"/>
                <w:color w:val="000000"/>
                <w:sz w:val="18"/>
                <w:szCs w:val="18"/>
                <w:lang w:eastAsia="es-MX"/>
              </w:rPr>
              <w:t>1,223,782,483.65</w:t>
            </w:r>
          </w:p>
        </w:tc>
      </w:tr>
    </w:tbl>
    <w:p w14:paraId="6748568E" w14:textId="77777777" w:rsidR="0056239F" w:rsidRDefault="0056239F" w:rsidP="002F131C">
      <w:pPr>
        <w:rPr>
          <w:rFonts w:ascii="Montserrat Medium" w:eastAsia="Times New Roman" w:hAnsi="Montserrat Medium" w:cs="Arial"/>
          <w:b/>
          <w:iCs/>
          <w:color w:val="595959"/>
          <w:sz w:val="22"/>
        </w:rPr>
      </w:pPr>
    </w:p>
    <w:p w14:paraId="73B6A7DE" w14:textId="3130A948" w:rsidR="00CF6450" w:rsidRPr="00D56579" w:rsidRDefault="00CF6450" w:rsidP="002F131C">
      <w:pPr>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9</w:t>
      </w:r>
      <w:r w:rsidR="009E3086" w:rsidRPr="00D56579">
        <w:rPr>
          <w:rFonts w:ascii="Montserrat Medium" w:eastAsia="Times New Roman" w:hAnsi="Montserrat Medium" w:cs="Arial"/>
          <w:b/>
          <w:iCs/>
          <w:color w:val="595959"/>
          <w:sz w:val="22"/>
        </w:rPr>
        <w:t>.</w:t>
      </w:r>
      <w:r w:rsidRPr="00D56579">
        <w:rPr>
          <w:rFonts w:ascii="Montserrat Medium" w:eastAsia="Times New Roman" w:hAnsi="Montserrat Medium" w:cs="Arial"/>
          <w:b/>
          <w:iCs/>
          <w:color w:val="595959"/>
          <w:sz w:val="22"/>
        </w:rPr>
        <w:t xml:space="preserve"> Activos Intangibles</w:t>
      </w:r>
    </w:p>
    <w:p w14:paraId="4152D3C1" w14:textId="77777777" w:rsidR="00CF6450" w:rsidRPr="00D56579" w:rsidRDefault="00CF6450" w:rsidP="002F131C">
      <w:pPr>
        <w:jc w:val="both"/>
        <w:rPr>
          <w:rFonts w:ascii="Montserrat Medium" w:eastAsia="Times New Roman" w:hAnsi="Montserrat Medium" w:cs="Arial"/>
          <w:color w:val="595959"/>
          <w:sz w:val="22"/>
          <w:lang w:eastAsia="en-US"/>
        </w:rPr>
      </w:pPr>
    </w:p>
    <w:p w14:paraId="2192605E" w14:textId="20EEE46D" w:rsidR="00E85531" w:rsidRPr="00D56579" w:rsidRDefault="00E85531" w:rsidP="002F131C">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w:t>
      </w:r>
      <w:r w:rsidR="00695B74">
        <w:rPr>
          <w:rFonts w:ascii="Montserrat Medium" w:eastAsia="Times New Roman" w:hAnsi="Montserrat Medium" w:cs="Arial"/>
          <w:color w:val="595959"/>
          <w:sz w:val="22"/>
          <w:lang w:eastAsia="en-US"/>
        </w:rPr>
        <w:t>0</w:t>
      </w:r>
      <w:r w:rsidR="00A4586C" w:rsidRPr="00D56579">
        <w:rPr>
          <w:rFonts w:ascii="Montserrat Medium" w:eastAsia="Times New Roman" w:hAnsi="Montserrat Medium" w:cs="Arial"/>
          <w:color w:val="595959"/>
          <w:sz w:val="22"/>
          <w:lang w:eastAsia="en-US"/>
        </w:rPr>
        <w:t xml:space="preserve"> de </w:t>
      </w:r>
      <w:r w:rsidR="00695B74">
        <w:rPr>
          <w:rFonts w:ascii="Montserrat Medium" w:eastAsia="Times New Roman" w:hAnsi="Montserrat Medium" w:cs="Arial"/>
          <w:color w:val="595959"/>
          <w:sz w:val="22"/>
          <w:lang w:eastAsia="en-US"/>
        </w:rPr>
        <w:t>junio</w:t>
      </w:r>
      <w:r w:rsidR="00A4586C" w:rsidRPr="00D56579">
        <w:rPr>
          <w:rFonts w:ascii="Montserrat Medium" w:eastAsia="Times New Roman" w:hAnsi="Montserrat Medium" w:cs="Arial"/>
          <w:color w:val="595959"/>
          <w:sz w:val="22"/>
          <w:lang w:eastAsia="en-US"/>
        </w:rPr>
        <w:t xml:space="preserve"> de 202</w:t>
      </w:r>
      <w:r w:rsidR="00677156">
        <w:rPr>
          <w:rFonts w:ascii="Montserrat Medium" w:eastAsia="Times New Roman" w:hAnsi="Montserrat Medium" w:cs="Arial"/>
          <w:color w:val="595959"/>
          <w:sz w:val="22"/>
          <w:lang w:eastAsia="en-US"/>
        </w:rPr>
        <w:t>5</w:t>
      </w:r>
      <w:r w:rsidRPr="00D56579">
        <w:rPr>
          <w:rFonts w:ascii="Montserrat Medium" w:eastAsia="Times New Roman" w:hAnsi="Montserrat Medium" w:cs="Arial"/>
          <w:color w:val="595959"/>
          <w:sz w:val="22"/>
          <w:lang w:eastAsia="en-US"/>
        </w:rPr>
        <w:t xml:space="preserve"> est</w:t>
      </w:r>
      <w:r w:rsidR="004F7604" w:rsidRPr="00D56579">
        <w:rPr>
          <w:rFonts w:ascii="Montserrat Medium" w:eastAsia="Times New Roman" w:hAnsi="Montserrat Medium" w:cs="Arial"/>
          <w:color w:val="595959"/>
          <w:sz w:val="22"/>
          <w:lang w:eastAsia="en-US"/>
        </w:rPr>
        <w:t>e rubro represen</w:t>
      </w:r>
      <w:r w:rsidR="008A1C8E" w:rsidRPr="00D56579">
        <w:rPr>
          <w:rFonts w:ascii="Montserrat Medium" w:eastAsia="Times New Roman" w:hAnsi="Montserrat Medium" w:cs="Arial"/>
          <w:color w:val="595959"/>
          <w:sz w:val="22"/>
          <w:lang w:eastAsia="en-US"/>
        </w:rPr>
        <w:t xml:space="preserve">ta un total de </w:t>
      </w:r>
      <w:r w:rsidR="00677156">
        <w:rPr>
          <w:rFonts w:ascii="Montserrat Medium" w:eastAsia="Times New Roman" w:hAnsi="Montserrat Medium" w:cs="Arial"/>
          <w:color w:val="595959"/>
          <w:sz w:val="22"/>
          <w:lang w:eastAsia="en-US"/>
        </w:rPr>
        <w:t>83</w:t>
      </w:r>
      <w:r w:rsidR="00695B74">
        <w:rPr>
          <w:rFonts w:ascii="Montserrat Medium" w:eastAsia="Times New Roman" w:hAnsi="Montserrat Medium" w:cs="Arial"/>
          <w:color w:val="595959"/>
          <w:sz w:val="22"/>
          <w:lang w:eastAsia="en-US"/>
        </w:rPr>
        <w:t>8</w:t>
      </w:r>
      <w:proofErr w:type="gramStart"/>
      <w:r w:rsidR="00695B74">
        <w:rPr>
          <w:rFonts w:ascii="Montserrat Medium" w:eastAsia="Times New Roman" w:hAnsi="Montserrat Medium" w:cs="Arial"/>
          <w:color w:val="595959"/>
          <w:sz w:val="22"/>
          <w:lang w:eastAsia="en-US"/>
        </w:rPr>
        <w:t>,659,420.23</w:t>
      </w:r>
      <w:proofErr w:type="gramEnd"/>
      <w:r w:rsidR="008C25D8" w:rsidRPr="00D56579">
        <w:rPr>
          <w:rFonts w:ascii="Montserrat Medium" w:eastAsia="Times New Roman" w:hAnsi="Montserrat Medium" w:cs="Arial"/>
          <w:color w:val="595959"/>
          <w:sz w:val="22"/>
          <w:lang w:eastAsia="en-US"/>
        </w:rPr>
        <w:t>,</w:t>
      </w:r>
      <w:r w:rsidRPr="00D56579">
        <w:rPr>
          <w:rFonts w:ascii="Montserrat Medium" w:eastAsia="Times New Roman" w:hAnsi="Montserrat Medium" w:cs="Arial"/>
          <w:color w:val="595959"/>
          <w:sz w:val="22"/>
          <w:lang w:eastAsia="en-US"/>
        </w:rPr>
        <w:t xml:space="preserve"> se integra como sigue:</w:t>
      </w:r>
    </w:p>
    <w:p w14:paraId="0787B40B" w14:textId="77777777" w:rsidR="00CF6450" w:rsidRPr="00D56579" w:rsidRDefault="00CF6450" w:rsidP="002F131C">
      <w:pPr>
        <w:jc w:val="both"/>
        <w:rPr>
          <w:rFonts w:ascii="Montserrat Medium" w:eastAsia="Times New Roman" w:hAnsi="Montserrat Medium" w:cs="Arial"/>
          <w:color w:val="595959"/>
          <w:sz w:val="12"/>
          <w:szCs w:val="20"/>
          <w:lang w:eastAsia="en-US"/>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2268"/>
        <w:gridCol w:w="1689"/>
        <w:gridCol w:w="1689"/>
      </w:tblGrid>
      <w:tr w:rsidR="00677156" w:rsidRPr="00D56579" w14:paraId="78AA1AAF" w14:textId="3D012E89" w:rsidTr="006015CD">
        <w:trPr>
          <w:trHeight w:val="283"/>
          <w:jc w:val="center"/>
        </w:trPr>
        <w:tc>
          <w:tcPr>
            <w:tcW w:w="2268" w:type="dxa"/>
            <w:tcBorders>
              <w:top w:val="single" w:sz="4" w:space="0" w:color="auto"/>
              <w:bottom w:val="single" w:sz="4" w:space="0" w:color="auto"/>
            </w:tcBorders>
            <w:shd w:val="clear" w:color="auto" w:fill="BFBFBF" w:themeFill="background1" w:themeFillShade="BF"/>
            <w:vAlign w:val="center"/>
          </w:tcPr>
          <w:p w14:paraId="7C12BED1" w14:textId="77777777" w:rsidR="00677156" w:rsidRPr="00D56579" w:rsidRDefault="00677156" w:rsidP="002F131C">
            <w:pPr>
              <w:jc w:val="center"/>
              <w:rPr>
                <w:rFonts w:ascii="Montserrat Medium" w:eastAsia="Times New Roman" w:hAnsi="Montserrat Medium" w:cs="Arial"/>
                <w:sz w:val="18"/>
                <w:szCs w:val="18"/>
                <w:lang w:eastAsia="en-US"/>
              </w:rPr>
            </w:pPr>
            <w:r w:rsidRPr="00D56579">
              <w:rPr>
                <w:rFonts w:ascii="Montserrat Medium" w:eastAsia="Times New Roman" w:hAnsi="Montserrat Medium" w:cs="Arial"/>
                <w:b/>
                <w:sz w:val="18"/>
                <w:szCs w:val="18"/>
                <w:lang w:eastAsia="en-US"/>
              </w:rPr>
              <w:t>Concepto</w:t>
            </w:r>
          </w:p>
        </w:tc>
        <w:tc>
          <w:tcPr>
            <w:tcW w:w="1689" w:type="dxa"/>
            <w:tcBorders>
              <w:top w:val="single" w:sz="4" w:space="0" w:color="auto"/>
              <w:bottom w:val="single" w:sz="4" w:space="0" w:color="auto"/>
            </w:tcBorders>
            <w:shd w:val="clear" w:color="auto" w:fill="BFBFBF" w:themeFill="background1" w:themeFillShade="BF"/>
            <w:vAlign w:val="center"/>
          </w:tcPr>
          <w:p w14:paraId="762F5A4C" w14:textId="21B52CFA" w:rsidR="00677156" w:rsidRPr="00D56579" w:rsidRDefault="00677156" w:rsidP="002F131C">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Al 3</w:t>
            </w:r>
            <w:r w:rsidR="00695B74">
              <w:rPr>
                <w:rFonts w:ascii="Montserrat Medium" w:hAnsi="Montserrat Medium" w:cs="Calibri"/>
                <w:b/>
                <w:bCs/>
                <w:color w:val="000000"/>
                <w:sz w:val="18"/>
                <w:szCs w:val="18"/>
              </w:rPr>
              <w:t>0</w:t>
            </w:r>
            <w:r>
              <w:rPr>
                <w:rFonts w:ascii="Montserrat Medium" w:hAnsi="Montserrat Medium" w:cs="Calibri"/>
                <w:b/>
                <w:bCs/>
                <w:color w:val="000000"/>
                <w:sz w:val="18"/>
                <w:szCs w:val="18"/>
              </w:rPr>
              <w:t xml:space="preserve"> de </w:t>
            </w:r>
            <w:r w:rsidR="00695B74">
              <w:rPr>
                <w:rFonts w:ascii="Montserrat Medium" w:hAnsi="Montserrat Medium" w:cs="Calibri"/>
                <w:b/>
                <w:bCs/>
                <w:color w:val="000000"/>
                <w:sz w:val="18"/>
                <w:szCs w:val="18"/>
              </w:rPr>
              <w:t>Junio</w:t>
            </w:r>
            <w:r>
              <w:rPr>
                <w:rFonts w:ascii="Montserrat Medium" w:hAnsi="Montserrat Medium" w:cs="Calibri"/>
                <w:b/>
                <w:bCs/>
                <w:color w:val="000000"/>
                <w:sz w:val="18"/>
                <w:szCs w:val="18"/>
              </w:rPr>
              <w:t xml:space="preserve"> de 2025</w:t>
            </w:r>
          </w:p>
        </w:tc>
        <w:tc>
          <w:tcPr>
            <w:tcW w:w="1689" w:type="dxa"/>
            <w:tcBorders>
              <w:top w:val="single" w:sz="4" w:space="0" w:color="auto"/>
              <w:bottom w:val="single" w:sz="4" w:space="0" w:color="auto"/>
            </w:tcBorders>
            <w:shd w:val="clear" w:color="auto" w:fill="BFBFBF" w:themeFill="background1" w:themeFillShade="BF"/>
            <w:vAlign w:val="center"/>
          </w:tcPr>
          <w:p w14:paraId="71631D13" w14:textId="748EF536" w:rsidR="00677156" w:rsidRPr="00D56579" w:rsidRDefault="00677156" w:rsidP="002F131C">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2024</w:t>
            </w:r>
          </w:p>
        </w:tc>
      </w:tr>
      <w:tr w:rsidR="00695B74" w:rsidRPr="00D56579" w14:paraId="17B9E31A" w14:textId="025F63E8" w:rsidTr="00CF691F">
        <w:trPr>
          <w:trHeight w:val="255"/>
          <w:jc w:val="center"/>
        </w:trPr>
        <w:tc>
          <w:tcPr>
            <w:tcW w:w="2268" w:type="dxa"/>
            <w:tcBorders>
              <w:top w:val="single" w:sz="4" w:space="0" w:color="auto"/>
              <w:bottom w:val="nil"/>
            </w:tcBorders>
            <w:vAlign w:val="bottom"/>
          </w:tcPr>
          <w:p w14:paraId="30CEB1FF" w14:textId="77777777" w:rsidR="00695B74" w:rsidRPr="00D56579" w:rsidRDefault="00695B74" w:rsidP="002F131C">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Software</w:t>
            </w:r>
          </w:p>
        </w:tc>
        <w:tc>
          <w:tcPr>
            <w:tcW w:w="1689" w:type="dxa"/>
            <w:tcBorders>
              <w:top w:val="single" w:sz="4" w:space="0" w:color="auto"/>
              <w:bottom w:val="nil"/>
            </w:tcBorders>
            <w:vAlign w:val="center"/>
          </w:tcPr>
          <w:p w14:paraId="048F5862" w14:textId="0A41A476"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797,244,685.83</w:t>
            </w:r>
          </w:p>
        </w:tc>
        <w:tc>
          <w:tcPr>
            <w:tcW w:w="1689" w:type="dxa"/>
            <w:tcBorders>
              <w:top w:val="single" w:sz="4" w:space="0" w:color="auto"/>
              <w:bottom w:val="nil"/>
            </w:tcBorders>
            <w:vAlign w:val="center"/>
          </w:tcPr>
          <w:p w14:paraId="20887474" w14:textId="456D50CB"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794,979,940.11</w:t>
            </w:r>
          </w:p>
        </w:tc>
      </w:tr>
      <w:tr w:rsidR="00695B74" w:rsidRPr="00D56579" w14:paraId="30A53EA8" w14:textId="2DE85053" w:rsidTr="00CF691F">
        <w:trPr>
          <w:trHeight w:val="255"/>
          <w:jc w:val="center"/>
        </w:trPr>
        <w:tc>
          <w:tcPr>
            <w:tcW w:w="2268" w:type="dxa"/>
            <w:tcBorders>
              <w:top w:val="nil"/>
              <w:bottom w:val="single" w:sz="4" w:space="0" w:color="auto"/>
            </w:tcBorders>
            <w:vAlign w:val="bottom"/>
          </w:tcPr>
          <w:p w14:paraId="514A1132" w14:textId="77777777" w:rsidR="00695B74" w:rsidRPr="00D56579" w:rsidRDefault="00695B74" w:rsidP="002F131C">
            <w:pPr>
              <w:rPr>
                <w:rFonts w:ascii="Montserrat Medium" w:eastAsia="Times New Roman" w:hAnsi="Montserrat Medium" w:cs="Tahoma"/>
                <w:bCs/>
                <w:sz w:val="18"/>
                <w:szCs w:val="18"/>
                <w:lang w:eastAsia="en-US"/>
              </w:rPr>
            </w:pPr>
            <w:r w:rsidRPr="00D56579">
              <w:rPr>
                <w:rFonts w:ascii="Montserrat Medium" w:eastAsia="Times New Roman" w:hAnsi="Montserrat Medium" w:cs="Tahoma"/>
                <w:bCs/>
                <w:sz w:val="18"/>
                <w:szCs w:val="18"/>
                <w:lang w:eastAsia="en-US"/>
              </w:rPr>
              <w:t>Licencias</w:t>
            </w:r>
          </w:p>
        </w:tc>
        <w:tc>
          <w:tcPr>
            <w:tcW w:w="1689" w:type="dxa"/>
            <w:tcBorders>
              <w:top w:val="nil"/>
              <w:bottom w:val="single" w:sz="4" w:space="0" w:color="auto"/>
            </w:tcBorders>
            <w:vAlign w:val="center"/>
          </w:tcPr>
          <w:p w14:paraId="21828036" w14:textId="59FC60BB"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41,414,734.40</w:t>
            </w:r>
          </w:p>
        </w:tc>
        <w:tc>
          <w:tcPr>
            <w:tcW w:w="1689" w:type="dxa"/>
            <w:tcBorders>
              <w:top w:val="nil"/>
              <w:bottom w:val="single" w:sz="4" w:space="0" w:color="auto"/>
            </w:tcBorders>
            <w:vAlign w:val="center"/>
          </w:tcPr>
          <w:p w14:paraId="445E43E3" w14:textId="31DA7720" w:rsidR="00695B74" w:rsidRPr="00D56579" w:rsidRDefault="00695B74" w:rsidP="002F131C">
            <w:pPr>
              <w:jc w:val="right"/>
              <w:rPr>
                <w:rFonts w:ascii="Montserrat Medium" w:hAnsi="Montserrat Medium"/>
                <w:sz w:val="18"/>
                <w:szCs w:val="18"/>
              </w:rPr>
            </w:pPr>
            <w:r>
              <w:rPr>
                <w:rFonts w:ascii="Montserrat Medium" w:hAnsi="Montserrat Medium" w:cs="Calibri"/>
                <w:color w:val="000000"/>
                <w:sz w:val="18"/>
                <w:szCs w:val="18"/>
              </w:rPr>
              <w:t>25,062,944.25</w:t>
            </w:r>
          </w:p>
        </w:tc>
      </w:tr>
      <w:tr w:rsidR="00695B74" w:rsidRPr="00D56579" w14:paraId="1DF7CB76" w14:textId="6F5F3D18" w:rsidTr="00CF691F">
        <w:trPr>
          <w:trHeight w:val="70"/>
          <w:jc w:val="center"/>
        </w:trPr>
        <w:tc>
          <w:tcPr>
            <w:tcW w:w="2268" w:type="dxa"/>
            <w:tcBorders>
              <w:top w:val="single" w:sz="4" w:space="0" w:color="auto"/>
              <w:bottom w:val="single" w:sz="4" w:space="0" w:color="auto"/>
            </w:tcBorders>
            <w:vAlign w:val="bottom"/>
          </w:tcPr>
          <w:p w14:paraId="4E618FA4" w14:textId="77777777" w:rsidR="00695B74" w:rsidRPr="00D56579" w:rsidRDefault="00695B74" w:rsidP="002F131C">
            <w:pPr>
              <w:rPr>
                <w:rFonts w:ascii="Montserrat Medium" w:eastAsia="Times New Roman" w:hAnsi="Montserrat Medium" w:cs="Arial"/>
                <w:b/>
                <w:sz w:val="18"/>
                <w:szCs w:val="18"/>
                <w:lang w:eastAsia="en-US"/>
              </w:rPr>
            </w:pPr>
            <w:r w:rsidRPr="00D56579">
              <w:rPr>
                <w:rFonts w:ascii="Montserrat Medium" w:eastAsia="Times New Roman" w:hAnsi="Montserrat Medium" w:cs="Tahoma"/>
                <w:b/>
                <w:bCs/>
                <w:sz w:val="18"/>
                <w:szCs w:val="18"/>
                <w:lang w:eastAsia="en-US"/>
              </w:rPr>
              <w:t>Total</w:t>
            </w:r>
          </w:p>
        </w:tc>
        <w:tc>
          <w:tcPr>
            <w:tcW w:w="1689" w:type="dxa"/>
            <w:tcBorders>
              <w:top w:val="single" w:sz="4" w:space="0" w:color="auto"/>
              <w:bottom w:val="single" w:sz="4" w:space="0" w:color="auto"/>
            </w:tcBorders>
            <w:vAlign w:val="center"/>
          </w:tcPr>
          <w:p w14:paraId="0FD073E7" w14:textId="25F3ABC8" w:rsidR="00695B74" w:rsidRPr="00D56579" w:rsidRDefault="00695B74" w:rsidP="002F131C">
            <w:pPr>
              <w:jc w:val="right"/>
              <w:rPr>
                <w:rFonts w:ascii="Montserrat Medium" w:hAnsi="Montserrat Medium"/>
                <w:b/>
                <w:sz w:val="18"/>
                <w:szCs w:val="18"/>
              </w:rPr>
            </w:pPr>
            <w:r>
              <w:rPr>
                <w:rFonts w:ascii="Montserrat Medium" w:hAnsi="Montserrat Medium" w:cs="Calibri"/>
                <w:b/>
                <w:bCs/>
                <w:color w:val="000000"/>
                <w:sz w:val="18"/>
                <w:szCs w:val="18"/>
              </w:rPr>
              <w:t>838,659,420.23</w:t>
            </w:r>
          </w:p>
        </w:tc>
        <w:tc>
          <w:tcPr>
            <w:tcW w:w="1689" w:type="dxa"/>
            <w:tcBorders>
              <w:top w:val="single" w:sz="4" w:space="0" w:color="auto"/>
              <w:bottom w:val="single" w:sz="4" w:space="0" w:color="auto"/>
            </w:tcBorders>
            <w:vAlign w:val="center"/>
          </w:tcPr>
          <w:p w14:paraId="33B7B58F" w14:textId="5F1622DD" w:rsidR="00695B74" w:rsidRPr="00D56579" w:rsidRDefault="00695B74" w:rsidP="002F131C">
            <w:pPr>
              <w:jc w:val="right"/>
              <w:rPr>
                <w:rFonts w:ascii="Montserrat Medium" w:hAnsi="Montserrat Medium"/>
                <w:b/>
                <w:sz w:val="18"/>
                <w:szCs w:val="18"/>
              </w:rPr>
            </w:pPr>
            <w:r>
              <w:rPr>
                <w:rFonts w:ascii="Montserrat Medium" w:hAnsi="Montserrat Medium" w:cs="Calibri"/>
                <w:b/>
                <w:bCs/>
                <w:color w:val="000000"/>
                <w:sz w:val="18"/>
                <w:szCs w:val="18"/>
              </w:rPr>
              <w:t>820,042,884.36</w:t>
            </w:r>
          </w:p>
        </w:tc>
      </w:tr>
    </w:tbl>
    <w:p w14:paraId="07B20685" w14:textId="77777777" w:rsidR="009F37AB" w:rsidRDefault="009F37AB" w:rsidP="002F131C">
      <w:pPr>
        <w:rPr>
          <w:rFonts w:ascii="Montserrat Medium" w:eastAsia="Times New Roman" w:hAnsi="Montserrat Medium" w:cs="Arial"/>
          <w:b/>
          <w:iCs/>
          <w:color w:val="595959"/>
          <w:sz w:val="22"/>
        </w:rPr>
      </w:pPr>
    </w:p>
    <w:p w14:paraId="6916BF66" w14:textId="77777777" w:rsidR="00695B74" w:rsidRPr="00695B74" w:rsidRDefault="00695B74" w:rsidP="002F131C">
      <w:pPr>
        <w:rPr>
          <w:rFonts w:ascii="Montserrat Medium" w:eastAsia="Times New Roman" w:hAnsi="Montserrat Medium" w:cs="Arial"/>
          <w:iCs/>
          <w:color w:val="595959"/>
          <w:sz w:val="22"/>
        </w:rPr>
      </w:pPr>
      <w:r w:rsidRPr="00E5059A">
        <w:rPr>
          <w:rFonts w:ascii="Montserrat Medium" w:eastAsia="Times New Roman" w:hAnsi="Montserrat Medium" w:cs="Arial"/>
          <w:iCs/>
          <w:color w:val="595959"/>
          <w:sz w:val="22"/>
        </w:rPr>
        <w:t>La Depreciación al 30 de junio de 2025 se integra como sigue:</w:t>
      </w:r>
    </w:p>
    <w:p w14:paraId="28B992C8" w14:textId="77777777" w:rsidR="00695B74" w:rsidRPr="00695B74" w:rsidRDefault="00695B74" w:rsidP="002F131C">
      <w:pPr>
        <w:rPr>
          <w:rFonts w:ascii="Montserrat Medium" w:eastAsia="Times New Roman" w:hAnsi="Montserrat Medium" w:cs="Arial"/>
          <w:b/>
          <w:iCs/>
          <w:color w:val="595959"/>
          <w:sz w:val="22"/>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2268"/>
        <w:gridCol w:w="1689"/>
        <w:gridCol w:w="1689"/>
        <w:gridCol w:w="1689"/>
      </w:tblGrid>
      <w:tr w:rsidR="00695B74" w:rsidRPr="00695B74" w14:paraId="091273D0" w14:textId="77777777" w:rsidTr="00B9270E">
        <w:trPr>
          <w:trHeight w:val="283"/>
          <w:jc w:val="center"/>
        </w:trPr>
        <w:tc>
          <w:tcPr>
            <w:tcW w:w="2268" w:type="dxa"/>
            <w:tcBorders>
              <w:top w:val="single" w:sz="4" w:space="0" w:color="auto"/>
              <w:bottom w:val="single" w:sz="4" w:space="0" w:color="auto"/>
            </w:tcBorders>
            <w:shd w:val="clear" w:color="auto" w:fill="BFBFBF" w:themeFill="background1" w:themeFillShade="BF"/>
            <w:vAlign w:val="center"/>
          </w:tcPr>
          <w:p w14:paraId="7240DD9E" w14:textId="77777777" w:rsidR="00695B74" w:rsidRPr="00695B74" w:rsidRDefault="00695B74" w:rsidP="002F131C">
            <w:pPr>
              <w:jc w:val="center"/>
              <w:rPr>
                <w:rFonts w:ascii="Montserrat Medium" w:eastAsia="Times New Roman" w:hAnsi="Montserrat Medium" w:cs="Arial"/>
                <w:sz w:val="18"/>
                <w:szCs w:val="18"/>
                <w:lang w:eastAsia="en-US"/>
              </w:rPr>
            </w:pPr>
            <w:r w:rsidRPr="00695B74">
              <w:rPr>
                <w:rFonts w:ascii="Montserrat Medium" w:eastAsia="Times New Roman" w:hAnsi="Montserrat Medium" w:cs="Arial"/>
                <w:b/>
                <w:sz w:val="18"/>
                <w:szCs w:val="18"/>
                <w:lang w:eastAsia="en-US"/>
              </w:rPr>
              <w:t>Concepto</w:t>
            </w:r>
          </w:p>
        </w:tc>
        <w:tc>
          <w:tcPr>
            <w:tcW w:w="1689" w:type="dxa"/>
            <w:tcBorders>
              <w:top w:val="single" w:sz="4" w:space="0" w:color="auto"/>
              <w:bottom w:val="single" w:sz="4" w:space="0" w:color="auto"/>
            </w:tcBorders>
            <w:shd w:val="clear" w:color="auto" w:fill="BFBFBF" w:themeFill="background1" w:themeFillShade="BF"/>
            <w:vAlign w:val="center"/>
          </w:tcPr>
          <w:p w14:paraId="3D82E3DF" w14:textId="4F9E1651" w:rsidR="00695B74" w:rsidRPr="00695B74" w:rsidRDefault="00695B74" w:rsidP="002F131C">
            <w:pPr>
              <w:jc w:val="center"/>
              <w:rPr>
                <w:rFonts w:ascii="Montserrat Medium" w:eastAsia="Times New Roman" w:hAnsi="Montserrat Medium" w:cs="Arial"/>
                <w:b/>
                <w:sz w:val="18"/>
                <w:szCs w:val="18"/>
                <w:lang w:eastAsia="en-US"/>
              </w:rPr>
            </w:pPr>
            <w:r w:rsidRPr="00695B74">
              <w:rPr>
                <w:rFonts w:ascii="Montserrat Medium" w:hAnsi="Montserrat Medium" w:cs="Calibri"/>
                <w:b/>
                <w:bCs/>
                <w:color w:val="000000"/>
                <w:sz w:val="18"/>
                <w:szCs w:val="18"/>
              </w:rPr>
              <w:t>Al 3</w:t>
            </w:r>
            <w:r>
              <w:rPr>
                <w:rFonts w:ascii="Montserrat Medium" w:hAnsi="Montserrat Medium" w:cs="Calibri"/>
                <w:b/>
                <w:bCs/>
                <w:color w:val="000000"/>
                <w:sz w:val="18"/>
                <w:szCs w:val="18"/>
              </w:rPr>
              <w:t>0</w:t>
            </w:r>
            <w:r w:rsidRPr="00695B74">
              <w:rPr>
                <w:rFonts w:ascii="Montserrat Medium" w:hAnsi="Montserrat Medium" w:cs="Calibri"/>
                <w:b/>
                <w:bCs/>
                <w:color w:val="000000"/>
                <w:sz w:val="18"/>
                <w:szCs w:val="18"/>
              </w:rPr>
              <w:t xml:space="preserve"> de Junio de 2025</w:t>
            </w:r>
          </w:p>
        </w:tc>
        <w:tc>
          <w:tcPr>
            <w:tcW w:w="1689" w:type="dxa"/>
            <w:tcBorders>
              <w:top w:val="single" w:sz="4" w:space="0" w:color="auto"/>
              <w:bottom w:val="single" w:sz="4" w:space="0" w:color="auto"/>
            </w:tcBorders>
            <w:shd w:val="clear" w:color="auto" w:fill="BFBFBF" w:themeFill="background1" w:themeFillShade="BF"/>
            <w:vAlign w:val="center"/>
          </w:tcPr>
          <w:p w14:paraId="616CA406" w14:textId="77777777" w:rsidR="00695B74" w:rsidRPr="00695B74" w:rsidRDefault="00695B74" w:rsidP="002F131C">
            <w:pPr>
              <w:jc w:val="center"/>
              <w:rPr>
                <w:rFonts w:ascii="Montserrat Medium" w:eastAsia="Times New Roman" w:hAnsi="Montserrat Medium" w:cs="Arial"/>
                <w:b/>
                <w:sz w:val="18"/>
                <w:szCs w:val="18"/>
                <w:lang w:eastAsia="en-US"/>
              </w:rPr>
            </w:pPr>
            <w:r w:rsidRPr="00695B74">
              <w:rPr>
                <w:rFonts w:ascii="Montserrat Medium" w:hAnsi="Montserrat Medium" w:cs="Calibri"/>
                <w:b/>
                <w:bCs/>
                <w:color w:val="000000"/>
                <w:sz w:val="18"/>
                <w:szCs w:val="18"/>
              </w:rPr>
              <w:t>2024</w:t>
            </w:r>
          </w:p>
        </w:tc>
        <w:tc>
          <w:tcPr>
            <w:tcW w:w="1689" w:type="dxa"/>
            <w:tcBorders>
              <w:top w:val="single" w:sz="4" w:space="0" w:color="auto"/>
              <w:bottom w:val="single" w:sz="4" w:space="0" w:color="auto"/>
            </w:tcBorders>
            <w:shd w:val="clear" w:color="auto" w:fill="BFBFBF" w:themeFill="background1" w:themeFillShade="BF"/>
            <w:vAlign w:val="center"/>
          </w:tcPr>
          <w:p w14:paraId="1FDD54FF" w14:textId="77777777" w:rsidR="00695B74" w:rsidRPr="00695B74" w:rsidRDefault="00695B74" w:rsidP="002F131C">
            <w:pPr>
              <w:jc w:val="center"/>
              <w:rPr>
                <w:rFonts w:ascii="Montserrat Medium" w:hAnsi="Montserrat Medium" w:cs="Calibri"/>
                <w:b/>
                <w:bCs/>
                <w:color w:val="000000"/>
                <w:sz w:val="18"/>
                <w:szCs w:val="18"/>
              </w:rPr>
            </w:pPr>
            <w:r w:rsidRPr="00695B74">
              <w:rPr>
                <w:rFonts w:ascii="Montserrat Medium" w:hAnsi="Montserrat Medium" w:cs="Calibri"/>
                <w:b/>
                <w:bCs/>
                <w:color w:val="000000"/>
                <w:sz w:val="18"/>
                <w:szCs w:val="18"/>
              </w:rPr>
              <w:t>Total</w:t>
            </w:r>
          </w:p>
        </w:tc>
      </w:tr>
      <w:tr w:rsidR="00695B74" w:rsidRPr="00695B74" w14:paraId="7F5B0EBE" w14:textId="77777777" w:rsidTr="00B9270E">
        <w:trPr>
          <w:trHeight w:val="255"/>
          <w:jc w:val="center"/>
        </w:trPr>
        <w:tc>
          <w:tcPr>
            <w:tcW w:w="2268" w:type="dxa"/>
            <w:tcBorders>
              <w:top w:val="single" w:sz="4" w:space="0" w:color="auto"/>
              <w:bottom w:val="nil"/>
            </w:tcBorders>
            <w:vAlign w:val="bottom"/>
          </w:tcPr>
          <w:p w14:paraId="23F19661" w14:textId="77777777" w:rsidR="00695B74" w:rsidRPr="00695B74" w:rsidRDefault="00695B74" w:rsidP="002F131C">
            <w:pPr>
              <w:rPr>
                <w:rFonts w:ascii="Montserrat Medium" w:eastAsia="Times New Roman" w:hAnsi="Montserrat Medium" w:cs="Arial"/>
                <w:sz w:val="18"/>
                <w:szCs w:val="18"/>
                <w:lang w:eastAsia="en-US"/>
              </w:rPr>
            </w:pPr>
            <w:r w:rsidRPr="00695B74">
              <w:rPr>
                <w:rFonts w:ascii="Montserrat Medium" w:eastAsia="Times New Roman" w:hAnsi="Montserrat Medium" w:cs="Arial"/>
                <w:sz w:val="18"/>
                <w:szCs w:val="18"/>
                <w:lang w:eastAsia="en-US"/>
              </w:rPr>
              <w:t>Software</w:t>
            </w:r>
          </w:p>
        </w:tc>
        <w:tc>
          <w:tcPr>
            <w:tcW w:w="1689" w:type="dxa"/>
            <w:tcBorders>
              <w:top w:val="single" w:sz="4" w:space="0" w:color="auto"/>
              <w:bottom w:val="nil"/>
            </w:tcBorders>
            <w:vAlign w:val="center"/>
          </w:tcPr>
          <w:p w14:paraId="0622DA56" w14:textId="77777777" w:rsidR="00695B74" w:rsidRPr="00695B74" w:rsidRDefault="00695B74" w:rsidP="002F131C">
            <w:pPr>
              <w:jc w:val="right"/>
              <w:rPr>
                <w:rFonts w:ascii="Montserrat Medium" w:hAnsi="Montserrat Medium"/>
                <w:sz w:val="18"/>
                <w:szCs w:val="18"/>
              </w:rPr>
            </w:pPr>
            <w:r w:rsidRPr="00695B74">
              <w:rPr>
                <w:rFonts w:ascii="Montserrat Medium" w:hAnsi="Montserrat Medium" w:cs="Calibri"/>
                <w:color w:val="000000"/>
                <w:sz w:val="18"/>
                <w:szCs w:val="18"/>
              </w:rPr>
              <w:t>1,766,080.86</w:t>
            </w:r>
          </w:p>
        </w:tc>
        <w:tc>
          <w:tcPr>
            <w:tcW w:w="1689" w:type="dxa"/>
            <w:tcBorders>
              <w:top w:val="single" w:sz="4" w:space="0" w:color="auto"/>
              <w:bottom w:val="nil"/>
            </w:tcBorders>
            <w:vAlign w:val="center"/>
          </w:tcPr>
          <w:p w14:paraId="021ED995" w14:textId="77777777" w:rsidR="00695B74" w:rsidRPr="00695B74" w:rsidRDefault="00695B74" w:rsidP="002F131C">
            <w:pPr>
              <w:jc w:val="right"/>
              <w:rPr>
                <w:rFonts w:ascii="Montserrat Medium" w:hAnsi="Montserrat Medium"/>
                <w:sz w:val="18"/>
                <w:szCs w:val="18"/>
              </w:rPr>
            </w:pPr>
            <w:r w:rsidRPr="00695B74">
              <w:rPr>
                <w:rFonts w:ascii="Montserrat Medium" w:hAnsi="Montserrat Medium" w:cs="Calibri"/>
                <w:color w:val="000000"/>
                <w:sz w:val="18"/>
                <w:szCs w:val="18"/>
              </w:rPr>
              <w:t>751,760,164.88</w:t>
            </w:r>
          </w:p>
        </w:tc>
        <w:tc>
          <w:tcPr>
            <w:tcW w:w="1689" w:type="dxa"/>
            <w:tcBorders>
              <w:top w:val="single" w:sz="4" w:space="0" w:color="auto"/>
              <w:bottom w:val="nil"/>
            </w:tcBorders>
            <w:vAlign w:val="center"/>
          </w:tcPr>
          <w:p w14:paraId="748DCF6A" w14:textId="77777777" w:rsidR="00695B74" w:rsidRPr="00695B74" w:rsidRDefault="00695B74" w:rsidP="002F131C">
            <w:pPr>
              <w:jc w:val="right"/>
              <w:rPr>
                <w:rFonts w:ascii="Montserrat Medium" w:hAnsi="Montserrat Medium" w:cs="Calibri"/>
                <w:color w:val="000000"/>
                <w:sz w:val="18"/>
                <w:szCs w:val="18"/>
              </w:rPr>
            </w:pPr>
            <w:r w:rsidRPr="00695B74">
              <w:rPr>
                <w:rFonts w:ascii="Montserrat Medium" w:hAnsi="Montserrat Medium" w:cs="Calibri"/>
                <w:color w:val="000000"/>
                <w:sz w:val="18"/>
                <w:szCs w:val="18"/>
              </w:rPr>
              <w:t>753,526,245.74</w:t>
            </w:r>
          </w:p>
        </w:tc>
      </w:tr>
      <w:tr w:rsidR="00695B74" w:rsidRPr="00695B74" w14:paraId="4FFDD60D" w14:textId="77777777" w:rsidTr="00B9270E">
        <w:trPr>
          <w:trHeight w:val="255"/>
          <w:jc w:val="center"/>
        </w:trPr>
        <w:tc>
          <w:tcPr>
            <w:tcW w:w="2268" w:type="dxa"/>
            <w:tcBorders>
              <w:top w:val="nil"/>
              <w:bottom w:val="single" w:sz="4" w:space="0" w:color="auto"/>
            </w:tcBorders>
            <w:vAlign w:val="bottom"/>
          </w:tcPr>
          <w:p w14:paraId="63517BE4" w14:textId="77777777" w:rsidR="00695B74" w:rsidRPr="00695B74" w:rsidRDefault="00695B74" w:rsidP="002F131C">
            <w:pPr>
              <w:rPr>
                <w:rFonts w:ascii="Montserrat Medium" w:eastAsia="Times New Roman" w:hAnsi="Montserrat Medium" w:cs="Tahoma"/>
                <w:bCs/>
                <w:sz w:val="18"/>
                <w:szCs w:val="18"/>
                <w:lang w:eastAsia="en-US"/>
              </w:rPr>
            </w:pPr>
            <w:r w:rsidRPr="00695B74">
              <w:rPr>
                <w:rFonts w:ascii="Montserrat Medium" w:eastAsia="Times New Roman" w:hAnsi="Montserrat Medium" w:cs="Tahoma"/>
                <w:bCs/>
                <w:sz w:val="18"/>
                <w:szCs w:val="18"/>
                <w:lang w:eastAsia="en-US"/>
              </w:rPr>
              <w:t>Licencias</w:t>
            </w:r>
          </w:p>
        </w:tc>
        <w:tc>
          <w:tcPr>
            <w:tcW w:w="1689" w:type="dxa"/>
            <w:tcBorders>
              <w:top w:val="nil"/>
              <w:bottom w:val="single" w:sz="4" w:space="0" w:color="auto"/>
            </w:tcBorders>
            <w:vAlign w:val="center"/>
          </w:tcPr>
          <w:p w14:paraId="480AD72F" w14:textId="77777777" w:rsidR="00695B74" w:rsidRPr="00695B74" w:rsidRDefault="00695B74" w:rsidP="002F131C">
            <w:pPr>
              <w:jc w:val="right"/>
              <w:rPr>
                <w:rFonts w:ascii="Montserrat Medium" w:hAnsi="Montserrat Medium"/>
                <w:sz w:val="18"/>
                <w:szCs w:val="18"/>
              </w:rPr>
            </w:pPr>
            <w:r w:rsidRPr="00695B74">
              <w:rPr>
                <w:rFonts w:ascii="Montserrat Medium" w:hAnsi="Montserrat Medium" w:cs="Calibri"/>
                <w:color w:val="000000"/>
                <w:sz w:val="18"/>
                <w:szCs w:val="18"/>
              </w:rPr>
              <w:t>1,210,954.47</w:t>
            </w:r>
          </w:p>
        </w:tc>
        <w:tc>
          <w:tcPr>
            <w:tcW w:w="1689" w:type="dxa"/>
            <w:tcBorders>
              <w:top w:val="nil"/>
              <w:bottom w:val="single" w:sz="4" w:space="0" w:color="auto"/>
            </w:tcBorders>
            <w:vAlign w:val="center"/>
          </w:tcPr>
          <w:p w14:paraId="62EDFB7E" w14:textId="77777777" w:rsidR="00695B74" w:rsidRPr="00695B74" w:rsidRDefault="00695B74" w:rsidP="002F131C">
            <w:pPr>
              <w:jc w:val="right"/>
              <w:rPr>
                <w:rFonts w:ascii="Montserrat Medium" w:hAnsi="Montserrat Medium"/>
                <w:sz w:val="18"/>
                <w:szCs w:val="18"/>
              </w:rPr>
            </w:pPr>
            <w:r w:rsidRPr="00695B74">
              <w:rPr>
                <w:rFonts w:ascii="Montserrat Medium" w:hAnsi="Montserrat Medium" w:cs="Calibri"/>
                <w:color w:val="000000"/>
                <w:sz w:val="18"/>
                <w:szCs w:val="18"/>
              </w:rPr>
              <w:t>14,519,529.26</w:t>
            </w:r>
          </w:p>
        </w:tc>
        <w:tc>
          <w:tcPr>
            <w:tcW w:w="1689" w:type="dxa"/>
            <w:tcBorders>
              <w:top w:val="nil"/>
              <w:bottom w:val="single" w:sz="4" w:space="0" w:color="auto"/>
            </w:tcBorders>
            <w:vAlign w:val="center"/>
          </w:tcPr>
          <w:p w14:paraId="5ED5ED4F" w14:textId="77777777" w:rsidR="00695B74" w:rsidRPr="00695B74" w:rsidRDefault="00695B74" w:rsidP="002F131C">
            <w:pPr>
              <w:jc w:val="right"/>
              <w:rPr>
                <w:rFonts w:ascii="Montserrat Medium" w:hAnsi="Montserrat Medium" w:cs="Calibri"/>
                <w:color w:val="000000"/>
                <w:sz w:val="18"/>
                <w:szCs w:val="18"/>
              </w:rPr>
            </w:pPr>
            <w:r w:rsidRPr="00695B74">
              <w:rPr>
                <w:rFonts w:ascii="Montserrat Medium" w:hAnsi="Montserrat Medium" w:cs="Calibri"/>
                <w:color w:val="000000"/>
                <w:sz w:val="18"/>
                <w:szCs w:val="18"/>
              </w:rPr>
              <w:t>15,730,483.73</w:t>
            </w:r>
          </w:p>
        </w:tc>
      </w:tr>
      <w:tr w:rsidR="00695B74" w:rsidRPr="00D56579" w14:paraId="0BD29E25" w14:textId="77777777" w:rsidTr="00B9270E">
        <w:trPr>
          <w:trHeight w:val="70"/>
          <w:jc w:val="center"/>
        </w:trPr>
        <w:tc>
          <w:tcPr>
            <w:tcW w:w="2268" w:type="dxa"/>
            <w:tcBorders>
              <w:top w:val="single" w:sz="4" w:space="0" w:color="auto"/>
              <w:bottom w:val="single" w:sz="4" w:space="0" w:color="auto"/>
            </w:tcBorders>
            <w:vAlign w:val="bottom"/>
          </w:tcPr>
          <w:p w14:paraId="58098F35" w14:textId="77777777" w:rsidR="00695B74" w:rsidRPr="00695B74" w:rsidRDefault="00695B74" w:rsidP="002F131C">
            <w:pPr>
              <w:rPr>
                <w:rFonts w:ascii="Montserrat Medium" w:eastAsia="Times New Roman" w:hAnsi="Montserrat Medium" w:cs="Arial"/>
                <w:b/>
                <w:sz w:val="18"/>
                <w:szCs w:val="18"/>
                <w:lang w:eastAsia="en-US"/>
              </w:rPr>
            </w:pPr>
            <w:r w:rsidRPr="00695B74">
              <w:rPr>
                <w:rFonts w:ascii="Montserrat Medium" w:eastAsia="Times New Roman" w:hAnsi="Montserrat Medium" w:cs="Tahoma"/>
                <w:b/>
                <w:bCs/>
                <w:sz w:val="18"/>
                <w:szCs w:val="18"/>
                <w:lang w:eastAsia="en-US"/>
              </w:rPr>
              <w:t>Total</w:t>
            </w:r>
          </w:p>
        </w:tc>
        <w:tc>
          <w:tcPr>
            <w:tcW w:w="1689" w:type="dxa"/>
            <w:tcBorders>
              <w:top w:val="single" w:sz="4" w:space="0" w:color="auto"/>
              <w:bottom w:val="single" w:sz="4" w:space="0" w:color="auto"/>
            </w:tcBorders>
            <w:vAlign w:val="center"/>
          </w:tcPr>
          <w:p w14:paraId="01C7BFF8" w14:textId="77777777" w:rsidR="00695B74" w:rsidRPr="00695B74" w:rsidRDefault="00695B74" w:rsidP="002F131C">
            <w:pPr>
              <w:jc w:val="right"/>
              <w:rPr>
                <w:rFonts w:ascii="Montserrat Medium" w:hAnsi="Montserrat Medium"/>
                <w:b/>
                <w:sz w:val="18"/>
                <w:szCs w:val="18"/>
              </w:rPr>
            </w:pPr>
            <w:r w:rsidRPr="00695B74">
              <w:rPr>
                <w:rFonts w:ascii="Montserrat Medium" w:hAnsi="Montserrat Medium" w:cs="Calibri"/>
                <w:b/>
                <w:bCs/>
                <w:color w:val="000000"/>
                <w:sz w:val="18"/>
                <w:szCs w:val="18"/>
              </w:rPr>
              <w:t>2,977,035.33</w:t>
            </w:r>
          </w:p>
        </w:tc>
        <w:tc>
          <w:tcPr>
            <w:tcW w:w="1689" w:type="dxa"/>
            <w:tcBorders>
              <w:top w:val="single" w:sz="4" w:space="0" w:color="auto"/>
              <w:bottom w:val="single" w:sz="4" w:space="0" w:color="auto"/>
            </w:tcBorders>
            <w:vAlign w:val="center"/>
          </w:tcPr>
          <w:p w14:paraId="671C4D28" w14:textId="77777777" w:rsidR="00695B74" w:rsidRPr="00695B74" w:rsidRDefault="00695B74" w:rsidP="002F131C">
            <w:pPr>
              <w:jc w:val="right"/>
              <w:rPr>
                <w:rFonts w:ascii="Montserrat Medium" w:hAnsi="Montserrat Medium"/>
                <w:b/>
                <w:sz w:val="18"/>
                <w:szCs w:val="18"/>
              </w:rPr>
            </w:pPr>
            <w:r w:rsidRPr="00695B74">
              <w:rPr>
                <w:rFonts w:ascii="Montserrat Medium" w:hAnsi="Montserrat Medium" w:cs="Calibri"/>
                <w:b/>
                <w:bCs/>
                <w:color w:val="000000"/>
                <w:sz w:val="18"/>
                <w:szCs w:val="18"/>
              </w:rPr>
              <w:t>766,279,694.14</w:t>
            </w:r>
          </w:p>
        </w:tc>
        <w:tc>
          <w:tcPr>
            <w:tcW w:w="1689" w:type="dxa"/>
            <w:tcBorders>
              <w:top w:val="single" w:sz="4" w:space="0" w:color="auto"/>
              <w:bottom w:val="single" w:sz="4" w:space="0" w:color="auto"/>
            </w:tcBorders>
            <w:vAlign w:val="center"/>
          </w:tcPr>
          <w:p w14:paraId="43C8DCFD" w14:textId="77777777" w:rsidR="00695B74" w:rsidRPr="00695B74" w:rsidRDefault="00695B74" w:rsidP="002F131C">
            <w:pPr>
              <w:jc w:val="right"/>
              <w:rPr>
                <w:rFonts w:ascii="Montserrat Medium" w:hAnsi="Montserrat Medium" w:cs="Calibri"/>
                <w:b/>
                <w:bCs/>
                <w:color w:val="000000"/>
                <w:sz w:val="18"/>
                <w:szCs w:val="18"/>
              </w:rPr>
            </w:pPr>
            <w:r w:rsidRPr="00695B74">
              <w:rPr>
                <w:rFonts w:ascii="Montserrat Medium" w:hAnsi="Montserrat Medium" w:cs="Calibri"/>
                <w:b/>
                <w:bCs/>
                <w:color w:val="000000"/>
                <w:sz w:val="18"/>
                <w:szCs w:val="18"/>
              </w:rPr>
              <w:t>769,256,729.47</w:t>
            </w:r>
          </w:p>
        </w:tc>
      </w:tr>
    </w:tbl>
    <w:p w14:paraId="3E8B4145" w14:textId="77777777" w:rsidR="00695B74" w:rsidRDefault="00695B74" w:rsidP="002F131C">
      <w:pPr>
        <w:rPr>
          <w:rFonts w:ascii="Montserrat Medium" w:eastAsia="Times New Roman" w:hAnsi="Montserrat Medium" w:cs="Arial"/>
          <w:b/>
          <w:iCs/>
          <w:color w:val="595959"/>
          <w:sz w:val="22"/>
        </w:rPr>
      </w:pPr>
    </w:p>
    <w:p w14:paraId="43A9BFBD" w14:textId="0842FF72" w:rsidR="00C865C4" w:rsidRPr="00D56579" w:rsidRDefault="00CF6450" w:rsidP="002F131C">
      <w:pPr>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 xml:space="preserve">10. Estimaciones y Deterioros </w:t>
      </w:r>
    </w:p>
    <w:p w14:paraId="622D8ADA" w14:textId="77777777" w:rsidR="00D97982" w:rsidRPr="00D56579" w:rsidRDefault="00D97982" w:rsidP="002F131C">
      <w:pPr>
        <w:ind w:left="708" w:hanging="282"/>
        <w:rPr>
          <w:rFonts w:ascii="Montserrat Medium" w:eastAsia="Times New Roman" w:hAnsi="Montserrat Medium" w:cs="Arial"/>
          <w:b/>
          <w:iCs/>
          <w:color w:val="595959"/>
          <w:sz w:val="22"/>
        </w:rPr>
      </w:pPr>
    </w:p>
    <w:p w14:paraId="0834BB32" w14:textId="428E454A" w:rsidR="00CF6450" w:rsidRPr="00D56579" w:rsidRDefault="00D10602" w:rsidP="002F131C">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w:t>
      </w:r>
      <w:r w:rsidR="00B9270E">
        <w:rPr>
          <w:rFonts w:ascii="Montserrat Medium" w:eastAsia="Times New Roman" w:hAnsi="Montserrat Medium" w:cs="Arial"/>
          <w:color w:val="595959"/>
          <w:sz w:val="22"/>
          <w:lang w:eastAsia="en-US"/>
        </w:rPr>
        <w:t>0</w:t>
      </w:r>
      <w:r w:rsidR="00A4586C" w:rsidRPr="00D56579">
        <w:rPr>
          <w:rFonts w:ascii="Montserrat Medium" w:eastAsia="Times New Roman" w:hAnsi="Montserrat Medium" w:cs="Arial"/>
          <w:color w:val="595959"/>
          <w:sz w:val="22"/>
          <w:lang w:eastAsia="en-US"/>
        </w:rPr>
        <w:t xml:space="preserve"> de </w:t>
      </w:r>
      <w:r w:rsidR="00B9270E">
        <w:rPr>
          <w:rFonts w:ascii="Montserrat Medium" w:eastAsia="Times New Roman" w:hAnsi="Montserrat Medium" w:cs="Arial"/>
          <w:color w:val="595959"/>
          <w:sz w:val="22"/>
          <w:lang w:eastAsia="en-US"/>
        </w:rPr>
        <w:t>junio</w:t>
      </w:r>
      <w:r w:rsidR="00A4586C" w:rsidRPr="00D56579">
        <w:rPr>
          <w:rFonts w:ascii="Montserrat Medium" w:eastAsia="Times New Roman" w:hAnsi="Montserrat Medium" w:cs="Arial"/>
          <w:color w:val="595959"/>
          <w:sz w:val="22"/>
          <w:lang w:eastAsia="en-US"/>
        </w:rPr>
        <w:t xml:space="preserve"> de 202</w:t>
      </w:r>
      <w:r w:rsidR="00677156">
        <w:rPr>
          <w:rFonts w:ascii="Montserrat Medium" w:eastAsia="Times New Roman" w:hAnsi="Montserrat Medium" w:cs="Arial"/>
          <w:color w:val="595959"/>
          <w:sz w:val="22"/>
          <w:lang w:eastAsia="en-US"/>
        </w:rPr>
        <w:t>5</w:t>
      </w:r>
      <w:r w:rsidRPr="00D56579">
        <w:rPr>
          <w:rFonts w:ascii="Montserrat Medium" w:eastAsia="Times New Roman" w:hAnsi="Montserrat Medium" w:cs="Arial"/>
          <w:color w:val="595959"/>
          <w:sz w:val="22"/>
          <w:lang w:eastAsia="en-US"/>
        </w:rPr>
        <w:t xml:space="preserve"> no existen registros de estimaciones y deterioros.</w:t>
      </w:r>
    </w:p>
    <w:p w14:paraId="118C01C0" w14:textId="77777777" w:rsidR="005B5ECE" w:rsidRPr="00D56579" w:rsidRDefault="005B5ECE" w:rsidP="002F131C">
      <w:pPr>
        <w:rPr>
          <w:rFonts w:ascii="Montserrat Medium" w:eastAsia="Times New Roman" w:hAnsi="Montserrat Medium" w:cs="Arial"/>
          <w:b/>
          <w:iCs/>
          <w:color w:val="595959"/>
          <w:sz w:val="22"/>
        </w:rPr>
      </w:pPr>
    </w:p>
    <w:p w14:paraId="53319C87" w14:textId="77777777" w:rsidR="00CF6450" w:rsidRPr="00D56579" w:rsidRDefault="00CF6450" w:rsidP="002F131C">
      <w:pPr>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11</w:t>
      </w:r>
      <w:r w:rsidR="009E3086" w:rsidRPr="00D56579">
        <w:rPr>
          <w:rFonts w:ascii="Montserrat Medium" w:eastAsia="Times New Roman" w:hAnsi="Montserrat Medium" w:cs="Arial"/>
          <w:b/>
          <w:iCs/>
          <w:color w:val="595959"/>
          <w:sz w:val="22"/>
        </w:rPr>
        <w:t>.</w:t>
      </w:r>
      <w:r w:rsidRPr="00D56579">
        <w:rPr>
          <w:rFonts w:ascii="Montserrat Medium" w:eastAsia="Times New Roman" w:hAnsi="Montserrat Medium" w:cs="Arial"/>
          <w:b/>
          <w:iCs/>
          <w:color w:val="595959"/>
          <w:sz w:val="22"/>
        </w:rPr>
        <w:t xml:space="preserve"> Otros Activos</w:t>
      </w:r>
    </w:p>
    <w:p w14:paraId="314ECD52" w14:textId="77777777" w:rsidR="00C865C4" w:rsidRPr="00D56579" w:rsidRDefault="00C865C4" w:rsidP="002F131C">
      <w:pPr>
        <w:keepNext/>
        <w:keepLines/>
        <w:jc w:val="both"/>
        <w:outlineLvl w:val="6"/>
        <w:rPr>
          <w:rFonts w:ascii="Montserrat Medium" w:eastAsia="Times New Roman" w:hAnsi="Montserrat Medium" w:cs="Arial"/>
          <w:b/>
          <w:iCs/>
          <w:color w:val="595959"/>
          <w:sz w:val="22"/>
        </w:rPr>
      </w:pPr>
    </w:p>
    <w:p w14:paraId="5835BD9B" w14:textId="46BE00C4" w:rsidR="00DE40DB" w:rsidRDefault="00B9270E" w:rsidP="002F131C">
      <w:pPr>
        <w:rPr>
          <w:rFonts w:ascii="Montserrat Medium" w:eastAsia="Times New Roman" w:hAnsi="Montserrat Medium" w:cs="Arial"/>
          <w:b/>
          <w:iCs/>
          <w:color w:val="595959"/>
          <w:sz w:val="22"/>
        </w:rPr>
      </w:pPr>
      <w:r w:rsidRPr="00B9270E">
        <w:rPr>
          <w:rFonts w:ascii="Montserrat Medium" w:eastAsia="Times New Roman" w:hAnsi="Montserrat Medium" w:cs="Arial"/>
          <w:color w:val="595959"/>
          <w:sz w:val="22"/>
          <w:lang w:eastAsia="en-US"/>
        </w:rPr>
        <w:t>Representa el monto de los bienes muebles dados en comodato, por lo que al 30 de junio de 2025, su saldo es de 5</w:t>
      </w:r>
      <w:proofErr w:type="gramStart"/>
      <w:r w:rsidRPr="00B9270E">
        <w:rPr>
          <w:rFonts w:ascii="Montserrat Medium" w:eastAsia="Times New Roman" w:hAnsi="Montserrat Medium" w:cs="Arial"/>
          <w:color w:val="595959"/>
          <w:sz w:val="22"/>
          <w:lang w:eastAsia="en-US"/>
        </w:rPr>
        <w:t>,454,800.67</w:t>
      </w:r>
      <w:proofErr w:type="gramEnd"/>
    </w:p>
    <w:p w14:paraId="103103D3" w14:textId="77777777" w:rsidR="00257A6B" w:rsidRDefault="00257A6B" w:rsidP="002F131C">
      <w:pPr>
        <w:rPr>
          <w:rFonts w:ascii="Montserrat Medium" w:eastAsia="Times New Roman" w:hAnsi="Montserrat Medium" w:cs="Arial"/>
          <w:b/>
          <w:iCs/>
          <w:color w:val="595959"/>
          <w:sz w:val="22"/>
        </w:rPr>
      </w:pPr>
    </w:p>
    <w:p w14:paraId="46D5E0B3" w14:textId="74EB4B72" w:rsidR="00D97982" w:rsidRPr="000A66EE" w:rsidRDefault="00A279DB" w:rsidP="002F131C">
      <w:pPr>
        <w:keepNext/>
        <w:keepLines/>
        <w:jc w:val="both"/>
        <w:outlineLvl w:val="6"/>
        <w:rPr>
          <w:rFonts w:ascii="Montserrat Medium" w:eastAsia="Times New Roman" w:hAnsi="Montserrat Medium" w:cs="Arial"/>
          <w:b/>
          <w:iCs/>
          <w:color w:val="595959"/>
          <w:sz w:val="22"/>
        </w:rPr>
      </w:pPr>
      <w:r w:rsidRPr="000A66EE">
        <w:rPr>
          <w:rFonts w:ascii="Montserrat Medium" w:eastAsia="Times New Roman" w:hAnsi="Montserrat Medium" w:cs="Arial"/>
          <w:b/>
          <w:iCs/>
          <w:color w:val="595959"/>
          <w:sz w:val="22"/>
        </w:rPr>
        <w:t>Pasivo</w:t>
      </w:r>
    </w:p>
    <w:p w14:paraId="63961859" w14:textId="77777777" w:rsidR="00257A6B" w:rsidRPr="000A66EE" w:rsidRDefault="00257A6B" w:rsidP="002F131C">
      <w:pPr>
        <w:keepNext/>
        <w:keepLines/>
        <w:jc w:val="both"/>
        <w:outlineLvl w:val="6"/>
        <w:rPr>
          <w:rFonts w:ascii="Montserrat Medium" w:eastAsia="Times New Roman" w:hAnsi="Montserrat Medium" w:cs="Arial"/>
          <w:b/>
          <w:iCs/>
          <w:color w:val="595959"/>
          <w:sz w:val="22"/>
        </w:rPr>
      </w:pPr>
    </w:p>
    <w:p w14:paraId="161A17F5" w14:textId="65BCE19E" w:rsidR="001E3866" w:rsidRPr="000A66EE" w:rsidRDefault="005B5383" w:rsidP="002F131C">
      <w:pPr>
        <w:keepNext/>
        <w:keepLines/>
        <w:jc w:val="both"/>
        <w:outlineLvl w:val="6"/>
        <w:rPr>
          <w:rFonts w:ascii="Montserrat Medium" w:eastAsia="Times New Roman" w:hAnsi="Montserrat Medium" w:cs="Arial"/>
          <w:b/>
          <w:iCs/>
          <w:color w:val="595959"/>
          <w:sz w:val="22"/>
        </w:rPr>
      </w:pPr>
      <w:r w:rsidRPr="000A66EE">
        <w:rPr>
          <w:rFonts w:ascii="Montserrat Medium" w:eastAsia="Times New Roman" w:hAnsi="Montserrat Medium" w:cs="Arial"/>
          <w:b/>
          <w:iCs/>
          <w:color w:val="595959"/>
          <w:sz w:val="22"/>
        </w:rPr>
        <w:t>1</w:t>
      </w:r>
      <w:r w:rsidR="00CF6450" w:rsidRPr="000A66EE">
        <w:rPr>
          <w:rFonts w:ascii="Montserrat Medium" w:eastAsia="Times New Roman" w:hAnsi="Montserrat Medium" w:cs="Arial"/>
          <w:b/>
          <w:iCs/>
          <w:color w:val="595959"/>
          <w:sz w:val="22"/>
        </w:rPr>
        <w:t>.</w:t>
      </w:r>
      <w:r w:rsidRPr="000A66EE">
        <w:rPr>
          <w:rFonts w:ascii="Montserrat Medium" w:eastAsia="Times New Roman" w:hAnsi="Montserrat Medium" w:cs="Arial"/>
          <w:b/>
          <w:iCs/>
          <w:color w:val="595959"/>
          <w:sz w:val="22"/>
        </w:rPr>
        <w:t xml:space="preserve"> </w:t>
      </w:r>
      <w:r w:rsidR="001E3866" w:rsidRPr="000A66EE">
        <w:rPr>
          <w:rFonts w:ascii="Montserrat Medium" w:eastAsia="Times New Roman" w:hAnsi="Montserrat Medium" w:cs="Arial"/>
          <w:b/>
          <w:iCs/>
          <w:color w:val="595959"/>
          <w:sz w:val="22"/>
        </w:rPr>
        <w:t xml:space="preserve">Cuentas </w:t>
      </w:r>
      <w:r w:rsidR="00CF6450" w:rsidRPr="000A66EE">
        <w:rPr>
          <w:rFonts w:ascii="Montserrat Medium" w:eastAsia="Times New Roman" w:hAnsi="Montserrat Medium" w:cs="Arial"/>
          <w:b/>
          <w:iCs/>
          <w:color w:val="595959"/>
          <w:sz w:val="22"/>
        </w:rPr>
        <w:t xml:space="preserve">y documentos </w:t>
      </w:r>
      <w:r w:rsidR="001E3866" w:rsidRPr="000A66EE">
        <w:rPr>
          <w:rFonts w:ascii="Montserrat Medium" w:eastAsia="Times New Roman" w:hAnsi="Montserrat Medium" w:cs="Arial"/>
          <w:b/>
          <w:iCs/>
          <w:color w:val="595959"/>
          <w:sz w:val="22"/>
        </w:rPr>
        <w:t>por Pagar</w:t>
      </w:r>
      <w:r w:rsidR="00CF6450" w:rsidRPr="000A66EE">
        <w:rPr>
          <w:rFonts w:ascii="Montserrat Medium" w:eastAsia="Times New Roman" w:hAnsi="Montserrat Medium" w:cs="Arial"/>
          <w:b/>
          <w:iCs/>
          <w:color w:val="595959"/>
          <w:sz w:val="22"/>
        </w:rPr>
        <w:t xml:space="preserve"> </w:t>
      </w:r>
    </w:p>
    <w:p w14:paraId="0215DF2F" w14:textId="77777777" w:rsidR="001E3866" w:rsidRPr="000A66EE" w:rsidRDefault="001E3866" w:rsidP="002F131C">
      <w:pPr>
        <w:ind w:firstLine="567"/>
        <w:jc w:val="both"/>
        <w:rPr>
          <w:rFonts w:ascii="Montserrat Medium" w:eastAsia="Times New Roman" w:hAnsi="Montserrat Medium" w:cs="Arial"/>
          <w:color w:val="595959"/>
          <w:sz w:val="22"/>
          <w:lang w:eastAsia="en-US"/>
        </w:rPr>
      </w:pPr>
    </w:p>
    <w:p w14:paraId="1C1FC500" w14:textId="2A643870" w:rsidR="00EB48CC" w:rsidRPr="000A66EE" w:rsidRDefault="00A279DB" w:rsidP="002F131C">
      <w:pPr>
        <w:jc w:val="both"/>
        <w:rPr>
          <w:rFonts w:ascii="Montserrat Medium" w:eastAsia="Times New Roman" w:hAnsi="Montserrat Medium" w:cs="Arial"/>
          <w:color w:val="595959"/>
          <w:sz w:val="22"/>
          <w:lang w:eastAsia="en-US"/>
        </w:rPr>
      </w:pPr>
      <w:r w:rsidRPr="000A66EE">
        <w:rPr>
          <w:rFonts w:ascii="Montserrat Medium" w:eastAsia="Times New Roman" w:hAnsi="Montserrat Medium" w:cs="Arial"/>
          <w:color w:val="595959"/>
          <w:sz w:val="22"/>
          <w:lang w:eastAsia="en-US"/>
        </w:rPr>
        <w:t>Representa</w:t>
      </w:r>
      <w:r w:rsidR="001E3866" w:rsidRPr="000A66EE">
        <w:rPr>
          <w:rFonts w:ascii="Montserrat Medium" w:eastAsia="Times New Roman" w:hAnsi="Montserrat Medium" w:cs="Arial"/>
          <w:color w:val="595959"/>
          <w:sz w:val="22"/>
          <w:lang w:eastAsia="en-US"/>
        </w:rPr>
        <w:t xml:space="preserve"> el monto de los adeudos del ente público </w:t>
      </w:r>
      <w:r w:rsidR="000901FA" w:rsidRPr="000A66EE">
        <w:rPr>
          <w:rFonts w:ascii="Montserrat Medium" w:eastAsia="Times New Roman" w:hAnsi="Montserrat Medium" w:cs="Arial"/>
          <w:color w:val="595959"/>
          <w:sz w:val="22"/>
          <w:lang w:eastAsia="en-US"/>
        </w:rPr>
        <w:t>a</w:t>
      </w:r>
      <w:r w:rsidR="00A4586C" w:rsidRPr="000A66EE">
        <w:rPr>
          <w:rFonts w:ascii="Montserrat Medium" w:eastAsia="Times New Roman" w:hAnsi="Montserrat Medium" w:cs="Arial"/>
          <w:color w:val="595959"/>
          <w:sz w:val="22"/>
          <w:lang w:eastAsia="en-US"/>
        </w:rPr>
        <w:t>l 3</w:t>
      </w:r>
      <w:r w:rsidR="00B9270E">
        <w:rPr>
          <w:rFonts w:ascii="Montserrat Medium" w:eastAsia="Times New Roman" w:hAnsi="Montserrat Medium" w:cs="Arial"/>
          <w:color w:val="595959"/>
          <w:sz w:val="22"/>
          <w:lang w:eastAsia="en-US"/>
        </w:rPr>
        <w:t>0</w:t>
      </w:r>
      <w:r w:rsidR="00A4586C" w:rsidRPr="000A66EE">
        <w:rPr>
          <w:rFonts w:ascii="Montserrat Medium" w:eastAsia="Times New Roman" w:hAnsi="Montserrat Medium" w:cs="Arial"/>
          <w:color w:val="595959"/>
          <w:sz w:val="22"/>
          <w:lang w:eastAsia="en-US"/>
        </w:rPr>
        <w:t xml:space="preserve"> de </w:t>
      </w:r>
      <w:r w:rsidR="00B9270E">
        <w:rPr>
          <w:rFonts w:ascii="Montserrat Medium" w:eastAsia="Times New Roman" w:hAnsi="Montserrat Medium" w:cs="Arial"/>
          <w:color w:val="595959"/>
          <w:sz w:val="22"/>
          <w:lang w:eastAsia="en-US"/>
        </w:rPr>
        <w:t>junio</w:t>
      </w:r>
      <w:r w:rsidR="00A4586C" w:rsidRPr="000A66EE">
        <w:rPr>
          <w:rFonts w:ascii="Montserrat Medium" w:eastAsia="Times New Roman" w:hAnsi="Montserrat Medium" w:cs="Arial"/>
          <w:color w:val="595959"/>
          <w:sz w:val="22"/>
          <w:lang w:eastAsia="en-US"/>
        </w:rPr>
        <w:t xml:space="preserve"> de 202</w:t>
      </w:r>
      <w:r w:rsidR="000A66EE" w:rsidRPr="000A66EE">
        <w:rPr>
          <w:rFonts w:ascii="Montserrat Medium" w:eastAsia="Times New Roman" w:hAnsi="Montserrat Medium" w:cs="Arial"/>
          <w:color w:val="595959"/>
          <w:sz w:val="22"/>
          <w:lang w:eastAsia="en-US"/>
        </w:rPr>
        <w:t>5</w:t>
      </w:r>
      <w:r w:rsidR="00D73B96" w:rsidRPr="000A66EE">
        <w:rPr>
          <w:rFonts w:ascii="Montserrat Medium" w:eastAsia="Times New Roman" w:hAnsi="Montserrat Medium" w:cs="Arial"/>
          <w:color w:val="595959"/>
          <w:sz w:val="22"/>
          <w:lang w:eastAsia="en-US"/>
        </w:rPr>
        <w:t xml:space="preserve">, </w:t>
      </w:r>
      <w:r w:rsidR="001E3866" w:rsidRPr="000A66EE">
        <w:rPr>
          <w:rFonts w:ascii="Montserrat Medium" w:eastAsia="Times New Roman" w:hAnsi="Montserrat Medium" w:cs="Arial"/>
          <w:color w:val="595959"/>
          <w:sz w:val="22"/>
          <w:lang w:eastAsia="en-US"/>
        </w:rPr>
        <w:t>que deberá pagar en un p</w:t>
      </w:r>
      <w:r w:rsidR="009D646D" w:rsidRPr="000A66EE">
        <w:rPr>
          <w:rFonts w:ascii="Montserrat Medium" w:eastAsia="Times New Roman" w:hAnsi="Montserrat Medium" w:cs="Arial"/>
          <w:color w:val="595959"/>
          <w:sz w:val="22"/>
          <w:lang w:eastAsia="en-US"/>
        </w:rPr>
        <w:t>lazo menor o igual a doce meses y está integrado de la siguiente manera:</w:t>
      </w:r>
    </w:p>
    <w:p w14:paraId="5C901F90" w14:textId="77777777" w:rsidR="006F69A8" w:rsidRPr="000A66EE" w:rsidRDefault="006F69A8" w:rsidP="002F131C">
      <w:pPr>
        <w:jc w:val="both"/>
        <w:rPr>
          <w:rFonts w:ascii="Montserrat Medium" w:eastAsia="Times New Roman" w:hAnsi="Montserrat Medium" w:cs="Arial"/>
          <w:color w:val="595959"/>
          <w:lang w:eastAsia="en-US"/>
        </w:rPr>
      </w:pPr>
    </w:p>
    <w:tbl>
      <w:tblPr>
        <w:tblW w:w="10003" w:type="dxa"/>
        <w:jc w:val="center"/>
        <w:tblLayout w:type="fixed"/>
        <w:tblCellMar>
          <w:left w:w="70" w:type="dxa"/>
          <w:right w:w="70" w:type="dxa"/>
        </w:tblCellMar>
        <w:tblLook w:val="04A0" w:firstRow="1" w:lastRow="0" w:firstColumn="1" w:lastColumn="0" w:noHBand="0" w:noVBand="1"/>
      </w:tblPr>
      <w:tblGrid>
        <w:gridCol w:w="3472"/>
        <w:gridCol w:w="1273"/>
        <w:gridCol w:w="1276"/>
        <w:gridCol w:w="1258"/>
        <w:gridCol w:w="1285"/>
        <w:gridCol w:w="1439"/>
      </w:tblGrid>
      <w:tr w:rsidR="00E242CA" w:rsidRPr="000A66EE" w14:paraId="5519713F" w14:textId="77777777" w:rsidTr="006015CD">
        <w:trPr>
          <w:trHeight w:hRule="exact" w:val="493"/>
          <w:tblHeader/>
          <w:jc w:val="center"/>
        </w:trPr>
        <w:tc>
          <w:tcPr>
            <w:tcW w:w="3472" w:type="dxa"/>
            <w:tcBorders>
              <w:top w:val="single" w:sz="4" w:space="0" w:color="auto"/>
              <w:left w:val="single" w:sz="4" w:space="0" w:color="auto"/>
              <w:bottom w:val="single" w:sz="2" w:space="0" w:color="auto"/>
              <w:right w:val="single" w:sz="4" w:space="0" w:color="auto"/>
            </w:tcBorders>
            <w:shd w:val="clear" w:color="auto" w:fill="BFBFBF" w:themeFill="background1" w:themeFillShade="BF"/>
            <w:vAlign w:val="center"/>
            <w:hideMark/>
          </w:tcPr>
          <w:p w14:paraId="2F8F14CB" w14:textId="77777777" w:rsidR="00E242CA" w:rsidRPr="000A66EE" w:rsidRDefault="00E242CA" w:rsidP="002F131C">
            <w:pPr>
              <w:jc w:val="center"/>
              <w:rPr>
                <w:rFonts w:ascii="Montserrat Medium" w:hAnsi="Montserrat Medium" w:cs="Calibri"/>
                <w:b/>
                <w:bCs/>
                <w:sz w:val="14"/>
                <w:szCs w:val="18"/>
                <w:lang w:eastAsia="es-MX"/>
              </w:rPr>
            </w:pPr>
            <w:r w:rsidRPr="000A66EE">
              <w:rPr>
                <w:rFonts w:ascii="Montserrat Medium" w:hAnsi="Montserrat Medium" w:cs="Calibri"/>
                <w:b/>
                <w:bCs/>
                <w:sz w:val="14"/>
                <w:szCs w:val="18"/>
                <w:lang w:eastAsia="es-MX"/>
              </w:rPr>
              <w:t>Concepto</w:t>
            </w:r>
          </w:p>
        </w:tc>
        <w:tc>
          <w:tcPr>
            <w:tcW w:w="1273" w:type="dxa"/>
            <w:tcBorders>
              <w:top w:val="single" w:sz="4" w:space="0" w:color="auto"/>
              <w:left w:val="nil"/>
              <w:bottom w:val="single" w:sz="2" w:space="0" w:color="auto"/>
              <w:right w:val="single" w:sz="4" w:space="0" w:color="auto"/>
            </w:tcBorders>
            <w:shd w:val="clear" w:color="auto" w:fill="BFBFBF" w:themeFill="background1" w:themeFillShade="BF"/>
            <w:vAlign w:val="center"/>
            <w:hideMark/>
          </w:tcPr>
          <w:p w14:paraId="1F1D894A" w14:textId="77777777" w:rsidR="00E242CA" w:rsidRPr="000A66EE" w:rsidRDefault="00E242CA" w:rsidP="002F131C">
            <w:pPr>
              <w:jc w:val="center"/>
              <w:rPr>
                <w:rFonts w:ascii="Montserrat Medium" w:hAnsi="Montserrat Medium" w:cs="Calibri"/>
                <w:b/>
                <w:bCs/>
                <w:sz w:val="14"/>
                <w:szCs w:val="18"/>
                <w:lang w:eastAsia="es-MX"/>
              </w:rPr>
            </w:pPr>
            <w:r w:rsidRPr="000A66EE">
              <w:rPr>
                <w:rFonts w:ascii="Montserrat Medium" w:hAnsi="Montserrat Medium" w:cs="Calibri"/>
                <w:b/>
                <w:bCs/>
                <w:sz w:val="14"/>
                <w:szCs w:val="18"/>
                <w:lang w:eastAsia="es-MX"/>
              </w:rPr>
              <w:t>90 días</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B2891AE" w14:textId="77777777" w:rsidR="00E242CA" w:rsidRPr="000A66EE" w:rsidRDefault="00E242CA" w:rsidP="002F131C">
            <w:pPr>
              <w:jc w:val="center"/>
              <w:rPr>
                <w:rFonts w:ascii="Montserrat Medium" w:hAnsi="Montserrat Medium" w:cs="Calibri"/>
                <w:b/>
                <w:bCs/>
                <w:sz w:val="14"/>
                <w:szCs w:val="18"/>
                <w:lang w:eastAsia="es-MX"/>
              </w:rPr>
            </w:pPr>
            <w:r w:rsidRPr="000A66EE">
              <w:rPr>
                <w:rFonts w:ascii="Montserrat Medium" w:hAnsi="Montserrat Medium" w:cs="Calibri"/>
                <w:b/>
                <w:bCs/>
                <w:sz w:val="14"/>
                <w:szCs w:val="18"/>
                <w:lang w:eastAsia="es-MX"/>
              </w:rPr>
              <w:t>180 días</w:t>
            </w:r>
          </w:p>
        </w:tc>
        <w:tc>
          <w:tcPr>
            <w:tcW w:w="125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E69AA15" w14:textId="77777777" w:rsidR="00E242CA" w:rsidRPr="000A66EE" w:rsidRDefault="00E242CA" w:rsidP="002F131C">
            <w:pPr>
              <w:jc w:val="center"/>
              <w:rPr>
                <w:rFonts w:ascii="Montserrat Medium" w:hAnsi="Montserrat Medium" w:cs="Calibri"/>
                <w:b/>
                <w:bCs/>
                <w:sz w:val="14"/>
                <w:szCs w:val="18"/>
                <w:lang w:eastAsia="es-MX"/>
              </w:rPr>
            </w:pPr>
            <w:r w:rsidRPr="000A66EE">
              <w:rPr>
                <w:rFonts w:ascii="Montserrat Medium" w:hAnsi="Montserrat Medium" w:cs="Calibri"/>
                <w:b/>
                <w:bCs/>
                <w:sz w:val="14"/>
                <w:szCs w:val="18"/>
                <w:lang w:eastAsia="es-MX"/>
              </w:rPr>
              <w:t>Menor o igual a 365 días</w:t>
            </w:r>
          </w:p>
        </w:tc>
        <w:tc>
          <w:tcPr>
            <w:tcW w:w="128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6AEDAB7" w14:textId="77777777" w:rsidR="00E242CA" w:rsidRPr="000A66EE" w:rsidRDefault="00E242CA" w:rsidP="002F131C">
            <w:pPr>
              <w:jc w:val="center"/>
              <w:rPr>
                <w:rFonts w:ascii="Montserrat Medium" w:hAnsi="Montserrat Medium" w:cs="Calibri"/>
                <w:b/>
                <w:bCs/>
                <w:sz w:val="14"/>
                <w:szCs w:val="18"/>
                <w:lang w:eastAsia="es-MX"/>
              </w:rPr>
            </w:pPr>
            <w:r w:rsidRPr="000A66EE">
              <w:rPr>
                <w:rFonts w:ascii="Montserrat Medium" w:hAnsi="Montserrat Medium" w:cs="Calibri"/>
                <w:b/>
                <w:bCs/>
                <w:sz w:val="14"/>
                <w:szCs w:val="18"/>
                <w:lang w:eastAsia="es-MX"/>
              </w:rPr>
              <w:t>Mayor a 365 días</w:t>
            </w:r>
          </w:p>
        </w:tc>
        <w:tc>
          <w:tcPr>
            <w:tcW w:w="143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D099EAE" w14:textId="5FDF8FC9" w:rsidR="00E242CA" w:rsidRPr="000A66EE" w:rsidRDefault="000A66EE" w:rsidP="002F131C">
            <w:pPr>
              <w:jc w:val="center"/>
              <w:rPr>
                <w:rFonts w:ascii="Montserrat Medium" w:hAnsi="Montserrat Medium" w:cs="Calibri"/>
                <w:b/>
                <w:bCs/>
                <w:sz w:val="14"/>
                <w:szCs w:val="18"/>
                <w:lang w:eastAsia="es-MX"/>
              </w:rPr>
            </w:pPr>
            <w:r w:rsidRPr="000A66EE">
              <w:rPr>
                <w:rFonts w:ascii="Montserrat Medium" w:hAnsi="Montserrat Medium" w:cs="Calibri"/>
                <w:b/>
                <w:bCs/>
                <w:sz w:val="14"/>
                <w:szCs w:val="18"/>
                <w:lang w:eastAsia="es-MX"/>
              </w:rPr>
              <w:t>Al 3</w:t>
            </w:r>
            <w:r w:rsidR="00B9270E">
              <w:rPr>
                <w:rFonts w:ascii="Montserrat Medium" w:hAnsi="Montserrat Medium" w:cs="Calibri"/>
                <w:b/>
                <w:bCs/>
                <w:sz w:val="14"/>
                <w:szCs w:val="18"/>
                <w:lang w:eastAsia="es-MX"/>
              </w:rPr>
              <w:t>0</w:t>
            </w:r>
            <w:r w:rsidRPr="000A66EE">
              <w:rPr>
                <w:rFonts w:ascii="Montserrat Medium" w:hAnsi="Montserrat Medium" w:cs="Calibri"/>
                <w:b/>
                <w:bCs/>
                <w:sz w:val="14"/>
                <w:szCs w:val="18"/>
                <w:lang w:eastAsia="es-MX"/>
              </w:rPr>
              <w:t xml:space="preserve"> de </w:t>
            </w:r>
            <w:r w:rsidR="00B9270E">
              <w:rPr>
                <w:rFonts w:ascii="Montserrat Medium" w:hAnsi="Montserrat Medium" w:cs="Calibri"/>
                <w:b/>
                <w:bCs/>
                <w:sz w:val="14"/>
                <w:szCs w:val="18"/>
                <w:lang w:eastAsia="es-MX"/>
              </w:rPr>
              <w:t>Junio</w:t>
            </w:r>
            <w:r w:rsidRPr="000A66EE">
              <w:rPr>
                <w:rFonts w:ascii="Montserrat Medium" w:hAnsi="Montserrat Medium" w:cs="Calibri"/>
                <w:b/>
                <w:bCs/>
                <w:sz w:val="14"/>
                <w:szCs w:val="18"/>
                <w:lang w:eastAsia="es-MX"/>
              </w:rPr>
              <w:t xml:space="preserve"> de 2025</w:t>
            </w:r>
          </w:p>
        </w:tc>
      </w:tr>
      <w:tr w:rsidR="00C640EF" w:rsidRPr="000A66EE" w14:paraId="6AD2387B" w14:textId="77777777" w:rsidTr="00C640EF">
        <w:trPr>
          <w:trHeight w:hRule="exact" w:val="227"/>
          <w:jc w:val="center"/>
        </w:trPr>
        <w:tc>
          <w:tcPr>
            <w:tcW w:w="3472" w:type="dxa"/>
            <w:tcBorders>
              <w:top w:val="single" w:sz="2" w:space="0" w:color="auto"/>
              <w:left w:val="single" w:sz="4" w:space="0" w:color="auto"/>
              <w:right w:val="single" w:sz="4" w:space="0" w:color="auto"/>
            </w:tcBorders>
            <w:shd w:val="clear" w:color="auto" w:fill="auto"/>
            <w:noWrap/>
            <w:hideMark/>
          </w:tcPr>
          <w:p w14:paraId="4C1A5747" w14:textId="77777777" w:rsidR="00C640EF" w:rsidRPr="000A66EE" w:rsidRDefault="00C640EF" w:rsidP="002F131C">
            <w:pPr>
              <w:rPr>
                <w:rFonts w:ascii="Montserrat Medium" w:hAnsi="Montserrat Medium" w:cs="Calibri"/>
                <w:sz w:val="14"/>
                <w:szCs w:val="18"/>
                <w:lang w:eastAsia="es-MX"/>
              </w:rPr>
            </w:pPr>
            <w:r w:rsidRPr="000A66EE">
              <w:rPr>
                <w:rFonts w:ascii="Montserrat Medium" w:hAnsi="Montserrat Medium" w:cs="Calibri"/>
                <w:sz w:val="14"/>
                <w:szCs w:val="18"/>
                <w:lang w:eastAsia="es-MX"/>
              </w:rPr>
              <w:t xml:space="preserve">Servicios personales por pagar a corto plazo </w:t>
            </w:r>
          </w:p>
        </w:tc>
        <w:tc>
          <w:tcPr>
            <w:tcW w:w="1273" w:type="dxa"/>
            <w:tcBorders>
              <w:top w:val="single" w:sz="2" w:space="0" w:color="auto"/>
              <w:left w:val="nil"/>
              <w:right w:val="single" w:sz="4" w:space="0" w:color="auto"/>
            </w:tcBorders>
            <w:shd w:val="clear" w:color="auto" w:fill="auto"/>
            <w:noWrap/>
            <w:vAlign w:val="center"/>
          </w:tcPr>
          <w:p w14:paraId="29930D05" w14:textId="38E1E914"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4,979,612.06</w:t>
            </w:r>
          </w:p>
        </w:tc>
        <w:tc>
          <w:tcPr>
            <w:tcW w:w="1276" w:type="dxa"/>
            <w:tcBorders>
              <w:top w:val="nil"/>
              <w:left w:val="nil"/>
              <w:right w:val="single" w:sz="4" w:space="0" w:color="auto"/>
            </w:tcBorders>
            <w:shd w:val="clear" w:color="auto" w:fill="auto"/>
            <w:noWrap/>
            <w:vAlign w:val="center"/>
          </w:tcPr>
          <w:p w14:paraId="09674493" w14:textId="118AB936"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0.00</w:t>
            </w:r>
          </w:p>
        </w:tc>
        <w:tc>
          <w:tcPr>
            <w:tcW w:w="1258" w:type="dxa"/>
            <w:tcBorders>
              <w:top w:val="nil"/>
              <w:left w:val="nil"/>
              <w:right w:val="single" w:sz="4" w:space="0" w:color="auto"/>
            </w:tcBorders>
            <w:shd w:val="clear" w:color="auto" w:fill="auto"/>
            <w:noWrap/>
            <w:vAlign w:val="center"/>
          </w:tcPr>
          <w:p w14:paraId="59BE6104" w14:textId="3F742810"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0.00</w:t>
            </w:r>
          </w:p>
        </w:tc>
        <w:tc>
          <w:tcPr>
            <w:tcW w:w="1285" w:type="dxa"/>
            <w:tcBorders>
              <w:top w:val="nil"/>
              <w:left w:val="nil"/>
              <w:right w:val="single" w:sz="4" w:space="0" w:color="auto"/>
            </w:tcBorders>
            <w:shd w:val="clear" w:color="auto" w:fill="auto"/>
            <w:noWrap/>
            <w:vAlign w:val="center"/>
          </w:tcPr>
          <w:p w14:paraId="779CB755" w14:textId="1F159FB9"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977,242.07</w:t>
            </w:r>
          </w:p>
        </w:tc>
        <w:tc>
          <w:tcPr>
            <w:tcW w:w="1439" w:type="dxa"/>
            <w:tcBorders>
              <w:top w:val="nil"/>
              <w:left w:val="nil"/>
              <w:right w:val="single" w:sz="4" w:space="0" w:color="auto"/>
            </w:tcBorders>
            <w:shd w:val="clear" w:color="auto" w:fill="auto"/>
            <w:noWrap/>
            <w:vAlign w:val="center"/>
            <w:hideMark/>
          </w:tcPr>
          <w:p w14:paraId="523232C3" w14:textId="781E5F89"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5,956,854.13</w:t>
            </w:r>
          </w:p>
        </w:tc>
      </w:tr>
      <w:tr w:rsidR="00C640EF" w:rsidRPr="000A66EE" w14:paraId="5EE02C34" w14:textId="77777777" w:rsidTr="00C640EF">
        <w:trPr>
          <w:trHeight w:hRule="exact" w:val="227"/>
          <w:jc w:val="center"/>
        </w:trPr>
        <w:tc>
          <w:tcPr>
            <w:tcW w:w="3472" w:type="dxa"/>
            <w:tcBorders>
              <w:left w:val="single" w:sz="4" w:space="0" w:color="auto"/>
              <w:right w:val="single" w:sz="4" w:space="0" w:color="auto"/>
            </w:tcBorders>
            <w:shd w:val="clear" w:color="auto" w:fill="auto"/>
            <w:noWrap/>
            <w:hideMark/>
          </w:tcPr>
          <w:p w14:paraId="1DCDB821" w14:textId="77777777" w:rsidR="00C640EF" w:rsidRPr="000A66EE" w:rsidRDefault="00C640EF" w:rsidP="002F131C">
            <w:pPr>
              <w:rPr>
                <w:rFonts w:ascii="Montserrat Medium" w:hAnsi="Montserrat Medium" w:cs="Calibri"/>
                <w:sz w:val="14"/>
                <w:szCs w:val="18"/>
                <w:lang w:eastAsia="es-MX"/>
              </w:rPr>
            </w:pPr>
            <w:r w:rsidRPr="000A66EE">
              <w:rPr>
                <w:rFonts w:ascii="Montserrat Medium" w:hAnsi="Montserrat Medium" w:cs="Calibri"/>
                <w:sz w:val="14"/>
                <w:szCs w:val="18"/>
                <w:lang w:eastAsia="es-MX"/>
              </w:rPr>
              <w:t xml:space="preserve">Proveedores por pagar a corto plazo </w:t>
            </w:r>
          </w:p>
        </w:tc>
        <w:tc>
          <w:tcPr>
            <w:tcW w:w="1273" w:type="dxa"/>
            <w:tcBorders>
              <w:left w:val="nil"/>
              <w:right w:val="single" w:sz="4" w:space="0" w:color="auto"/>
            </w:tcBorders>
            <w:shd w:val="clear" w:color="auto" w:fill="auto"/>
            <w:noWrap/>
            <w:vAlign w:val="center"/>
          </w:tcPr>
          <w:p w14:paraId="781D7DC3" w14:textId="0DC1C012"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263,113,656.01</w:t>
            </w:r>
          </w:p>
        </w:tc>
        <w:tc>
          <w:tcPr>
            <w:tcW w:w="1276" w:type="dxa"/>
            <w:tcBorders>
              <w:left w:val="nil"/>
              <w:right w:val="single" w:sz="4" w:space="0" w:color="auto"/>
            </w:tcBorders>
            <w:shd w:val="clear" w:color="auto" w:fill="auto"/>
            <w:noWrap/>
            <w:vAlign w:val="center"/>
          </w:tcPr>
          <w:p w14:paraId="1E6E8F63" w14:textId="4F1F6AD8"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0.00</w:t>
            </w:r>
          </w:p>
        </w:tc>
        <w:tc>
          <w:tcPr>
            <w:tcW w:w="1258" w:type="dxa"/>
            <w:tcBorders>
              <w:left w:val="nil"/>
              <w:right w:val="single" w:sz="4" w:space="0" w:color="auto"/>
            </w:tcBorders>
            <w:shd w:val="clear" w:color="auto" w:fill="auto"/>
            <w:noWrap/>
            <w:vAlign w:val="center"/>
          </w:tcPr>
          <w:p w14:paraId="127F9206" w14:textId="16102DE7"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0.00</w:t>
            </w:r>
          </w:p>
        </w:tc>
        <w:tc>
          <w:tcPr>
            <w:tcW w:w="1285" w:type="dxa"/>
            <w:tcBorders>
              <w:left w:val="nil"/>
              <w:right w:val="single" w:sz="4" w:space="0" w:color="auto"/>
            </w:tcBorders>
            <w:shd w:val="clear" w:color="auto" w:fill="auto"/>
            <w:noWrap/>
            <w:vAlign w:val="center"/>
          </w:tcPr>
          <w:p w14:paraId="4311A77A" w14:textId="59725F87"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155,398.93</w:t>
            </w:r>
          </w:p>
        </w:tc>
        <w:tc>
          <w:tcPr>
            <w:tcW w:w="1439" w:type="dxa"/>
            <w:tcBorders>
              <w:left w:val="nil"/>
              <w:right w:val="single" w:sz="4" w:space="0" w:color="auto"/>
            </w:tcBorders>
            <w:shd w:val="clear" w:color="auto" w:fill="auto"/>
            <w:noWrap/>
            <w:vAlign w:val="center"/>
            <w:hideMark/>
          </w:tcPr>
          <w:p w14:paraId="1752CF1C" w14:textId="6C95F9B3"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263,269,054.94</w:t>
            </w:r>
          </w:p>
        </w:tc>
      </w:tr>
      <w:tr w:rsidR="00C640EF" w:rsidRPr="000A66EE" w14:paraId="39EB99E6" w14:textId="77777777" w:rsidTr="00C640EF">
        <w:trPr>
          <w:trHeight w:hRule="exact" w:val="395"/>
          <w:jc w:val="center"/>
        </w:trPr>
        <w:tc>
          <w:tcPr>
            <w:tcW w:w="3472" w:type="dxa"/>
            <w:tcBorders>
              <w:left w:val="single" w:sz="4" w:space="0" w:color="auto"/>
              <w:right w:val="single" w:sz="4" w:space="0" w:color="auto"/>
            </w:tcBorders>
            <w:shd w:val="clear" w:color="auto" w:fill="auto"/>
            <w:noWrap/>
            <w:hideMark/>
          </w:tcPr>
          <w:p w14:paraId="590CA839" w14:textId="77777777" w:rsidR="00C640EF" w:rsidRPr="000A66EE" w:rsidRDefault="00C640EF" w:rsidP="002F131C">
            <w:pPr>
              <w:rPr>
                <w:rFonts w:ascii="Montserrat Medium" w:hAnsi="Montserrat Medium" w:cs="Calibri"/>
                <w:sz w:val="14"/>
                <w:szCs w:val="18"/>
                <w:lang w:eastAsia="es-MX"/>
              </w:rPr>
            </w:pPr>
            <w:r w:rsidRPr="000A66EE">
              <w:rPr>
                <w:rFonts w:ascii="Montserrat Medium" w:hAnsi="Montserrat Medium" w:cs="Calibri"/>
                <w:sz w:val="14"/>
                <w:szCs w:val="18"/>
                <w:lang w:eastAsia="es-MX"/>
              </w:rPr>
              <w:t xml:space="preserve">Contratistas por obras públicas por pagar a corto plazo </w:t>
            </w:r>
          </w:p>
        </w:tc>
        <w:tc>
          <w:tcPr>
            <w:tcW w:w="1273" w:type="dxa"/>
            <w:tcBorders>
              <w:left w:val="nil"/>
              <w:right w:val="single" w:sz="4" w:space="0" w:color="auto"/>
            </w:tcBorders>
            <w:shd w:val="clear" w:color="auto" w:fill="auto"/>
            <w:noWrap/>
            <w:vAlign w:val="center"/>
          </w:tcPr>
          <w:p w14:paraId="559E6AAC" w14:textId="225B1DDB"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8,646,975.55</w:t>
            </w:r>
          </w:p>
        </w:tc>
        <w:tc>
          <w:tcPr>
            <w:tcW w:w="1276" w:type="dxa"/>
            <w:tcBorders>
              <w:left w:val="nil"/>
              <w:right w:val="single" w:sz="4" w:space="0" w:color="auto"/>
            </w:tcBorders>
            <w:shd w:val="clear" w:color="auto" w:fill="auto"/>
            <w:noWrap/>
            <w:vAlign w:val="center"/>
          </w:tcPr>
          <w:p w14:paraId="396F2BC4" w14:textId="214A72C6"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0.00</w:t>
            </w:r>
          </w:p>
        </w:tc>
        <w:tc>
          <w:tcPr>
            <w:tcW w:w="1258" w:type="dxa"/>
            <w:tcBorders>
              <w:left w:val="nil"/>
              <w:right w:val="single" w:sz="4" w:space="0" w:color="auto"/>
            </w:tcBorders>
            <w:shd w:val="clear" w:color="auto" w:fill="auto"/>
            <w:noWrap/>
            <w:vAlign w:val="center"/>
          </w:tcPr>
          <w:p w14:paraId="78EECB87" w14:textId="6EE46229" w:rsidR="00C640EF" w:rsidRPr="00C640EF" w:rsidRDefault="00C640EF" w:rsidP="002F131C">
            <w:pPr>
              <w:jc w:val="right"/>
              <w:rPr>
                <w:rFonts w:ascii="Montserrat Medium" w:hAnsi="Montserrat Medium" w:cs="Calibri"/>
                <w:color w:val="000000"/>
                <w:sz w:val="14"/>
                <w:szCs w:val="14"/>
              </w:rPr>
            </w:pPr>
            <w:r w:rsidRPr="00C640EF">
              <w:rPr>
                <w:rFonts w:ascii="Montserrat Medium" w:hAnsi="Montserrat Medium" w:cs="Calibri"/>
                <w:color w:val="000000"/>
                <w:sz w:val="14"/>
                <w:szCs w:val="14"/>
              </w:rPr>
              <w:t> </w:t>
            </w:r>
          </w:p>
        </w:tc>
        <w:tc>
          <w:tcPr>
            <w:tcW w:w="1285" w:type="dxa"/>
            <w:tcBorders>
              <w:left w:val="nil"/>
              <w:right w:val="single" w:sz="4" w:space="0" w:color="auto"/>
            </w:tcBorders>
            <w:shd w:val="clear" w:color="auto" w:fill="auto"/>
            <w:noWrap/>
            <w:vAlign w:val="center"/>
          </w:tcPr>
          <w:p w14:paraId="7C02E543" w14:textId="1361DCF0" w:rsidR="00C640EF" w:rsidRPr="00C640EF" w:rsidRDefault="00C640EF" w:rsidP="002F131C">
            <w:pPr>
              <w:jc w:val="right"/>
              <w:rPr>
                <w:rFonts w:ascii="Montserrat Medium" w:hAnsi="Montserrat Medium" w:cs="Calibri"/>
                <w:color w:val="000000"/>
                <w:sz w:val="14"/>
                <w:szCs w:val="14"/>
              </w:rPr>
            </w:pPr>
            <w:r w:rsidRPr="00C640EF">
              <w:rPr>
                <w:rFonts w:ascii="Montserrat Medium" w:hAnsi="Montserrat Medium" w:cs="Calibri"/>
                <w:color w:val="000000"/>
                <w:sz w:val="14"/>
                <w:szCs w:val="14"/>
              </w:rPr>
              <w:t>0.00</w:t>
            </w:r>
          </w:p>
        </w:tc>
        <w:tc>
          <w:tcPr>
            <w:tcW w:w="1439" w:type="dxa"/>
            <w:tcBorders>
              <w:left w:val="nil"/>
              <w:right w:val="single" w:sz="4" w:space="0" w:color="auto"/>
            </w:tcBorders>
            <w:shd w:val="clear" w:color="auto" w:fill="auto"/>
            <w:noWrap/>
            <w:vAlign w:val="center"/>
            <w:hideMark/>
          </w:tcPr>
          <w:p w14:paraId="162238D9" w14:textId="53DB40B1"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8,646,975.55</w:t>
            </w:r>
          </w:p>
        </w:tc>
      </w:tr>
      <w:tr w:rsidR="00C640EF" w:rsidRPr="000A66EE" w14:paraId="2221DB0C" w14:textId="77777777" w:rsidTr="00C640EF">
        <w:trPr>
          <w:trHeight w:hRule="exact" w:val="441"/>
          <w:jc w:val="center"/>
        </w:trPr>
        <w:tc>
          <w:tcPr>
            <w:tcW w:w="3472" w:type="dxa"/>
            <w:tcBorders>
              <w:left w:val="single" w:sz="4" w:space="0" w:color="auto"/>
              <w:right w:val="single" w:sz="4" w:space="0" w:color="auto"/>
            </w:tcBorders>
            <w:shd w:val="clear" w:color="auto" w:fill="auto"/>
            <w:noWrap/>
            <w:hideMark/>
          </w:tcPr>
          <w:p w14:paraId="1E7BE7D2" w14:textId="77777777" w:rsidR="00C640EF" w:rsidRPr="000A66EE" w:rsidRDefault="00C640EF" w:rsidP="002F131C">
            <w:pPr>
              <w:rPr>
                <w:rFonts w:ascii="Montserrat Medium" w:hAnsi="Montserrat Medium" w:cs="Calibri"/>
                <w:sz w:val="14"/>
                <w:szCs w:val="18"/>
                <w:lang w:eastAsia="es-MX"/>
              </w:rPr>
            </w:pPr>
            <w:r w:rsidRPr="000A66EE">
              <w:rPr>
                <w:rFonts w:ascii="Montserrat Medium" w:hAnsi="Montserrat Medium" w:cs="Calibri"/>
                <w:sz w:val="14"/>
                <w:szCs w:val="18"/>
                <w:lang w:eastAsia="es-MX"/>
              </w:rPr>
              <w:t xml:space="preserve">Participaciones y aportaciones por pagar a corto plazo </w:t>
            </w:r>
          </w:p>
        </w:tc>
        <w:tc>
          <w:tcPr>
            <w:tcW w:w="1273" w:type="dxa"/>
            <w:tcBorders>
              <w:left w:val="nil"/>
              <w:right w:val="single" w:sz="4" w:space="0" w:color="auto"/>
            </w:tcBorders>
            <w:shd w:val="clear" w:color="auto" w:fill="auto"/>
            <w:noWrap/>
            <w:vAlign w:val="center"/>
          </w:tcPr>
          <w:p w14:paraId="12791FE9" w14:textId="46E2ACCB"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0.00</w:t>
            </w:r>
          </w:p>
        </w:tc>
        <w:tc>
          <w:tcPr>
            <w:tcW w:w="1276" w:type="dxa"/>
            <w:tcBorders>
              <w:left w:val="nil"/>
              <w:right w:val="single" w:sz="4" w:space="0" w:color="auto"/>
            </w:tcBorders>
            <w:shd w:val="clear" w:color="auto" w:fill="auto"/>
            <w:noWrap/>
            <w:vAlign w:val="center"/>
          </w:tcPr>
          <w:p w14:paraId="4BC9DF19" w14:textId="396D9BEB"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0.00</w:t>
            </w:r>
          </w:p>
        </w:tc>
        <w:tc>
          <w:tcPr>
            <w:tcW w:w="1258" w:type="dxa"/>
            <w:tcBorders>
              <w:left w:val="nil"/>
              <w:right w:val="single" w:sz="4" w:space="0" w:color="auto"/>
            </w:tcBorders>
            <w:shd w:val="clear" w:color="auto" w:fill="auto"/>
            <w:noWrap/>
            <w:vAlign w:val="center"/>
          </w:tcPr>
          <w:p w14:paraId="1A80976E" w14:textId="430DD198"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0.00</w:t>
            </w:r>
          </w:p>
        </w:tc>
        <w:tc>
          <w:tcPr>
            <w:tcW w:w="1285" w:type="dxa"/>
            <w:tcBorders>
              <w:left w:val="nil"/>
              <w:right w:val="single" w:sz="4" w:space="0" w:color="auto"/>
            </w:tcBorders>
            <w:shd w:val="clear" w:color="auto" w:fill="auto"/>
            <w:noWrap/>
            <w:vAlign w:val="center"/>
          </w:tcPr>
          <w:p w14:paraId="523E062A" w14:textId="0785B8B7"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0.00</w:t>
            </w:r>
          </w:p>
        </w:tc>
        <w:tc>
          <w:tcPr>
            <w:tcW w:w="1439" w:type="dxa"/>
            <w:tcBorders>
              <w:left w:val="nil"/>
              <w:right w:val="single" w:sz="4" w:space="0" w:color="auto"/>
            </w:tcBorders>
            <w:shd w:val="clear" w:color="auto" w:fill="auto"/>
            <w:noWrap/>
            <w:vAlign w:val="center"/>
            <w:hideMark/>
          </w:tcPr>
          <w:p w14:paraId="307F63BB" w14:textId="53E41E51"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0.00</w:t>
            </w:r>
          </w:p>
        </w:tc>
      </w:tr>
      <w:tr w:rsidR="00C640EF" w:rsidRPr="000A66EE" w14:paraId="677B6643" w14:textId="77777777" w:rsidTr="0056239F">
        <w:trPr>
          <w:trHeight w:hRule="exact" w:val="453"/>
          <w:jc w:val="center"/>
        </w:trPr>
        <w:tc>
          <w:tcPr>
            <w:tcW w:w="3472" w:type="dxa"/>
            <w:tcBorders>
              <w:left w:val="single" w:sz="4" w:space="0" w:color="auto"/>
              <w:right w:val="single" w:sz="4" w:space="0" w:color="auto"/>
            </w:tcBorders>
            <w:shd w:val="clear" w:color="auto" w:fill="auto"/>
            <w:noWrap/>
            <w:hideMark/>
          </w:tcPr>
          <w:p w14:paraId="07DD143C" w14:textId="77777777" w:rsidR="00C640EF" w:rsidRPr="000A66EE" w:rsidRDefault="00C640EF" w:rsidP="002F131C">
            <w:pPr>
              <w:rPr>
                <w:rFonts w:ascii="Montserrat Medium" w:hAnsi="Montserrat Medium" w:cs="Calibri"/>
                <w:sz w:val="14"/>
                <w:szCs w:val="18"/>
                <w:lang w:eastAsia="es-MX"/>
              </w:rPr>
            </w:pPr>
            <w:r w:rsidRPr="000A66EE">
              <w:rPr>
                <w:rFonts w:ascii="Montserrat Medium" w:hAnsi="Montserrat Medium" w:cs="Calibri"/>
                <w:sz w:val="14"/>
                <w:szCs w:val="18"/>
                <w:lang w:eastAsia="es-MX"/>
              </w:rPr>
              <w:t xml:space="preserve">Transferencias otorgadas por pagar a corto plazo </w:t>
            </w:r>
          </w:p>
        </w:tc>
        <w:tc>
          <w:tcPr>
            <w:tcW w:w="1273" w:type="dxa"/>
            <w:tcBorders>
              <w:left w:val="nil"/>
              <w:right w:val="single" w:sz="4" w:space="0" w:color="auto"/>
            </w:tcBorders>
            <w:shd w:val="clear" w:color="auto" w:fill="auto"/>
            <w:noWrap/>
            <w:vAlign w:val="center"/>
          </w:tcPr>
          <w:p w14:paraId="475DF01A" w14:textId="53A6F19D"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388,596,978.72</w:t>
            </w:r>
          </w:p>
        </w:tc>
        <w:tc>
          <w:tcPr>
            <w:tcW w:w="1276" w:type="dxa"/>
            <w:tcBorders>
              <w:left w:val="nil"/>
              <w:right w:val="single" w:sz="4" w:space="0" w:color="auto"/>
            </w:tcBorders>
            <w:shd w:val="clear" w:color="auto" w:fill="auto"/>
            <w:noWrap/>
            <w:vAlign w:val="center"/>
          </w:tcPr>
          <w:p w14:paraId="79D0F906" w14:textId="1DCA57D7"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0.00</w:t>
            </w:r>
          </w:p>
        </w:tc>
        <w:tc>
          <w:tcPr>
            <w:tcW w:w="1258" w:type="dxa"/>
            <w:tcBorders>
              <w:left w:val="nil"/>
              <w:right w:val="single" w:sz="4" w:space="0" w:color="auto"/>
            </w:tcBorders>
            <w:shd w:val="clear" w:color="auto" w:fill="auto"/>
            <w:noWrap/>
            <w:vAlign w:val="center"/>
          </w:tcPr>
          <w:p w14:paraId="60EE4461" w14:textId="53EB99C0"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0.00</w:t>
            </w:r>
          </w:p>
        </w:tc>
        <w:tc>
          <w:tcPr>
            <w:tcW w:w="1285" w:type="dxa"/>
            <w:tcBorders>
              <w:left w:val="nil"/>
              <w:right w:val="single" w:sz="4" w:space="0" w:color="auto"/>
            </w:tcBorders>
            <w:shd w:val="clear" w:color="auto" w:fill="auto"/>
            <w:noWrap/>
            <w:vAlign w:val="center"/>
          </w:tcPr>
          <w:p w14:paraId="2FC217FA" w14:textId="2164DB2F"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60,755.04</w:t>
            </w:r>
          </w:p>
        </w:tc>
        <w:tc>
          <w:tcPr>
            <w:tcW w:w="1439" w:type="dxa"/>
            <w:tcBorders>
              <w:left w:val="nil"/>
              <w:right w:val="single" w:sz="4" w:space="0" w:color="auto"/>
            </w:tcBorders>
            <w:shd w:val="clear" w:color="auto" w:fill="auto"/>
            <w:noWrap/>
            <w:vAlign w:val="center"/>
            <w:hideMark/>
          </w:tcPr>
          <w:p w14:paraId="441EAA63" w14:textId="774BF33F"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388,657,733.76</w:t>
            </w:r>
          </w:p>
        </w:tc>
      </w:tr>
      <w:tr w:rsidR="00C640EF" w:rsidRPr="000A66EE" w14:paraId="795E9EF0" w14:textId="77777777" w:rsidTr="0056239F">
        <w:trPr>
          <w:trHeight w:hRule="exact" w:val="324"/>
          <w:jc w:val="center"/>
        </w:trPr>
        <w:tc>
          <w:tcPr>
            <w:tcW w:w="3472" w:type="dxa"/>
            <w:tcBorders>
              <w:left w:val="single" w:sz="4" w:space="0" w:color="auto"/>
              <w:right w:val="single" w:sz="4" w:space="0" w:color="auto"/>
            </w:tcBorders>
            <w:shd w:val="clear" w:color="auto" w:fill="auto"/>
            <w:noWrap/>
          </w:tcPr>
          <w:p w14:paraId="040F116E" w14:textId="25647E98" w:rsidR="00C640EF" w:rsidRPr="000A66EE" w:rsidRDefault="00C640EF" w:rsidP="002F131C">
            <w:pPr>
              <w:rPr>
                <w:rFonts w:ascii="Montserrat Medium" w:hAnsi="Montserrat Medium" w:cs="Calibri"/>
                <w:sz w:val="14"/>
                <w:szCs w:val="18"/>
                <w:lang w:eastAsia="es-MX"/>
              </w:rPr>
            </w:pPr>
            <w:r w:rsidRPr="000A66EE">
              <w:rPr>
                <w:rFonts w:ascii="Montserrat Medium" w:hAnsi="Montserrat Medium" w:cs="Calibri"/>
                <w:sz w:val="14"/>
                <w:szCs w:val="18"/>
                <w:lang w:eastAsia="es-MX"/>
              </w:rPr>
              <w:t xml:space="preserve">Intereses, </w:t>
            </w:r>
            <w:r>
              <w:rPr>
                <w:rFonts w:ascii="Montserrat Medium" w:hAnsi="Montserrat Medium" w:cs="Calibri"/>
                <w:sz w:val="14"/>
                <w:szCs w:val="18"/>
                <w:lang w:eastAsia="es-MX"/>
              </w:rPr>
              <w:t xml:space="preserve">Comisiones y Otros Gastos de la </w:t>
            </w:r>
            <w:r w:rsidRPr="000A66EE">
              <w:rPr>
                <w:rFonts w:ascii="Montserrat Medium" w:hAnsi="Montserrat Medium" w:cs="Calibri"/>
                <w:sz w:val="14"/>
                <w:szCs w:val="18"/>
                <w:lang w:eastAsia="es-MX"/>
              </w:rPr>
              <w:t xml:space="preserve">Deuda Pública por Pagar a Corto plazo </w:t>
            </w:r>
          </w:p>
        </w:tc>
        <w:tc>
          <w:tcPr>
            <w:tcW w:w="1273" w:type="dxa"/>
            <w:tcBorders>
              <w:left w:val="nil"/>
              <w:right w:val="single" w:sz="4" w:space="0" w:color="auto"/>
            </w:tcBorders>
            <w:shd w:val="clear" w:color="auto" w:fill="auto"/>
            <w:noWrap/>
            <w:vAlign w:val="center"/>
          </w:tcPr>
          <w:p w14:paraId="511C4A74" w14:textId="50AA203D" w:rsidR="00C640EF" w:rsidRPr="00C640EF" w:rsidRDefault="00C640EF" w:rsidP="002F131C">
            <w:pPr>
              <w:ind w:left="708" w:hanging="708"/>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0.00</w:t>
            </w:r>
          </w:p>
        </w:tc>
        <w:tc>
          <w:tcPr>
            <w:tcW w:w="1276" w:type="dxa"/>
            <w:tcBorders>
              <w:left w:val="nil"/>
              <w:right w:val="single" w:sz="4" w:space="0" w:color="auto"/>
            </w:tcBorders>
            <w:shd w:val="clear" w:color="auto" w:fill="auto"/>
            <w:noWrap/>
            <w:vAlign w:val="center"/>
          </w:tcPr>
          <w:p w14:paraId="45612566" w14:textId="086F2F75" w:rsidR="00C640EF" w:rsidRPr="00C640EF" w:rsidRDefault="00C640EF" w:rsidP="002F131C">
            <w:pPr>
              <w:ind w:left="708" w:hanging="708"/>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0.00</w:t>
            </w:r>
          </w:p>
        </w:tc>
        <w:tc>
          <w:tcPr>
            <w:tcW w:w="1258" w:type="dxa"/>
            <w:tcBorders>
              <w:left w:val="nil"/>
              <w:right w:val="single" w:sz="4" w:space="0" w:color="auto"/>
            </w:tcBorders>
            <w:shd w:val="clear" w:color="auto" w:fill="auto"/>
            <w:noWrap/>
            <w:vAlign w:val="center"/>
          </w:tcPr>
          <w:p w14:paraId="3AE48B0E" w14:textId="3584C0A9" w:rsidR="00C640EF" w:rsidRPr="00C640EF" w:rsidRDefault="00C640EF" w:rsidP="002F131C">
            <w:pPr>
              <w:ind w:left="708" w:hanging="708"/>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0.00</w:t>
            </w:r>
          </w:p>
        </w:tc>
        <w:tc>
          <w:tcPr>
            <w:tcW w:w="1285" w:type="dxa"/>
            <w:tcBorders>
              <w:left w:val="nil"/>
              <w:right w:val="single" w:sz="4" w:space="0" w:color="auto"/>
            </w:tcBorders>
            <w:shd w:val="clear" w:color="auto" w:fill="auto"/>
            <w:noWrap/>
            <w:vAlign w:val="center"/>
          </w:tcPr>
          <w:p w14:paraId="6CB7591F" w14:textId="6A1882E8" w:rsidR="00C640EF" w:rsidRPr="00C640EF" w:rsidRDefault="00C640EF" w:rsidP="002F131C">
            <w:pPr>
              <w:ind w:left="708" w:hanging="708"/>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0.00</w:t>
            </w:r>
          </w:p>
        </w:tc>
        <w:tc>
          <w:tcPr>
            <w:tcW w:w="1439" w:type="dxa"/>
            <w:tcBorders>
              <w:left w:val="nil"/>
              <w:right w:val="single" w:sz="4" w:space="0" w:color="auto"/>
            </w:tcBorders>
            <w:shd w:val="clear" w:color="auto" w:fill="auto"/>
            <w:noWrap/>
            <w:vAlign w:val="center"/>
          </w:tcPr>
          <w:p w14:paraId="0571C9FD" w14:textId="7229367D" w:rsidR="00C640EF" w:rsidRPr="00C640EF" w:rsidRDefault="00C640EF" w:rsidP="002F131C">
            <w:pPr>
              <w:ind w:left="708" w:hanging="708"/>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0.00</w:t>
            </w:r>
          </w:p>
        </w:tc>
      </w:tr>
      <w:tr w:rsidR="00C640EF" w:rsidRPr="000A66EE" w14:paraId="127EFA11" w14:textId="77777777" w:rsidTr="0056239F">
        <w:trPr>
          <w:trHeight w:hRule="exact" w:val="415"/>
          <w:jc w:val="center"/>
        </w:trPr>
        <w:tc>
          <w:tcPr>
            <w:tcW w:w="3472" w:type="dxa"/>
            <w:tcBorders>
              <w:left w:val="single" w:sz="4" w:space="0" w:color="auto"/>
              <w:right w:val="single" w:sz="4" w:space="0" w:color="auto"/>
            </w:tcBorders>
            <w:shd w:val="clear" w:color="auto" w:fill="auto"/>
            <w:noWrap/>
            <w:hideMark/>
          </w:tcPr>
          <w:p w14:paraId="3E044796" w14:textId="77777777" w:rsidR="00C640EF" w:rsidRPr="000A66EE" w:rsidRDefault="00C640EF" w:rsidP="002F131C">
            <w:pPr>
              <w:rPr>
                <w:rFonts w:ascii="Montserrat Medium" w:hAnsi="Montserrat Medium" w:cs="Calibri"/>
                <w:sz w:val="14"/>
                <w:szCs w:val="18"/>
                <w:lang w:eastAsia="es-MX"/>
              </w:rPr>
            </w:pPr>
            <w:r w:rsidRPr="000A66EE">
              <w:rPr>
                <w:rFonts w:ascii="Montserrat Medium" w:hAnsi="Montserrat Medium" w:cs="Calibri"/>
                <w:sz w:val="14"/>
                <w:szCs w:val="18"/>
                <w:lang w:eastAsia="es-MX"/>
              </w:rPr>
              <w:t xml:space="preserve">Retenciones y contribuciones por pagar a corto plazo </w:t>
            </w:r>
          </w:p>
        </w:tc>
        <w:tc>
          <w:tcPr>
            <w:tcW w:w="1273" w:type="dxa"/>
            <w:tcBorders>
              <w:left w:val="nil"/>
              <w:right w:val="single" w:sz="4" w:space="0" w:color="auto"/>
            </w:tcBorders>
            <w:shd w:val="clear" w:color="auto" w:fill="auto"/>
            <w:noWrap/>
            <w:vAlign w:val="center"/>
          </w:tcPr>
          <w:p w14:paraId="453B1CA2" w14:textId="02D7E2AF" w:rsidR="00C640EF" w:rsidRPr="00C640EF" w:rsidRDefault="00C640EF" w:rsidP="002F131C">
            <w:pPr>
              <w:ind w:left="708" w:hanging="708"/>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79,085,568.60</w:t>
            </w:r>
          </w:p>
        </w:tc>
        <w:tc>
          <w:tcPr>
            <w:tcW w:w="1276" w:type="dxa"/>
            <w:tcBorders>
              <w:left w:val="nil"/>
              <w:right w:val="single" w:sz="4" w:space="0" w:color="auto"/>
            </w:tcBorders>
            <w:shd w:val="clear" w:color="auto" w:fill="auto"/>
            <w:noWrap/>
            <w:vAlign w:val="center"/>
          </w:tcPr>
          <w:p w14:paraId="07C65636" w14:textId="78B306CD" w:rsidR="00C640EF" w:rsidRPr="00C640EF" w:rsidRDefault="00C640EF" w:rsidP="002F131C">
            <w:pPr>
              <w:ind w:left="708" w:hanging="708"/>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0.00</w:t>
            </w:r>
          </w:p>
        </w:tc>
        <w:tc>
          <w:tcPr>
            <w:tcW w:w="1258" w:type="dxa"/>
            <w:tcBorders>
              <w:left w:val="nil"/>
              <w:right w:val="single" w:sz="4" w:space="0" w:color="auto"/>
            </w:tcBorders>
            <w:shd w:val="clear" w:color="auto" w:fill="auto"/>
            <w:noWrap/>
            <w:vAlign w:val="center"/>
          </w:tcPr>
          <w:p w14:paraId="5EE6038C" w14:textId="61844A86" w:rsidR="00C640EF" w:rsidRPr="00C640EF" w:rsidRDefault="00C640EF" w:rsidP="002F131C">
            <w:pPr>
              <w:ind w:left="708" w:hanging="708"/>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0.00</w:t>
            </w:r>
          </w:p>
        </w:tc>
        <w:tc>
          <w:tcPr>
            <w:tcW w:w="1285" w:type="dxa"/>
            <w:tcBorders>
              <w:left w:val="nil"/>
              <w:right w:val="single" w:sz="4" w:space="0" w:color="auto"/>
            </w:tcBorders>
            <w:shd w:val="clear" w:color="auto" w:fill="auto"/>
            <w:noWrap/>
            <w:vAlign w:val="center"/>
          </w:tcPr>
          <w:p w14:paraId="3922F8F6" w14:textId="4D83521D" w:rsidR="00C640EF" w:rsidRPr="00C640EF" w:rsidRDefault="00C640EF" w:rsidP="002F131C">
            <w:pPr>
              <w:ind w:left="708" w:hanging="708"/>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25,612,282.66</w:t>
            </w:r>
          </w:p>
        </w:tc>
        <w:tc>
          <w:tcPr>
            <w:tcW w:w="1439" w:type="dxa"/>
            <w:tcBorders>
              <w:left w:val="nil"/>
              <w:right w:val="single" w:sz="4" w:space="0" w:color="auto"/>
            </w:tcBorders>
            <w:shd w:val="clear" w:color="auto" w:fill="auto"/>
            <w:noWrap/>
            <w:vAlign w:val="center"/>
            <w:hideMark/>
          </w:tcPr>
          <w:p w14:paraId="0DB5CCD0" w14:textId="7C6B9509" w:rsidR="00C640EF" w:rsidRPr="00C640EF" w:rsidRDefault="00C640EF" w:rsidP="002F131C">
            <w:pPr>
              <w:ind w:left="708" w:hanging="708"/>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104,697,851.26</w:t>
            </w:r>
          </w:p>
        </w:tc>
      </w:tr>
      <w:tr w:rsidR="00C640EF" w:rsidRPr="000A66EE" w14:paraId="6053636D" w14:textId="77777777" w:rsidTr="00C640EF">
        <w:trPr>
          <w:trHeight w:hRule="exact" w:val="435"/>
          <w:jc w:val="center"/>
        </w:trPr>
        <w:tc>
          <w:tcPr>
            <w:tcW w:w="3472" w:type="dxa"/>
            <w:tcBorders>
              <w:left w:val="single" w:sz="4" w:space="0" w:color="auto"/>
              <w:right w:val="single" w:sz="4" w:space="0" w:color="auto"/>
            </w:tcBorders>
            <w:shd w:val="clear" w:color="auto" w:fill="auto"/>
            <w:noWrap/>
          </w:tcPr>
          <w:p w14:paraId="2C4C21FD" w14:textId="77777777" w:rsidR="00C640EF" w:rsidRPr="000A66EE" w:rsidRDefault="00C640EF" w:rsidP="002F131C">
            <w:pPr>
              <w:rPr>
                <w:rFonts w:ascii="Montserrat Medium" w:hAnsi="Montserrat Medium" w:cs="Calibri"/>
                <w:sz w:val="14"/>
                <w:szCs w:val="18"/>
                <w:lang w:eastAsia="es-MX"/>
              </w:rPr>
            </w:pPr>
            <w:r w:rsidRPr="000A66EE">
              <w:rPr>
                <w:rFonts w:ascii="Montserrat Medium" w:hAnsi="Montserrat Medium" w:cs="Calibri"/>
                <w:sz w:val="14"/>
                <w:szCs w:val="18"/>
                <w:lang w:eastAsia="es-MX"/>
              </w:rPr>
              <w:t xml:space="preserve">Devoluciones de la Ley de Ingresos por Pagar a Corto Plazo </w:t>
            </w:r>
          </w:p>
        </w:tc>
        <w:tc>
          <w:tcPr>
            <w:tcW w:w="1273" w:type="dxa"/>
            <w:tcBorders>
              <w:left w:val="nil"/>
              <w:right w:val="single" w:sz="4" w:space="0" w:color="auto"/>
            </w:tcBorders>
            <w:shd w:val="clear" w:color="auto" w:fill="auto"/>
            <w:noWrap/>
            <w:vAlign w:val="center"/>
          </w:tcPr>
          <w:p w14:paraId="7FC0A925" w14:textId="55BA0BAC"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0.00</w:t>
            </w:r>
          </w:p>
        </w:tc>
        <w:tc>
          <w:tcPr>
            <w:tcW w:w="1276" w:type="dxa"/>
            <w:tcBorders>
              <w:left w:val="nil"/>
              <w:right w:val="single" w:sz="4" w:space="0" w:color="auto"/>
            </w:tcBorders>
            <w:shd w:val="clear" w:color="auto" w:fill="auto"/>
            <w:noWrap/>
            <w:vAlign w:val="center"/>
          </w:tcPr>
          <w:p w14:paraId="1D25E029" w14:textId="11133056"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0.00</w:t>
            </w:r>
          </w:p>
        </w:tc>
        <w:tc>
          <w:tcPr>
            <w:tcW w:w="1258" w:type="dxa"/>
            <w:tcBorders>
              <w:left w:val="nil"/>
              <w:right w:val="single" w:sz="4" w:space="0" w:color="auto"/>
            </w:tcBorders>
            <w:shd w:val="clear" w:color="auto" w:fill="auto"/>
            <w:noWrap/>
            <w:vAlign w:val="center"/>
          </w:tcPr>
          <w:p w14:paraId="51155824" w14:textId="25604E2D"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0.00</w:t>
            </w:r>
          </w:p>
        </w:tc>
        <w:tc>
          <w:tcPr>
            <w:tcW w:w="1285" w:type="dxa"/>
            <w:tcBorders>
              <w:left w:val="nil"/>
              <w:right w:val="single" w:sz="4" w:space="0" w:color="auto"/>
            </w:tcBorders>
            <w:shd w:val="clear" w:color="auto" w:fill="auto"/>
            <w:noWrap/>
            <w:vAlign w:val="center"/>
          </w:tcPr>
          <w:p w14:paraId="3AE32F5A" w14:textId="7CD3262B"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0.00</w:t>
            </w:r>
          </w:p>
        </w:tc>
        <w:tc>
          <w:tcPr>
            <w:tcW w:w="1439" w:type="dxa"/>
            <w:tcBorders>
              <w:left w:val="nil"/>
              <w:right w:val="single" w:sz="4" w:space="0" w:color="auto"/>
            </w:tcBorders>
            <w:shd w:val="clear" w:color="auto" w:fill="auto"/>
            <w:noWrap/>
            <w:vAlign w:val="center"/>
          </w:tcPr>
          <w:p w14:paraId="389C541B" w14:textId="11ED9E02"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0.00</w:t>
            </w:r>
          </w:p>
        </w:tc>
      </w:tr>
      <w:tr w:rsidR="00C640EF" w:rsidRPr="000A66EE" w14:paraId="1E8EB025" w14:textId="77777777" w:rsidTr="00C640EF">
        <w:trPr>
          <w:trHeight w:hRule="exact" w:val="227"/>
          <w:jc w:val="center"/>
        </w:trPr>
        <w:tc>
          <w:tcPr>
            <w:tcW w:w="3472" w:type="dxa"/>
            <w:tcBorders>
              <w:left w:val="single" w:sz="4" w:space="0" w:color="auto"/>
              <w:bottom w:val="single" w:sz="4" w:space="0" w:color="auto"/>
              <w:right w:val="single" w:sz="4" w:space="0" w:color="auto"/>
            </w:tcBorders>
            <w:shd w:val="clear" w:color="auto" w:fill="auto"/>
            <w:noWrap/>
            <w:hideMark/>
          </w:tcPr>
          <w:p w14:paraId="7A1A41B5" w14:textId="77777777" w:rsidR="00C640EF" w:rsidRPr="000A66EE" w:rsidRDefault="00C640EF" w:rsidP="002F131C">
            <w:pPr>
              <w:rPr>
                <w:rFonts w:ascii="Montserrat Medium" w:hAnsi="Montserrat Medium" w:cs="Calibri"/>
                <w:sz w:val="14"/>
                <w:szCs w:val="18"/>
                <w:lang w:eastAsia="es-MX"/>
              </w:rPr>
            </w:pPr>
            <w:r w:rsidRPr="000A66EE">
              <w:rPr>
                <w:rFonts w:ascii="Montserrat Medium" w:hAnsi="Montserrat Medium" w:cs="Calibri"/>
                <w:sz w:val="14"/>
                <w:szCs w:val="18"/>
                <w:lang w:eastAsia="es-MX"/>
              </w:rPr>
              <w:t xml:space="preserve">Otras cuentas por pagar a corto plazo </w:t>
            </w:r>
          </w:p>
        </w:tc>
        <w:tc>
          <w:tcPr>
            <w:tcW w:w="1273" w:type="dxa"/>
            <w:tcBorders>
              <w:left w:val="nil"/>
              <w:bottom w:val="single" w:sz="4" w:space="0" w:color="auto"/>
              <w:right w:val="single" w:sz="4" w:space="0" w:color="auto"/>
            </w:tcBorders>
            <w:shd w:val="clear" w:color="auto" w:fill="auto"/>
            <w:noWrap/>
            <w:vAlign w:val="center"/>
          </w:tcPr>
          <w:p w14:paraId="5C57B949" w14:textId="3FE50BFC"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450,075.43</w:t>
            </w:r>
          </w:p>
        </w:tc>
        <w:tc>
          <w:tcPr>
            <w:tcW w:w="1276" w:type="dxa"/>
            <w:tcBorders>
              <w:left w:val="nil"/>
              <w:bottom w:val="single" w:sz="4" w:space="0" w:color="auto"/>
              <w:right w:val="single" w:sz="4" w:space="0" w:color="auto"/>
            </w:tcBorders>
            <w:shd w:val="clear" w:color="auto" w:fill="auto"/>
            <w:noWrap/>
            <w:vAlign w:val="center"/>
          </w:tcPr>
          <w:p w14:paraId="2C6BFB2A" w14:textId="79BB6862"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0.00</w:t>
            </w:r>
          </w:p>
        </w:tc>
        <w:tc>
          <w:tcPr>
            <w:tcW w:w="1258" w:type="dxa"/>
            <w:tcBorders>
              <w:left w:val="nil"/>
              <w:bottom w:val="single" w:sz="4" w:space="0" w:color="auto"/>
              <w:right w:val="single" w:sz="4" w:space="0" w:color="auto"/>
            </w:tcBorders>
            <w:shd w:val="clear" w:color="auto" w:fill="auto"/>
            <w:noWrap/>
            <w:vAlign w:val="center"/>
          </w:tcPr>
          <w:p w14:paraId="458F4556" w14:textId="1612E32D"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0.00</w:t>
            </w:r>
          </w:p>
        </w:tc>
        <w:tc>
          <w:tcPr>
            <w:tcW w:w="1285" w:type="dxa"/>
            <w:tcBorders>
              <w:left w:val="nil"/>
              <w:bottom w:val="single" w:sz="4" w:space="0" w:color="auto"/>
              <w:right w:val="single" w:sz="4" w:space="0" w:color="auto"/>
            </w:tcBorders>
            <w:shd w:val="clear" w:color="auto" w:fill="auto"/>
            <w:noWrap/>
            <w:vAlign w:val="center"/>
          </w:tcPr>
          <w:p w14:paraId="2463CE3C" w14:textId="7B252D84"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23,957,062.88</w:t>
            </w:r>
          </w:p>
        </w:tc>
        <w:tc>
          <w:tcPr>
            <w:tcW w:w="1439" w:type="dxa"/>
            <w:tcBorders>
              <w:left w:val="nil"/>
              <w:bottom w:val="single" w:sz="4" w:space="0" w:color="auto"/>
              <w:right w:val="single" w:sz="4" w:space="0" w:color="auto"/>
            </w:tcBorders>
            <w:shd w:val="clear" w:color="auto" w:fill="auto"/>
            <w:noWrap/>
            <w:vAlign w:val="center"/>
            <w:hideMark/>
          </w:tcPr>
          <w:p w14:paraId="23EB8D0B" w14:textId="05D332C9" w:rsidR="00C640EF" w:rsidRPr="00C640EF" w:rsidRDefault="00C640EF" w:rsidP="002F131C">
            <w:pPr>
              <w:jc w:val="right"/>
              <w:rPr>
                <w:rFonts w:ascii="Montserrat Medium" w:hAnsi="Montserrat Medium" w:cs="Calibri"/>
                <w:sz w:val="14"/>
                <w:szCs w:val="14"/>
                <w:lang w:eastAsia="es-MX"/>
              </w:rPr>
            </w:pPr>
            <w:r w:rsidRPr="00C640EF">
              <w:rPr>
                <w:rFonts w:ascii="Montserrat Medium" w:hAnsi="Montserrat Medium" w:cs="Calibri"/>
                <w:color w:val="000000"/>
                <w:sz w:val="14"/>
                <w:szCs w:val="14"/>
              </w:rPr>
              <w:t>24,407,138.31</w:t>
            </w:r>
          </w:p>
        </w:tc>
      </w:tr>
      <w:tr w:rsidR="00C640EF" w:rsidRPr="00D56579" w14:paraId="149505E2" w14:textId="77777777" w:rsidTr="00C640EF">
        <w:trPr>
          <w:trHeight w:hRule="exact" w:val="227"/>
          <w:jc w:val="center"/>
        </w:trPr>
        <w:tc>
          <w:tcPr>
            <w:tcW w:w="3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84A6A" w14:textId="77777777" w:rsidR="00C640EF" w:rsidRPr="000A66EE" w:rsidRDefault="00C640EF" w:rsidP="002F131C">
            <w:pPr>
              <w:rPr>
                <w:rFonts w:ascii="Montserrat Medium" w:hAnsi="Montserrat Medium" w:cs="Calibri"/>
                <w:b/>
                <w:sz w:val="14"/>
                <w:szCs w:val="18"/>
                <w:lang w:eastAsia="es-MX"/>
              </w:rPr>
            </w:pPr>
            <w:r w:rsidRPr="000A66EE">
              <w:rPr>
                <w:rFonts w:ascii="Montserrat Medium" w:hAnsi="Montserrat Medium" w:cs="Calibri"/>
                <w:b/>
                <w:sz w:val="14"/>
                <w:szCs w:val="18"/>
                <w:lang w:eastAsia="es-MX"/>
              </w:rPr>
              <w:t>Total</w:t>
            </w:r>
          </w:p>
        </w:tc>
        <w:tc>
          <w:tcPr>
            <w:tcW w:w="1273" w:type="dxa"/>
            <w:tcBorders>
              <w:top w:val="single" w:sz="4" w:space="0" w:color="auto"/>
              <w:left w:val="nil"/>
              <w:bottom w:val="single" w:sz="4" w:space="0" w:color="auto"/>
              <w:right w:val="single" w:sz="4" w:space="0" w:color="auto"/>
            </w:tcBorders>
            <w:shd w:val="clear" w:color="auto" w:fill="auto"/>
            <w:noWrap/>
            <w:vAlign w:val="center"/>
          </w:tcPr>
          <w:p w14:paraId="501BAF94" w14:textId="2370B079" w:rsidR="00C640EF" w:rsidRPr="00C640EF" w:rsidRDefault="00C640EF" w:rsidP="002F131C">
            <w:pPr>
              <w:jc w:val="right"/>
              <w:rPr>
                <w:rFonts w:ascii="Montserrat Medium" w:hAnsi="Montserrat Medium" w:cs="Calibri"/>
                <w:b/>
                <w:bCs/>
                <w:sz w:val="14"/>
                <w:szCs w:val="14"/>
                <w:lang w:eastAsia="es-MX"/>
              </w:rPr>
            </w:pPr>
            <w:r w:rsidRPr="00C640EF">
              <w:rPr>
                <w:rFonts w:ascii="Montserrat Medium" w:hAnsi="Montserrat Medium" w:cs="Calibri"/>
                <w:b/>
                <w:bCs/>
                <w:color w:val="000000"/>
                <w:sz w:val="14"/>
                <w:szCs w:val="14"/>
              </w:rPr>
              <w:t>744,872,866.37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2BB042" w14:textId="5FDD1389" w:rsidR="00C640EF" w:rsidRPr="00C640EF" w:rsidRDefault="00C640EF" w:rsidP="002F131C">
            <w:pPr>
              <w:jc w:val="right"/>
              <w:rPr>
                <w:rFonts w:ascii="Montserrat Medium" w:hAnsi="Montserrat Medium" w:cs="Calibri"/>
                <w:b/>
                <w:bCs/>
                <w:sz w:val="14"/>
                <w:szCs w:val="14"/>
                <w:lang w:eastAsia="es-MX"/>
              </w:rPr>
            </w:pPr>
            <w:r w:rsidRPr="00C640EF">
              <w:rPr>
                <w:rFonts w:ascii="Montserrat Medium" w:hAnsi="Montserrat Medium" w:cs="Calibri"/>
                <w:b/>
                <w:bCs/>
                <w:color w:val="000000"/>
                <w:sz w:val="14"/>
                <w:szCs w:val="14"/>
              </w:rPr>
              <w:t>0.00</w:t>
            </w:r>
          </w:p>
        </w:tc>
        <w:tc>
          <w:tcPr>
            <w:tcW w:w="1258" w:type="dxa"/>
            <w:tcBorders>
              <w:top w:val="single" w:sz="4" w:space="0" w:color="auto"/>
              <w:left w:val="nil"/>
              <w:bottom w:val="single" w:sz="4" w:space="0" w:color="auto"/>
              <w:right w:val="single" w:sz="4" w:space="0" w:color="auto"/>
            </w:tcBorders>
            <w:shd w:val="clear" w:color="auto" w:fill="auto"/>
            <w:noWrap/>
            <w:vAlign w:val="center"/>
          </w:tcPr>
          <w:p w14:paraId="1415B89C" w14:textId="16111A25" w:rsidR="00C640EF" w:rsidRPr="00C640EF" w:rsidRDefault="00C640EF" w:rsidP="002F131C">
            <w:pPr>
              <w:jc w:val="right"/>
              <w:rPr>
                <w:rFonts w:ascii="Montserrat Medium" w:hAnsi="Montserrat Medium" w:cs="Calibri"/>
                <w:b/>
                <w:bCs/>
                <w:sz w:val="14"/>
                <w:szCs w:val="14"/>
                <w:lang w:eastAsia="es-MX"/>
              </w:rPr>
            </w:pPr>
            <w:r w:rsidRPr="00C640EF">
              <w:rPr>
                <w:rFonts w:ascii="Montserrat Medium" w:hAnsi="Montserrat Medium" w:cs="Calibri"/>
                <w:b/>
                <w:bCs/>
                <w:color w:val="000000"/>
                <w:sz w:val="14"/>
                <w:szCs w:val="14"/>
              </w:rPr>
              <w:t>0.00</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2057E9FA" w14:textId="01058924" w:rsidR="00C640EF" w:rsidRPr="00C640EF" w:rsidRDefault="00C640EF" w:rsidP="002F131C">
            <w:pPr>
              <w:jc w:val="right"/>
              <w:rPr>
                <w:rFonts w:ascii="Montserrat Medium" w:hAnsi="Montserrat Medium" w:cs="Calibri"/>
                <w:b/>
                <w:bCs/>
                <w:sz w:val="14"/>
                <w:szCs w:val="14"/>
                <w:lang w:eastAsia="es-MX"/>
              </w:rPr>
            </w:pPr>
            <w:r w:rsidRPr="00C640EF">
              <w:rPr>
                <w:rFonts w:ascii="Montserrat Medium" w:hAnsi="Montserrat Medium" w:cs="Calibri"/>
                <w:b/>
                <w:bCs/>
                <w:color w:val="000000"/>
                <w:sz w:val="14"/>
                <w:szCs w:val="14"/>
              </w:rPr>
              <w:t>50,762,741.58</w:t>
            </w:r>
          </w:p>
        </w:tc>
        <w:tc>
          <w:tcPr>
            <w:tcW w:w="1439" w:type="dxa"/>
            <w:tcBorders>
              <w:top w:val="single" w:sz="4" w:space="0" w:color="auto"/>
              <w:left w:val="nil"/>
              <w:bottom w:val="single" w:sz="4" w:space="0" w:color="auto"/>
              <w:right w:val="single" w:sz="4" w:space="0" w:color="auto"/>
            </w:tcBorders>
            <w:shd w:val="clear" w:color="auto" w:fill="auto"/>
            <w:noWrap/>
            <w:vAlign w:val="center"/>
            <w:hideMark/>
          </w:tcPr>
          <w:p w14:paraId="67B7E33A" w14:textId="3977D122" w:rsidR="00C640EF" w:rsidRPr="00C640EF" w:rsidRDefault="00C640EF" w:rsidP="002F131C">
            <w:pPr>
              <w:jc w:val="right"/>
              <w:rPr>
                <w:rFonts w:ascii="Montserrat Medium" w:hAnsi="Montserrat Medium"/>
                <w:b/>
                <w:sz w:val="14"/>
                <w:szCs w:val="14"/>
              </w:rPr>
            </w:pPr>
            <w:r w:rsidRPr="00C640EF">
              <w:rPr>
                <w:rFonts w:ascii="Montserrat Medium" w:hAnsi="Montserrat Medium" w:cs="Calibri"/>
                <w:b/>
                <w:bCs/>
                <w:color w:val="000000"/>
                <w:sz w:val="14"/>
                <w:szCs w:val="14"/>
              </w:rPr>
              <w:t>795,635,607.95</w:t>
            </w:r>
          </w:p>
        </w:tc>
      </w:tr>
    </w:tbl>
    <w:p w14:paraId="10C1643B" w14:textId="77777777" w:rsidR="00E242CA" w:rsidRPr="00D56579" w:rsidRDefault="00E242CA" w:rsidP="002F131C">
      <w:pPr>
        <w:jc w:val="both"/>
        <w:rPr>
          <w:rFonts w:ascii="Montserrat Medium" w:eastAsia="Times New Roman" w:hAnsi="Montserrat Medium" w:cs="Arial"/>
          <w:color w:val="595959"/>
          <w:lang w:eastAsia="en-US"/>
        </w:rPr>
      </w:pPr>
    </w:p>
    <w:p w14:paraId="7CD615A2" w14:textId="1A284D4E" w:rsidR="001E3866" w:rsidRPr="00D56579" w:rsidRDefault="005B5383" w:rsidP="002F131C">
      <w:pPr>
        <w:keepNext/>
        <w:keepLines/>
        <w:jc w:val="both"/>
        <w:outlineLvl w:val="6"/>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lastRenderedPageBreak/>
        <w:t xml:space="preserve">2. </w:t>
      </w:r>
      <w:r w:rsidR="001E3866" w:rsidRPr="00D56579">
        <w:rPr>
          <w:rFonts w:ascii="Montserrat Medium" w:eastAsia="Times New Roman" w:hAnsi="Montserrat Medium" w:cs="Arial"/>
          <w:b/>
          <w:iCs/>
          <w:color w:val="595959"/>
          <w:sz w:val="22"/>
        </w:rPr>
        <w:t xml:space="preserve">Fondos y Bienes de Terceros en Garantía y/o Administración </w:t>
      </w:r>
    </w:p>
    <w:p w14:paraId="3C08DA0B" w14:textId="77777777" w:rsidR="006E0A72" w:rsidRPr="00D56579" w:rsidRDefault="006E0A72" w:rsidP="002F131C">
      <w:pPr>
        <w:jc w:val="both"/>
        <w:rPr>
          <w:rFonts w:ascii="Montserrat Medium" w:eastAsia="Times New Roman" w:hAnsi="Montserrat Medium" w:cs="Arial"/>
          <w:color w:val="595959"/>
          <w:sz w:val="22"/>
          <w:lang w:eastAsia="en-US"/>
        </w:rPr>
      </w:pPr>
    </w:p>
    <w:p w14:paraId="3AA1AAF1" w14:textId="5DFFB0CC" w:rsidR="001E757F" w:rsidRPr="00D56579" w:rsidRDefault="001E757F" w:rsidP="002F131C">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Esta cuenta representa los fondos propiedad de terceros en garantía del cumplimiento de obligaciones contractuales o legales, o para su administración, que eventualmente se tendrán que devolver a su titular en un plazo menor o igual a doce meses, se integra por </w:t>
      </w:r>
      <w:r w:rsidR="005671FD" w:rsidRPr="00D56579">
        <w:rPr>
          <w:rFonts w:ascii="Montserrat Medium" w:eastAsia="Times New Roman" w:hAnsi="Montserrat Medium" w:cs="Arial"/>
          <w:color w:val="595959"/>
          <w:sz w:val="22"/>
          <w:lang w:eastAsia="en-US"/>
        </w:rPr>
        <w:t xml:space="preserve">8,469,130.10 </w:t>
      </w:r>
      <w:r w:rsidR="00322857" w:rsidRPr="00D56579">
        <w:rPr>
          <w:rFonts w:ascii="Montserrat Medium" w:eastAsia="Times New Roman" w:hAnsi="Montserrat Medium" w:cs="Arial"/>
          <w:color w:val="595959"/>
          <w:sz w:val="22"/>
          <w:lang w:eastAsia="en-US"/>
        </w:rPr>
        <w:t xml:space="preserve">pesos y </w:t>
      </w:r>
      <w:r w:rsidR="00A34FB4">
        <w:rPr>
          <w:rFonts w:ascii="Montserrat Medium" w:eastAsia="Times New Roman" w:hAnsi="Montserrat Medium" w:cs="Arial"/>
          <w:color w:val="595959"/>
          <w:sz w:val="22"/>
          <w:lang w:eastAsia="en-US"/>
        </w:rPr>
        <w:t>8,469,130.10</w:t>
      </w:r>
      <w:r w:rsidR="00322857" w:rsidRPr="00D56579">
        <w:rPr>
          <w:rFonts w:ascii="Montserrat Medium" w:eastAsia="Times New Roman" w:hAnsi="Montserrat Medium" w:cs="Arial"/>
          <w:color w:val="595959"/>
          <w:sz w:val="22"/>
          <w:lang w:eastAsia="en-US"/>
        </w:rPr>
        <w:t xml:space="preserve">, respectivamente y se integra </w:t>
      </w:r>
      <w:r w:rsidRPr="00D56579">
        <w:rPr>
          <w:rFonts w:ascii="Montserrat Medium" w:eastAsia="Times New Roman" w:hAnsi="Montserrat Medium" w:cs="Arial"/>
          <w:color w:val="595959"/>
          <w:sz w:val="22"/>
          <w:lang w:eastAsia="en-US"/>
        </w:rPr>
        <w:t>de la siguiente manera:</w:t>
      </w:r>
    </w:p>
    <w:p w14:paraId="6727BC4F" w14:textId="77777777" w:rsidR="008C7C50" w:rsidRPr="00D56579" w:rsidRDefault="008C7C50" w:rsidP="002F131C">
      <w:pPr>
        <w:jc w:val="both"/>
        <w:rPr>
          <w:rFonts w:ascii="Montserrat Medium" w:eastAsia="Times New Roman" w:hAnsi="Montserrat Medium" w:cs="Arial"/>
          <w:color w:val="595959"/>
          <w:sz w:val="20"/>
          <w:szCs w:val="20"/>
          <w:lang w:eastAsia="en-US"/>
        </w:rPr>
      </w:pPr>
    </w:p>
    <w:tbl>
      <w:tblPr>
        <w:tblW w:w="10176" w:type="dxa"/>
        <w:jc w:val="center"/>
        <w:tblCellMar>
          <w:left w:w="70" w:type="dxa"/>
          <w:right w:w="70" w:type="dxa"/>
        </w:tblCellMar>
        <w:tblLook w:val="04A0" w:firstRow="1" w:lastRow="0" w:firstColumn="1" w:lastColumn="0" w:noHBand="0" w:noVBand="1"/>
      </w:tblPr>
      <w:tblGrid>
        <w:gridCol w:w="7158"/>
        <w:gridCol w:w="1509"/>
        <w:gridCol w:w="1509"/>
      </w:tblGrid>
      <w:tr w:rsidR="00A34FB4" w:rsidRPr="0056239F" w14:paraId="145AB4BB" w14:textId="532C3E82" w:rsidTr="0056239F">
        <w:trPr>
          <w:trHeight w:hRule="exact" w:val="352"/>
          <w:tblHeader/>
          <w:jc w:val="center"/>
        </w:trPr>
        <w:tc>
          <w:tcPr>
            <w:tcW w:w="71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A701DF4" w14:textId="77777777" w:rsidR="00A34FB4" w:rsidRPr="0056239F" w:rsidRDefault="00A34FB4" w:rsidP="002F131C">
            <w:pPr>
              <w:jc w:val="center"/>
              <w:rPr>
                <w:rFonts w:ascii="Montserrat Medium" w:eastAsia="Times New Roman" w:hAnsi="Montserrat Medium" w:cs="Calibri"/>
                <w:b/>
                <w:bCs/>
                <w:color w:val="000000"/>
                <w:sz w:val="16"/>
                <w:szCs w:val="18"/>
                <w:lang w:val="es-MX" w:eastAsia="es-MX"/>
              </w:rPr>
            </w:pPr>
            <w:r w:rsidRPr="0056239F">
              <w:rPr>
                <w:rFonts w:ascii="Montserrat Medium" w:eastAsia="Times New Roman" w:hAnsi="Montserrat Medium" w:cs="Calibri"/>
                <w:b/>
                <w:bCs/>
                <w:color w:val="000000"/>
                <w:sz w:val="16"/>
                <w:szCs w:val="18"/>
                <w:lang w:eastAsia="es-MX"/>
              </w:rPr>
              <w:t>Concepto</w:t>
            </w:r>
          </w:p>
        </w:tc>
        <w:tc>
          <w:tcPr>
            <w:tcW w:w="150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5467A11" w14:textId="209B1B78" w:rsidR="00A34FB4" w:rsidRPr="0056239F" w:rsidRDefault="00A34FB4" w:rsidP="002F131C">
            <w:pPr>
              <w:jc w:val="center"/>
              <w:rPr>
                <w:rFonts w:ascii="Montserrat Medium" w:eastAsia="Times New Roman" w:hAnsi="Montserrat Medium" w:cs="Calibri"/>
                <w:b/>
                <w:bCs/>
                <w:color w:val="000000"/>
                <w:sz w:val="16"/>
                <w:szCs w:val="18"/>
                <w:lang w:eastAsia="es-MX"/>
              </w:rPr>
            </w:pPr>
            <w:r w:rsidRPr="0056239F">
              <w:rPr>
                <w:rFonts w:ascii="Montserrat Medium" w:hAnsi="Montserrat Medium" w:cs="Calibri"/>
                <w:b/>
                <w:bCs/>
                <w:color w:val="000000"/>
                <w:sz w:val="16"/>
                <w:szCs w:val="18"/>
              </w:rPr>
              <w:t>Al 3</w:t>
            </w:r>
            <w:r w:rsidR="00C640EF" w:rsidRPr="0056239F">
              <w:rPr>
                <w:rFonts w:ascii="Montserrat Medium" w:hAnsi="Montserrat Medium" w:cs="Calibri"/>
                <w:b/>
                <w:bCs/>
                <w:color w:val="000000"/>
                <w:sz w:val="16"/>
                <w:szCs w:val="18"/>
              </w:rPr>
              <w:t>0</w:t>
            </w:r>
            <w:r w:rsidRPr="0056239F">
              <w:rPr>
                <w:rFonts w:ascii="Montserrat Medium" w:hAnsi="Montserrat Medium" w:cs="Calibri"/>
                <w:b/>
                <w:bCs/>
                <w:color w:val="000000"/>
                <w:sz w:val="16"/>
                <w:szCs w:val="18"/>
              </w:rPr>
              <w:t xml:space="preserve"> de </w:t>
            </w:r>
            <w:r w:rsidR="00C640EF" w:rsidRPr="0056239F">
              <w:rPr>
                <w:rFonts w:ascii="Montserrat Medium" w:hAnsi="Montserrat Medium" w:cs="Calibri"/>
                <w:b/>
                <w:bCs/>
                <w:color w:val="000000"/>
                <w:sz w:val="16"/>
                <w:szCs w:val="18"/>
              </w:rPr>
              <w:t>Junio</w:t>
            </w:r>
            <w:r w:rsidRPr="0056239F">
              <w:rPr>
                <w:rFonts w:ascii="Montserrat Medium" w:hAnsi="Montserrat Medium" w:cs="Calibri"/>
                <w:b/>
                <w:bCs/>
                <w:color w:val="000000"/>
                <w:sz w:val="16"/>
                <w:szCs w:val="18"/>
              </w:rPr>
              <w:t xml:space="preserve"> de 2025</w:t>
            </w:r>
          </w:p>
        </w:tc>
        <w:tc>
          <w:tcPr>
            <w:tcW w:w="15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66D598" w14:textId="214130A8" w:rsidR="00A34FB4" w:rsidRPr="0056239F" w:rsidRDefault="00A34FB4" w:rsidP="002F131C">
            <w:pPr>
              <w:jc w:val="center"/>
              <w:rPr>
                <w:rFonts w:ascii="Montserrat Medium" w:eastAsia="Times New Roman" w:hAnsi="Montserrat Medium" w:cs="Calibri"/>
                <w:b/>
                <w:bCs/>
                <w:color w:val="000000"/>
                <w:sz w:val="16"/>
                <w:szCs w:val="18"/>
                <w:lang w:eastAsia="es-MX"/>
              </w:rPr>
            </w:pPr>
            <w:r w:rsidRPr="0056239F">
              <w:rPr>
                <w:rFonts w:ascii="Montserrat Medium" w:hAnsi="Montserrat Medium" w:cs="Calibri"/>
                <w:b/>
                <w:bCs/>
                <w:color w:val="000000"/>
                <w:sz w:val="16"/>
                <w:szCs w:val="18"/>
              </w:rPr>
              <w:t>2024</w:t>
            </w:r>
          </w:p>
        </w:tc>
      </w:tr>
      <w:tr w:rsidR="00C640EF" w:rsidRPr="0056239F" w14:paraId="5F971CCC" w14:textId="0C94EC22" w:rsidTr="00CF691F">
        <w:trPr>
          <w:trHeight w:hRule="exact" w:val="227"/>
          <w:jc w:val="center"/>
        </w:trPr>
        <w:tc>
          <w:tcPr>
            <w:tcW w:w="7158" w:type="dxa"/>
            <w:tcBorders>
              <w:top w:val="nil"/>
              <w:left w:val="single" w:sz="4" w:space="0" w:color="auto"/>
              <w:right w:val="single" w:sz="4" w:space="0" w:color="auto"/>
            </w:tcBorders>
            <w:shd w:val="clear" w:color="auto" w:fill="auto"/>
            <w:noWrap/>
            <w:vAlign w:val="bottom"/>
            <w:hideMark/>
          </w:tcPr>
          <w:p w14:paraId="5F5F610B" w14:textId="77777777" w:rsidR="00C640EF" w:rsidRPr="0056239F" w:rsidRDefault="00C640EF" w:rsidP="002F131C">
            <w:pPr>
              <w:rPr>
                <w:rFonts w:ascii="Montserrat Medium" w:hAnsi="Montserrat Medium" w:cs="Calibri"/>
                <w:color w:val="000000"/>
                <w:sz w:val="16"/>
                <w:szCs w:val="18"/>
                <w:lang w:eastAsia="es-MX"/>
              </w:rPr>
            </w:pPr>
            <w:r w:rsidRPr="0056239F">
              <w:rPr>
                <w:rFonts w:ascii="Montserrat Medium" w:hAnsi="Montserrat Medium" w:cs="Calibri"/>
                <w:color w:val="000000"/>
                <w:sz w:val="16"/>
                <w:szCs w:val="18"/>
                <w:lang w:eastAsia="es-MX"/>
              </w:rPr>
              <w:t>Agencia de Proyectos Estratégicos del Estado de Quintana Roo</w:t>
            </w:r>
          </w:p>
        </w:tc>
        <w:tc>
          <w:tcPr>
            <w:tcW w:w="1509" w:type="dxa"/>
            <w:tcBorders>
              <w:top w:val="nil"/>
              <w:left w:val="nil"/>
              <w:right w:val="single" w:sz="4" w:space="0" w:color="auto"/>
            </w:tcBorders>
            <w:vAlign w:val="center"/>
          </w:tcPr>
          <w:p w14:paraId="48E2100C" w14:textId="427480A2" w:rsidR="00C640EF" w:rsidRPr="0056239F" w:rsidRDefault="00C640EF" w:rsidP="002F131C">
            <w:pPr>
              <w:jc w:val="right"/>
              <w:rPr>
                <w:rFonts w:ascii="Montserrat Medium" w:hAnsi="Montserrat Medium" w:cs="Calibri"/>
                <w:sz w:val="16"/>
                <w:szCs w:val="18"/>
              </w:rPr>
            </w:pPr>
            <w:r w:rsidRPr="0056239F">
              <w:rPr>
                <w:rFonts w:ascii="Montserrat Medium" w:hAnsi="Montserrat Medium" w:cs="Calibri"/>
                <w:color w:val="000000"/>
                <w:sz w:val="16"/>
                <w:szCs w:val="18"/>
              </w:rPr>
              <w:t>217,441.16</w:t>
            </w:r>
          </w:p>
        </w:tc>
        <w:tc>
          <w:tcPr>
            <w:tcW w:w="1509" w:type="dxa"/>
            <w:tcBorders>
              <w:top w:val="nil"/>
              <w:left w:val="single" w:sz="4" w:space="0" w:color="auto"/>
              <w:right w:val="single" w:sz="4" w:space="0" w:color="auto"/>
            </w:tcBorders>
            <w:vAlign w:val="center"/>
          </w:tcPr>
          <w:p w14:paraId="483394A4" w14:textId="336D5EB7" w:rsidR="00C640EF" w:rsidRPr="0056239F" w:rsidRDefault="00C640EF" w:rsidP="002F131C">
            <w:pPr>
              <w:jc w:val="right"/>
              <w:rPr>
                <w:rFonts w:ascii="Montserrat Medium" w:hAnsi="Montserrat Medium" w:cs="Calibri"/>
                <w:sz w:val="16"/>
                <w:szCs w:val="18"/>
              </w:rPr>
            </w:pPr>
            <w:r w:rsidRPr="0056239F">
              <w:rPr>
                <w:rFonts w:ascii="Montserrat Medium" w:hAnsi="Montserrat Medium" w:cs="Calibri"/>
                <w:color w:val="000000"/>
                <w:sz w:val="16"/>
                <w:szCs w:val="18"/>
              </w:rPr>
              <w:t>217,441.16</w:t>
            </w:r>
          </w:p>
        </w:tc>
      </w:tr>
      <w:tr w:rsidR="00C640EF" w:rsidRPr="0056239F" w14:paraId="5BE040EA" w14:textId="7DDA2B92" w:rsidTr="0035610C">
        <w:trPr>
          <w:trHeight w:hRule="exact" w:val="241"/>
          <w:jc w:val="center"/>
        </w:trPr>
        <w:tc>
          <w:tcPr>
            <w:tcW w:w="7158" w:type="dxa"/>
            <w:tcBorders>
              <w:top w:val="nil"/>
              <w:left w:val="single" w:sz="4" w:space="0" w:color="auto"/>
              <w:right w:val="single" w:sz="4" w:space="0" w:color="auto"/>
            </w:tcBorders>
            <w:shd w:val="clear" w:color="auto" w:fill="auto"/>
            <w:noWrap/>
            <w:vAlign w:val="bottom"/>
            <w:hideMark/>
          </w:tcPr>
          <w:p w14:paraId="43389FE4" w14:textId="61803AD6" w:rsidR="00C640EF" w:rsidRPr="0056239F" w:rsidRDefault="00C640EF" w:rsidP="002F131C">
            <w:pPr>
              <w:rPr>
                <w:rFonts w:ascii="Montserrat Medium" w:hAnsi="Montserrat Medium" w:cs="Calibri"/>
                <w:color w:val="000000"/>
                <w:sz w:val="16"/>
                <w:szCs w:val="18"/>
                <w:lang w:eastAsia="es-MX"/>
              </w:rPr>
            </w:pPr>
            <w:r w:rsidRPr="0056239F">
              <w:rPr>
                <w:rFonts w:ascii="Montserrat Medium" w:hAnsi="Montserrat Medium" w:cs="Calibri"/>
                <w:color w:val="000000"/>
                <w:sz w:val="16"/>
                <w:szCs w:val="18"/>
                <w:lang w:eastAsia="es-MX"/>
              </w:rPr>
              <w:t>Centro de Estudios de Bachillerato Técnico,  "Eva Sámano de López Mateos"</w:t>
            </w:r>
          </w:p>
        </w:tc>
        <w:tc>
          <w:tcPr>
            <w:tcW w:w="1509" w:type="dxa"/>
            <w:tcBorders>
              <w:top w:val="nil"/>
              <w:left w:val="nil"/>
              <w:right w:val="single" w:sz="4" w:space="0" w:color="auto"/>
            </w:tcBorders>
            <w:vAlign w:val="center"/>
          </w:tcPr>
          <w:p w14:paraId="2DB7D8EA" w14:textId="29FABC5F" w:rsidR="00C640EF" w:rsidRPr="0056239F" w:rsidRDefault="00C640EF" w:rsidP="002F131C">
            <w:pPr>
              <w:jc w:val="right"/>
              <w:rPr>
                <w:rFonts w:ascii="Montserrat Medium" w:hAnsi="Montserrat Medium" w:cs="Calibri"/>
                <w:sz w:val="16"/>
                <w:szCs w:val="18"/>
              </w:rPr>
            </w:pPr>
            <w:r w:rsidRPr="0056239F">
              <w:rPr>
                <w:rFonts w:ascii="Montserrat Medium" w:hAnsi="Montserrat Medium" w:cs="Calibri"/>
                <w:color w:val="000000"/>
                <w:sz w:val="16"/>
                <w:szCs w:val="18"/>
              </w:rPr>
              <w:t>1,976,351.00</w:t>
            </w:r>
          </w:p>
        </w:tc>
        <w:tc>
          <w:tcPr>
            <w:tcW w:w="1509" w:type="dxa"/>
            <w:tcBorders>
              <w:top w:val="nil"/>
              <w:left w:val="single" w:sz="4" w:space="0" w:color="auto"/>
              <w:right w:val="single" w:sz="4" w:space="0" w:color="auto"/>
            </w:tcBorders>
            <w:vAlign w:val="center"/>
          </w:tcPr>
          <w:p w14:paraId="35C671A2" w14:textId="557A812C" w:rsidR="00C640EF" w:rsidRPr="0056239F" w:rsidRDefault="00C640EF" w:rsidP="002F131C">
            <w:pPr>
              <w:jc w:val="right"/>
              <w:rPr>
                <w:rFonts w:ascii="Montserrat Medium" w:hAnsi="Montserrat Medium" w:cs="Calibri"/>
                <w:sz w:val="16"/>
                <w:szCs w:val="18"/>
              </w:rPr>
            </w:pPr>
            <w:r w:rsidRPr="0056239F">
              <w:rPr>
                <w:rFonts w:ascii="Montserrat Medium" w:hAnsi="Montserrat Medium" w:cs="Calibri"/>
                <w:color w:val="000000"/>
                <w:sz w:val="16"/>
                <w:szCs w:val="18"/>
              </w:rPr>
              <w:t>1,976,351.00</w:t>
            </w:r>
          </w:p>
        </w:tc>
      </w:tr>
      <w:tr w:rsidR="00C640EF" w:rsidRPr="0056239F" w14:paraId="5417128E" w14:textId="1902156B" w:rsidTr="00804833">
        <w:trPr>
          <w:trHeight w:hRule="exact" w:val="227"/>
          <w:jc w:val="center"/>
        </w:trPr>
        <w:tc>
          <w:tcPr>
            <w:tcW w:w="7158" w:type="dxa"/>
            <w:tcBorders>
              <w:left w:val="single" w:sz="4" w:space="0" w:color="auto"/>
              <w:right w:val="single" w:sz="4" w:space="0" w:color="auto"/>
            </w:tcBorders>
            <w:shd w:val="clear" w:color="auto" w:fill="auto"/>
            <w:noWrap/>
            <w:vAlign w:val="bottom"/>
            <w:hideMark/>
          </w:tcPr>
          <w:p w14:paraId="45272E12" w14:textId="77777777" w:rsidR="00C640EF" w:rsidRPr="0056239F" w:rsidRDefault="00C640EF" w:rsidP="002F131C">
            <w:pPr>
              <w:rPr>
                <w:rFonts w:ascii="Montserrat Medium" w:hAnsi="Montserrat Medium" w:cs="Calibri"/>
                <w:color w:val="000000"/>
                <w:sz w:val="16"/>
                <w:szCs w:val="18"/>
                <w:lang w:eastAsia="es-MX"/>
              </w:rPr>
            </w:pPr>
            <w:r w:rsidRPr="0056239F">
              <w:rPr>
                <w:rFonts w:ascii="Montserrat Medium" w:hAnsi="Montserrat Medium" w:cs="Calibri"/>
                <w:color w:val="000000"/>
                <w:sz w:val="16"/>
                <w:szCs w:val="18"/>
                <w:lang w:eastAsia="es-MX"/>
              </w:rPr>
              <w:t>Servicios Estatales de Salud</w:t>
            </w:r>
          </w:p>
        </w:tc>
        <w:tc>
          <w:tcPr>
            <w:tcW w:w="1509" w:type="dxa"/>
            <w:tcBorders>
              <w:left w:val="nil"/>
              <w:right w:val="single" w:sz="4" w:space="0" w:color="auto"/>
            </w:tcBorders>
            <w:vAlign w:val="center"/>
          </w:tcPr>
          <w:p w14:paraId="5C3C7D61" w14:textId="4DCE002A" w:rsidR="00C640EF" w:rsidRPr="0056239F" w:rsidRDefault="00C640EF" w:rsidP="002F131C">
            <w:pPr>
              <w:jc w:val="right"/>
              <w:rPr>
                <w:rFonts w:ascii="Montserrat Medium" w:hAnsi="Montserrat Medium" w:cs="Calibri"/>
                <w:sz w:val="16"/>
                <w:szCs w:val="18"/>
              </w:rPr>
            </w:pPr>
            <w:r w:rsidRPr="0056239F">
              <w:rPr>
                <w:rFonts w:ascii="Montserrat Medium" w:hAnsi="Montserrat Medium" w:cs="Calibri"/>
                <w:color w:val="000000"/>
                <w:sz w:val="16"/>
                <w:szCs w:val="18"/>
              </w:rPr>
              <w:t>3,175,671.97</w:t>
            </w:r>
          </w:p>
        </w:tc>
        <w:tc>
          <w:tcPr>
            <w:tcW w:w="1509" w:type="dxa"/>
            <w:tcBorders>
              <w:left w:val="single" w:sz="4" w:space="0" w:color="auto"/>
              <w:right w:val="single" w:sz="4" w:space="0" w:color="auto"/>
            </w:tcBorders>
            <w:vAlign w:val="center"/>
          </w:tcPr>
          <w:p w14:paraId="7FFC5ADF" w14:textId="43DF4172" w:rsidR="00C640EF" w:rsidRPr="0056239F" w:rsidRDefault="00C640EF" w:rsidP="002F131C">
            <w:pPr>
              <w:jc w:val="right"/>
              <w:rPr>
                <w:rFonts w:ascii="Montserrat Medium" w:hAnsi="Montserrat Medium" w:cs="Calibri"/>
                <w:sz w:val="16"/>
                <w:szCs w:val="18"/>
              </w:rPr>
            </w:pPr>
            <w:r w:rsidRPr="0056239F">
              <w:rPr>
                <w:rFonts w:ascii="Montserrat Medium" w:hAnsi="Montserrat Medium" w:cs="Calibri"/>
                <w:color w:val="000000"/>
                <w:sz w:val="16"/>
                <w:szCs w:val="18"/>
              </w:rPr>
              <w:t>3,175,671.97</w:t>
            </w:r>
          </w:p>
        </w:tc>
      </w:tr>
      <w:tr w:rsidR="00C640EF" w:rsidRPr="0056239F" w14:paraId="6581B3E6" w14:textId="0F371546" w:rsidTr="0035610C">
        <w:trPr>
          <w:trHeight w:hRule="exact" w:val="227"/>
          <w:jc w:val="center"/>
        </w:trPr>
        <w:tc>
          <w:tcPr>
            <w:tcW w:w="7158" w:type="dxa"/>
            <w:tcBorders>
              <w:top w:val="nil"/>
              <w:left w:val="single" w:sz="4" w:space="0" w:color="auto"/>
              <w:right w:val="single" w:sz="4" w:space="0" w:color="auto"/>
            </w:tcBorders>
            <w:shd w:val="clear" w:color="auto" w:fill="auto"/>
            <w:noWrap/>
            <w:vAlign w:val="bottom"/>
            <w:hideMark/>
          </w:tcPr>
          <w:p w14:paraId="142FC5BA" w14:textId="77777777" w:rsidR="00C640EF" w:rsidRPr="0056239F" w:rsidRDefault="00C640EF" w:rsidP="002F131C">
            <w:pPr>
              <w:rPr>
                <w:rFonts w:ascii="Montserrat Medium" w:hAnsi="Montserrat Medium" w:cs="Calibri"/>
                <w:color w:val="000000"/>
                <w:sz w:val="16"/>
                <w:szCs w:val="18"/>
                <w:lang w:eastAsia="es-MX"/>
              </w:rPr>
            </w:pPr>
            <w:r w:rsidRPr="0056239F">
              <w:rPr>
                <w:rFonts w:ascii="Montserrat Medium" w:hAnsi="Montserrat Medium" w:cs="Calibri"/>
                <w:color w:val="000000"/>
                <w:sz w:val="16"/>
                <w:szCs w:val="18"/>
                <w:lang w:eastAsia="es-MX"/>
              </w:rPr>
              <w:t>Servicios Educativos de Quintana Roo</w:t>
            </w:r>
          </w:p>
        </w:tc>
        <w:tc>
          <w:tcPr>
            <w:tcW w:w="1509" w:type="dxa"/>
            <w:tcBorders>
              <w:top w:val="nil"/>
              <w:left w:val="nil"/>
              <w:right w:val="single" w:sz="4" w:space="0" w:color="auto"/>
            </w:tcBorders>
            <w:vAlign w:val="center"/>
          </w:tcPr>
          <w:p w14:paraId="5D0006F1" w14:textId="73D6D20C" w:rsidR="00C640EF" w:rsidRPr="0056239F" w:rsidRDefault="00C640EF" w:rsidP="002F131C">
            <w:pPr>
              <w:jc w:val="right"/>
              <w:rPr>
                <w:rFonts w:ascii="Montserrat Medium" w:hAnsi="Montserrat Medium" w:cs="Calibri"/>
                <w:sz w:val="16"/>
                <w:szCs w:val="18"/>
              </w:rPr>
            </w:pPr>
            <w:r w:rsidRPr="0056239F">
              <w:rPr>
                <w:rFonts w:ascii="Montserrat Medium" w:hAnsi="Montserrat Medium" w:cs="Calibri"/>
                <w:color w:val="000000"/>
                <w:sz w:val="16"/>
                <w:szCs w:val="18"/>
              </w:rPr>
              <w:t>-3,959.53</w:t>
            </w:r>
          </w:p>
        </w:tc>
        <w:tc>
          <w:tcPr>
            <w:tcW w:w="1509" w:type="dxa"/>
            <w:tcBorders>
              <w:top w:val="nil"/>
              <w:left w:val="single" w:sz="4" w:space="0" w:color="auto"/>
              <w:right w:val="single" w:sz="4" w:space="0" w:color="auto"/>
            </w:tcBorders>
            <w:vAlign w:val="center"/>
          </w:tcPr>
          <w:p w14:paraId="4F37E66F" w14:textId="2D7F5E09" w:rsidR="00C640EF" w:rsidRPr="0056239F" w:rsidRDefault="00C640EF" w:rsidP="002F131C">
            <w:pPr>
              <w:jc w:val="right"/>
              <w:rPr>
                <w:rFonts w:ascii="Montserrat Medium" w:hAnsi="Montserrat Medium" w:cs="Calibri"/>
                <w:sz w:val="16"/>
                <w:szCs w:val="18"/>
              </w:rPr>
            </w:pPr>
            <w:r w:rsidRPr="0056239F">
              <w:rPr>
                <w:rFonts w:ascii="Montserrat Medium" w:hAnsi="Montserrat Medium" w:cs="Calibri"/>
                <w:color w:val="000000"/>
                <w:sz w:val="16"/>
                <w:szCs w:val="18"/>
              </w:rPr>
              <w:t>-3,959.53</w:t>
            </w:r>
          </w:p>
        </w:tc>
      </w:tr>
      <w:tr w:rsidR="00C640EF" w:rsidRPr="0056239F" w14:paraId="603162AC" w14:textId="43534527" w:rsidTr="0035610C">
        <w:trPr>
          <w:trHeight w:hRule="exact" w:val="227"/>
          <w:jc w:val="center"/>
        </w:trPr>
        <w:tc>
          <w:tcPr>
            <w:tcW w:w="7158" w:type="dxa"/>
            <w:tcBorders>
              <w:left w:val="single" w:sz="4" w:space="0" w:color="auto"/>
              <w:right w:val="single" w:sz="4" w:space="0" w:color="auto"/>
            </w:tcBorders>
            <w:shd w:val="clear" w:color="auto" w:fill="auto"/>
            <w:noWrap/>
            <w:vAlign w:val="bottom"/>
            <w:hideMark/>
          </w:tcPr>
          <w:p w14:paraId="12C4FB4A" w14:textId="77777777" w:rsidR="00C640EF" w:rsidRPr="0056239F" w:rsidRDefault="00C640EF" w:rsidP="002F131C">
            <w:pPr>
              <w:rPr>
                <w:rFonts w:ascii="Montserrat Medium" w:hAnsi="Montserrat Medium" w:cs="Calibri"/>
                <w:color w:val="000000"/>
                <w:sz w:val="16"/>
                <w:szCs w:val="18"/>
                <w:lang w:eastAsia="es-MX"/>
              </w:rPr>
            </w:pPr>
            <w:r w:rsidRPr="0056239F">
              <w:rPr>
                <w:rFonts w:ascii="Montserrat Medium" w:hAnsi="Montserrat Medium" w:cs="Calibri"/>
                <w:color w:val="000000"/>
                <w:sz w:val="16"/>
                <w:szCs w:val="18"/>
                <w:lang w:eastAsia="es-MX"/>
              </w:rPr>
              <w:t>Administración Portuaria Integral de Quintana Roo, S.A. de C.V.</w:t>
            </w:r>
          </w:p>
        </w:tc>
        <w:tc>
          <w:tcPr>
            <w:tcW w:w="1509" w:type="dxa"/>
            <w:tcBorders>
              <w:left w:val="nil"/>
              <w:right w:val="single" w:sz="4" w:space="0" w:color="auto"/>
            </w:tcBorders>
            <w:vAlign w:val="center"/>
          </w:tcPr>
          <w:p w14:paraId="69F01F4C" w14:textId="59C2039D" w:rsidR="00C640EF" w:rsidRPr="0056239F" w:rsidRDefault="00C640EF" w:rsidP="002F131C">
            <w:pPr>
              <w:jc w:val="right"/>
              <w:rPr>
                <w:rFonts w:ascii="Montserrat Medium" w:hAnsi="Montserrat Medium" w:cs="Calibri"/>
                <w:sz w:val="16"/>
                <w:szCs w:val="18"/>
              </w:rPr>
            </w:pPr>
            <w:r w:rsidRPr="0056239F">
              <w:rPr>
                <w:rFonts w:ascii="Montserrat Medium" w:hAnsi="Montserrat Medium" w:cs="Calibri"/>
                <w:color w:val="000000"/>
                <w:sz w:val="16"/>
                <w:szCs w:val="18"/>
              </w:rPr>
              <w:t>-19.95</w:t>
            </w:r>
          </w:p>
        </w:tc>
        <w:tc>
          <w:tcPr>
            <w:tcW w:w="1509" w:type="dxa"/>
            <w:tcBorders>
              <w:left w:val="single" w:sz="4" w:space="0" w:color="auto"/>
              <w:right w:val="single" w:sz="4" w:space="0" w:color="auto"/>
            </w:tcBorders>
            <w:vAlign w:val="center"/>
          </w:tcPr>
          <w:p w14:paraId="6C90B238" w14:textId="5AA27736" w:rsidR="00C640EF" w:rsidRPr="0056239F" w:rsidRDefault="00C640EF" w:rsidP="002F131C">
            <w:pPr>
              <w:jc w:val="right"/>
              <w:rPr>
                <w:rFonts w:ascii="Montserrat Medium" w:hAnsi="Montserrat Medium" w:cs="Calibri"/>
                <w:sz w:val="16"/>
                <w:szCs w:val="18"/>
              </w:rPr>
            </w:pPr>
            <w:r w:rsidRPr="0056239F">
              <w:rPr>
                <w:rFonts w:ascii="Montserrat Medium" w:hAnsi="Montserrat Medium" w:cs="Calibri"/>
                <w:color w:val="000000"/>
                <w:sz w:val="16"/>
                <w:szCs w:val="18"/>
              </w:rPr>
              <w:t>-19.95</w:t>
            </w:r>
          </w:p>
        </w:tc>
      </w:tr>
      <w:tr w:rsidR="00C640EF" w:rsidRPr="0056239F" w14:paraId="1C7D2CBC" w14:textId="0612125F" w:rsidTr="00CF691F">
        <w:trPr>
          <w:trHeight w:hRule="exact" w:val="227"/>
          <w:jc w:val="center"/>
        </w:trPr>
        <w:tc>
          <w:tcPr>
            <w:tcW w:w="7158" w:type="dxa"/>
            <w:tcBorders>
              <w:top w:val="nil"/>
              <w:left w:val="single" w:sz="4" w:space="0" w:color="auto"/>
              <w:right w:val="single" w:sz="4" w:space="0" w:color="auto"/>
            </w:tcBorders>
            <w:shd w:val="clear" w:color="auto" w:fill="auto"/>
            <w:noWrap/>
            <w:vAlign w:val="bottom"/>
            <w:hideMark/>
          </w:tcPr>
          <w:p w14:paraId="61A3482F" w14:textId="77777777" w:rsidR="00C640EF" w:rsidRPr="0056239F" w:rsidRDefault="00C640EF" w:rsidP="002F131C">
            <w:pPr>
              <w:rPr>
                <w:rFonts w:ascii="Montserrat Medium" w:hAnsi="Montserrat Medium" w:cs="Calibri"/>
                <w:color w:val="000000"/>
                <w:sz w:val="16"/>
                <w:szCs w:val="18"/>
                <w:lang w:eastAsia="es-MX"/>
              </w:rPr>
            </w:pPr>
            <w:r w:rsidRPr="0056239F">
              <w:rPr>
                <w:rFonts w:ascii="Montserrat Medium" w:hAnsi="Montserrat Medium" w:cs="Calibri"/>
                <w:color w:val="000000"/>
                <w:sz w:val="16"/>
                <w:szCs w:val="18"/>
                <w:lang w:eastAsia="es-MX"/>
              </w:rPr>
              <w:t>Instituto Tecnológico Superior de Felipe Carrillo Puerto</w:t>
            </w:r>
          </w:p>
        </w:tc>
        <w:tc>
          <w:tcPr>
            <w:tcW w:w="1509" w:type="dxa"/>
            <w:tcBorders>
              <w:top w:val="nil"/>
              <w:left w:val="nil"/>
              <w:right w:val="single" w:sz="4" w:space="0" w:color="auto"/>
            </w:tcBorders>
            <w:vAlign w:val="center"/>
          </w:tcPr>
          <w:p w14:paraId="221205B1" w14:textId="526124D4" w:rsidR="00C640EF" w:rsidRPr="0056239F" w:rsidRDefault="00C640EF" w:rsidP="002F131C">
            <w:pPr>
              <w:jc w:val="right"/>
              <w:rPr>
                <w:rFonts w:ascii="Montserrat Medium" w:hAnsi="Montserrat Medium" w:cs="Calibri"/>
                <w:sz w:val="16"/>
                <w:szCs w:val="18"/>
              </w:rPr>
            </w:pPr>
            <w:r w:rsidRPr="0056239F">
              <w:rPr>
                <w:rFonts w:ascii="Montserrat Medium" w:hAnsi="Montserrat Medium" w:cs="Calibri"/>
                <w:color w:val="000000"/>
                <w:sz w:val="16"/>
                <w:szCs w:val="18"/>
              </w:rPr>
              <w:t>158.06</w:t>
            </w:r>
          </w:p>
        </w:tc>
        <w:tc>
          <w:tcPr>
            <w:tcW w:w="1509" w:type="dxa"/>
            <w:tcBorders>
              <w:top w:val="nil"/>
              <w:left w:val="single" w:sz="4" w:space="0" w:color="auto"/>
              <w:right w:val="single" w:sz="4" w:space="0" w:color="auto"/>
            </w:tcBorders>
            <w:vAlign w:val="center"/>
          </w:tcPr>
          <w:p w14:paraId="7E577C15" w14:textId="616BF76F" w:rsidR="00C640EF" w:rsidRPr="0056239F" w:rsidRDefault="00C640EF" w:rsidP="002F131C">
            <w:pPr>
              <w:jc w:val="right"/>
              <w:rPr>
                <w:rFonts w:ascii="Montserrat Medium" w:hAnsi="Montserrat Medium" w:cs="Calibri"/>
                <w:sz w:val="16"/>
                <w:szCs w:val="18"/>
              </w:rPr>
            </w:pPr>
            <w:r w:rsidRPr="0056239F">
              <w:rPr>
                <w:rFonts w:ascii="Montserrat Medium" w:hAnsi="Montserrat Medium" w:cs="Calibri"/>
                <w:color w:val="000000"/>
                <w:sz w:val="16"/>
                <w:szCs w:val="18"/>
              </w:rPr>
              <w:t>158.06</w:t>
            </w:r>
          </w:p>
        </w:tc>
      </w:tr>
      <w:tr w:rsidR="00C640EF" w:rsidRPr="0056239F" w14:paraId="6E2789FC" w14:textId="7D402CF5" w:rsidTr="00CF691F">
        <w:trPr>
          <w:trHeight w:hRule="exact" w:val="227"/>
          <w:jc w:val="center"/>
        </w:trPr>
        <w:tc>
          <w:tcPr>
            <w:tcW w:w="7158" w:type="dxa"/>
            <w:tcBorders>
              <w:top w:val="nil"/>
              <w:left w:val="single" w:sz="4" w:space="0" w:color="auto"/>
              <w:right w:val="single" w:sz="4" w:space="0" w:color="auto"/>
            </w:tcBorders>
            <w:shd w:val="clear" w:color="auto" w:fill="auto"/>
            <w:noWrap/>
            <w:vAlign w:val="bottom"/>
            <w:hideMark/>
          </w:tcPr>
          <w:p w14:paraId="0929F4BA" w14:textId="77777777" w:rsidR="00C640EF" w:rsidRPr="0056239F" w:rsidRDefault="00C640EF" w:rsidP="002F131C">
            <w:pPr>
              <w:rPr>
                <w:rFonts w:ascii="Montserrat Medium" w:hAnsi="Montserrat Medium" w:cs="Calibri"/>
                <w:color w:val="000000"/>
                <w:sz w:val="16"/>
                <w:szCs w:val="18"/>
                <w:lang w:eastAsia="es-MX"/>
              </w:rPr>
            </w:pPr>
            <w:r w:rsidRPr="0056239F">
              <w:rPr>
                <w:rFonts w:ascii="Montserrat Medium" w:hAnsi="Montserrat Medium" w:cs="Calibri"/>
                <w:color w:val="000000"/>
                <w:sz w:val="16"/>
                <w:szCs w:val="18"/>
                <w:lang w:eastAsia="es-MX"/>
              </w:rPr>
              <w:t>Instituto Estatal para la Educación de Jóvenes y Adultos</w:t>
            </w:r>
          </w:p>
        </w:tc>
        <w:tc>
          <w:tcPr>
            <w:tcW w:w="1509" w:type="dxa"/>
            <w:tcBorders>
              <w:top w:val="nil"/>
              <w:left w:val="nil"/>
              <w:right w:val="single" w:sz="4" w:space="0" w:color="auto"/>
            </w:tcBorders>
            <w:vAlign w:val="center"/>
          </w:tcPr>
          <w:p w14:paraId="16D66204" w14:textId="5BECC184" w:rsidR="00C640EF" w:rsidRPr="0056239F" w:rsidRDefault="00C640EF" w:rsidP="002F131C">
            <w:pPr>
              <w:jc w:val="right"/>
              <w:rPr>
                <w:rFonts w:ascii="Montserrat Medium" w:hAnsi="Montserrat Medium" w:cs="Calibri"/>
                <w:sz w:val="16"/>
                <w:szCs w:val="18"/>
              </w:rPr>
            </w:pPr>
            <w:r w:rsidRPr="0056239F">
              <w:rPr>
                <w:rFonts w:ascii="Montserrat Medium" w:hAnsi="Montserrat Medium" w:cs="Calibri"/>
                <w:color w:val="000000"/>
                <w:sz w:val="16"/>
                <w:szCs w:val="18"/>
              </w:rPr>
              <w:t>136,534.04</w:t>
            </w:r>
          </w:p>
        </w:tc>
        <w:tc>
          <w:tcPr>
            <w:tcW w:w="1509" w:type="dxa"/>
            <w:tcBorders>
              <w:top w:val="nil"/>
              <w:left w:val="single" w:sz="4" w:space="0" w:color="auto"/>
              <w:right w:val="single" w:sz="4" w:space="0" w:color="auto"/>
            </w:tcBorders>
            <w:vAlign w:val="center"/>
          </w:tcPr>
          <w:p w14:paraId="2209B29C" w14:textId="06409EA2" w:rsidR="00C640EF" w:rsidRPr="0056239F" w:rsidRDefault="00C640EF" w:rsidP="002F131C">
            <w:pPr>
              <w:jc w:val="right"/>
              <w:rPr>
                <w:rFonts w:ascii="Montserrat Medium" w:hAnsi="Montserrat Medium" w:cs="Calibri"/>
                <w:sz w:val="16"/>
                <w:szCs w:val="18"/>
              </w:rPr>
            </w:pPr>
            <w:r w:rsidRPr="0056239F">
              <w:rPr>
                <w:rFonts w:ascii="Montserrat Medium" w:hAnsi="Montserrat Medium" w:cs="Calibri"/>
                <w:color w:val="000000"/>
                <w:sz w:val="16"/>
                <w:szCs w:val="18"/>
              </w:rPr>
              <w:t>136,534.04</w:t>
            </w:r>
          </w:p>
        </w:tc>
      </w:tr>
      <w:tr w:rsidR="00C640EF" w:rsidRPr="0056239F" w14:paraId="41981DEA" w14:textId="6915CB08" w:rsidTr="00CF691F">
        <w:trPr>
          <w:trHeight w:hRule="exact" w:val="227"/>
          <w:jc w:val="center"/>
        </w:trPr>
        <w:tc>
          <w:tcPr>
            <w:tcW w:w="7158" w:type="dxa"/>
            <w:tcBorders>
              <w:top w:val="nil"/>
              <w:left w:val="single" w:sz="4" w:space="0" w:color="auto"/>
              <w:right w:val="single" w:sz="4" w:space="0" w:color="auto"/>
            </w:tcBorders>
            <w:shd w:val="clear" w:color="auto" w:fill="auto"/>
            <w:noWrap/>
            <w:vAlign w:val="bottom"/>
            <w:hideMark/>
          </w:tcPr>
          <w:p w14:paraId="7DE58B38" w14:textId="77777777" w:rsidR="00C640EF" w:rsidRPr="0056239F" w:rsidRDefault="00C640EF" w:rsidP="002F131C">
            <w:pPr>
              <w:rPr>
                <w:rFonts w:ascii="Montserrat Medium" w:hAnsi="Montserrat Medium" w:cs="Calibri"/>
                <w:color w:val="000000"/>
                <w:sz w:val="16"/>
                <w:szCs w:val="18"/>
                <w:lang w:eastAsia="es-MX"/>
              </w:rPr>
            </w:pPr>
            <w:r w:rsidRPr="0056239F">
              <w:rPr>
                <w:rFonts w:ascii="Montserrat Medium" w:hAnsi="Montserrat Medium" w:cs="Calibri"/>
                <w:color w:val="000000"/>
                <w:sz w:val="16"/>
                <w:szCs w:val="18"/>
                <w:lang w:eastAsia="es-MX"/>
              </w:rPr>
              <w:t>Colegio de Educación Profesional Técnica del Estado de Quintana Roo</w:t>
            </w:r>
          </w:p>
        </w:tc>
        <w:tc>
          <w:tcPr>
            <w:tcW w:w="1509" w:type="dxa"/>
            <w:tcBorders>
              <w:top w:val="nil"/>
              <w:left w:val="nil"/>
              <w:right w:val="single" w:sz="4" w:space="0" w:color="auto"/>
            </w:tcBorders>
            <w:vAlign w:val="center"/>
          </w:tcPr>
          <w:p w14:paraId="3BB201DB" w14:textId="472C224F" w:rsidR="00C640EF" w:rsidRPr="0056239F" w:rsidRDefault="00C640EF" w:rsidP="002F131C">
            <w:pPr>
              <w:jc w:val="right"/>
              <w:rPr>
                <w:rFonts w:ascii="Montserrat Medium" w:hAnsi="Montserrat Medium" w:cs="Calibri"/>
                <w:sz w:val="16"/>
                <w:szCs w:val="18"/>
              </w:rPr>
            </w:pPr>
            <w:r w:rsidRPr="0056239F">
              <w:rPr>
                <w:rFonts w:ascii="Montserrat Medium" w:hAnsi="Montserrat Medium" w:cs="Calibri"/>
                <w:color w:val="000000"/>
                <w:sz w:val="16"/>
                <w:szCs w:val="18"/>
              </w:rPr>
              <w:t>761,651.42</w:t>
            </w:r>
          </w:p>
        </w:tc>
        <w:tc>
          <w:tcPr>
            <w:tcW w:w="1509" w:type="dxa"/>
            <w:tcBorders>
              <w:top w:val="nil"/>
              <w:left w:val="single" w:sz="4" w:space="0" w:color="auto"/>
              <w:right w:val="single" w:sz="4" w:space="0" w:color="auto"/>
            </w:tcBorders>
            <w:vAlign w:val="center"/>
          </w:tcPr>
          <w:p w14:paraId="041AF33D" w14:textId="38E4631B" w:rsidR="00C640EF" w:rsidRPr="0056239F" w:rsidRDefault="00C640EF" w:rsidP="002F131C">
            <w:pPr>
              <w:jc w:val="right"/>
              <w:rPr>
                <w:rFonts w:ascii="Montserrat Medium" w:hAnsi="Montserrat Medium" w:cs="Calibri"/>
                <w:sz w:val="16"/>
                <w:szCs w:val="18"/>
              </w:rPr>
            </w:pPr>
            <w:r w:rsidRPr="0056239F">
              <w:rPr>
                <w:rFonts w:ascii="Montserrat Medium" w:hAnsi="Montserrat Medium" w:cs="Calibri"/>
                <w:color w:val="000000"/>
                <w:sz w:val="16"/>
                <w:szCs w:val="18"/>
              </w:rPr>
              <w:t>761,651.42</w:t>
            </w:r>
          </w:p>
        </w:tc>
      </w:tr>
      <w:tr w:rsidR="00C640EF" w:rsidRPr="0056239F" w14:paraId="18633287" w14:textId="18F20BE8" w:rsidTr="00CF691F">
        <w:trPr>
          <w:trHeight w:hRule="exact" w:val="227"/>
          <w:jc w:val="center"/>
        </w:trPr>
        <w:tc>
          <w:tcPr>
            <w:tcW w:w="7158" w:type="dxa"/>
            <w:tcBorders>
              <w:left w:val="single" w:sz="4" w:space="0" w:color="auto"/>
              <w:right w:val="single" w:sz="4" w:space="0" w:color="auto"/>
            </w:tcBorders>
            <w:shd w:val="clear" w:color="auto" w:fill="auto"/>
            <w:noWrap/>
            <w:vAlign w:val="bottom"/>
            <w:hideMark/>
          </w:tcPr>
          <w:p w14:paraId="03C06085" w14:textId="77777777" w:rsidR="00C640EF" w:rsidRPr="0056239F" w:rsidRDefault="00C640EF" w:rsidP="002F131C">
            <w:pPr>
              <w:rPr>
                <w:rFonts w:ascii="Montserrat Medium" w:hAnsi="Montserrat Medium" w:cs="Calibri"/>
                <w:color w:val="000000"/>
                <w:sz w:val="16"/>
                <w:szCs w:val="18"/>
                <w:lang w:eastAsia="es-MX"/>
              </w:rPr>
            </w:pPr>
            <w:r w:rsidRPr="0056239F">
              <w:rPr>
                <w:rFonts w:ascii="Montserrat Medium" w:hAnsi="Montserrat Medium" w:cs="Calibri"/>
                <w:color w:val="000000"/>
                <w:sz w:val="16"/>
                <w:szCs w:val="18"/>
                <w:lang w:eastAsia="es-MX"/>
              </w:rPr>
              <w:t>Instituto Quintanarroense de la Mujer</w:t>
            </w:r>
          </w:p>
        </w:tc>
        <w:tc>
          <w:tcPr>
            <w:tcW w:w="1509" w:type="dxa"/>
            <w:tcBorders>
              <w:left w:val="nil"/>
              <w:right w:val="single" w:sz="4" w:space="0" w:color="auto"/>
            </w:tcBorders>
            <w:vAlign w:val="center"/>
          </w:tcPr>
          <w:p w14:paraId="4B3BBB3A" w14:textId="74C8C178" w:rsidR="00C640EF" w:rsidRPr="0056239F" w:rsidRDefault="00C640EF" w:rsidP="002F131C">
            <w:pPr>
              <w:jc w:val="right"/>
              <w:rPr>
                <w:rFonts w:ascii="Montserrat Medium" w:hAnsi="Montserrat Medium" w:cs="Calibri"/>
                <w:sz w:val="16"/>
                <w:szCs w:val="18"/>
              </w:rPr>
            </w:pPr>
            <w:r w:rsidRPr="0056239F">
              <w:rPr>
                <w:rFonts w:ascii="Montserrat Medium" w:hAnsi="Montserrat Medium" w:cs="Calibri"/>
                <w:color w:val="000000"/>
                <w:sz w:val="16"/>
                <w:szCs w:val="18"/>
              </w:rPr>
              <w:t>260,147.81</w:t>
            </w:r>
          </w:p>
        </w:tc>
        <w:tc>
          <w:tcPr>
            <w:tcW w:w="1509" w:type="dxa"/>
            <w:tcBorders>
              <w:left w:val="single" w:sz="4" w:space="0" w:color="auto"/>
              <w:right w:val="single" w:sz="4" w:space="0" w:color="auto"/>
            </w:tcBorders>
            <w:vAlign w:val="center"/>
          </w:tcPr>
          <w:p w14:paraId="18BF8539" w14:textId="0CC2E753" w:rsidR="00C640EF" w:rsidRPr="0056239F" w:rsidRDefault="00C640EF" w:rsidP="002F131C">
            <w:pPr>
              <w:jc w:val="right"/>
              <w:rPr>
                <w:rFonts w:ascii="Montserrat Medium" w:hAnsi="Montserrat Medium" w:cs="Calibri"/>
                <w:sz w:val="16"/>
                <w:szCs w:val="18"/>
              </w:rPr>
            </w:pPr>
            <w:r w:rsidRPr="0056239F">
              <w:rPr>
                <w:rFonts w:ascii="Montserrat Medium" w:hAnsi="Montserrat Medium" w:cs="Calibri"/>
                <w:color w:val="000000"/>
                <w:sz w:val="16"/>
                <w:szCs w:val="18"/>
              </w:rPr>
              <w:t>260,147.81</w:t>
            </w:r>
          </w:p>
        </w:tc>
      </w:tr>
      <w:tr w:rsidR="00C640EF" w:rsidRPr="0056239F" w14:paraId="142D5F0D" w14:textId="06668931" w:rsidTr="00CF691F">
        <w:trPr>
          <w:trHeight w:hRule="exact" w:val="227"/>
          <w:jc w:val="center"/>
        </w:trPr>
        <w:tc>
          <w:tcPr>
            <w:tcW w:w="7158" w:type="dxa"/>
            <w:tcBorders>
              <w:top w:val="nil"/>
              <w:left w:val="single" w:sz="4" w:space="0" w:color="auto"/>
              <w:right w:val="single" w:sz="4" w:space="0" w:color="auto"/>
            </w:tcBorders>
            <w:shd w:val="clear" w:color="auto" w:fill="auto"/>
            <w:noWrap/>
            <w:vAlign w:val="bottom"/>
            <w:hideMark/>
          </w:tcPr>
          <w:p w14:paraId="309624A9" w14:textId="77777777" w:rsidR="00C640EF" w:rsidRPr="0056239F" w:rsidRDefault="00C640EF" w:rsidP="002F131C">
            <w:pPr>
              <w:rPr>
                <w:rFonts w:ascii="Montserrat Medium" w:hAnsi="Montserrat Medium" w:cs="Calibri"/>
                <w:color w:val="000000"/>
                <w:sz w:val="16"/>
                <w:szCs w:val="18"/>
                <w:lang w:eastAsia="es-MX"/>
              </w:rPr>
            </w:pPr>
            <w:r w:rsidRPr="0056239F">
              <w:rPr>
                <w:rFonts w:ascii="Montserrat Medium" w:hAnsi="Montserrat Medium" w:cs="Calibri"/>
                <w:color w:val="000000"/>
                <w:sz w:val="16"/>
                <w:szCs w:val="18"/>
                <w:lang w:eastAsia="es-MX"/>
              </w:rPr>
              <w:t>Universidad Tecnológica de Cancún</w:t>
            </w:r>
          </w:p>
        </w:tc>
        <w:tc>
          <w:tcPr>
            <w:tcW w:w="1509" w:type="dxa"/>
            <w:tcBorders>
              <w:top w:val="nil"/>
              <w:left w:val="nil"/>
              <w:right w:val="single" w:sz="4" w:space="0" w:color="auto"/>
            </w:tcBorders>
            <w:vAlign w:val="center"/>
          </w:tcPr>
          <w:p w14:paraId="530F415A" w14:textId="768EA9FD" w:rsidR="00C640EF" w:rsidRPr="0056239F" w:rsidRDefault="00C640EF" w:rsidP="002F131C">
            <w:pPr>
              <w:jc w:val="right"/>
              <w:rPr>
                <w:rFonts w:ascii="Montserrat Medium" w:hAnsi="Montserrat Medium" w:cs="Calibri"/>
                <w:sz w:val="16"/>
                <w:szCs w:val="18"/>
              </w:rPr>
            </w:pPr>
            <w:r w:rsidRPr="0056239F">
              <w:rPr>
                <w:rFonts w:ascii="Montserrat Medium" w:hAnsi="Montserrat Medium" w:cs="Calibri"/>
                <w:color w:val="000000"/>
                <w:sz w:val="16"/>
                <w:szCs w:val="18"/>
              </w:rPr>
              <w:t>299,526.21</w:t>
            </w:r>
          </w:p>
        </w:tc>
        <w:tc>
          <w:tcPr>
            <w:tcW w:w="1509" w:type="dxa"/>
            <w:tcBorders>
              <w:top w:val="nil"/>
              <w:left w:val="single" w:sz="4" w:space="0" w:color="auto"/>
              <w:right w:val="single" w:sz="4" w:space="0" w:color="auto"/>
            </w:tcBorders>
            <w:vAlign w:val="center"/>
          </w:tcPr>
          <w:p w14:paraId="26A9DA18" w14:textId="74F791A0" w:rsidR="00C640EF" w:rsidRPr="0056239F" w:rsidRDefault="00C640EF" w:rsidP="002F131C">
            <w:pPr>
              <w:jc w:val="right"/>
              <w:rPr>
                <w:rFonts w:ascii="Montserrat Medium" w:hAnsi="Montserrat Medium" w:cs="Calibri"/>
                <w:sz w:val="16"/>
                <w:szCs w:val="18"/>
              </w:rPr>
            </w:pPr>
            <w:r w:rsidRPr="0056239F">
              <w:rPr>
                <w:rFonts w:ascii="Montserrat Medium" w:hAnsi="Montserrat Medium" w:cs="Calibri"/>
                <w:color w:val="000000"/>
                <w:sz w:val="16"/>
                <w:szCs w:val="18"/>
              </w:rPr>
              <w:t>299,526.21</w:t>
            </w:r>
          </w:p>
        </w:tc>
      </w:tr>
      <w:tr w:rsidR="00C640EF" w:rsidRPr="0056239F" w14:paraId="3DD54944" w14:textId="5D209486" w:rsidTr="00CF691F">
        <w:trPr>
          <w:trHeight w:hRule="exact" w:val="227"/>
          <w:jc w:val="center"/>
        </w:trPr>
        <w:tc>
          <w:tcPr>
            <w:tcW w:w="7158" w:type="dxa"/>
            <w:tcBorders>
              <w:left w:val="single" w:sz="4" w:space="0" w:color="auto"/>
              <w:right w:val="single" w:sz="4" w:space="0" w:color="auto"/>
            </w:tcBorders>
            <w:shd w:val="clear" w:color="auto" w:fill="auto"/>
            <w:noWrap/>
            <w:vAlign w:val="bottom"/>
            <w:hideMark/>
          </w:tcPr>
          <w:p w14:paraId="2BA42035" w14:textId="77777777" w:rsidR="00C640EF" w:rsidRPr="0056239F" w:rsidRDefault="00C640EF" w:rsidP="002F131C">
            <w:pPr>
              <w:rPr>
                <w:rFonts w:ascii="Montserrat Medium" w:hAnsi="Montserrat Medium" w:cs="Calibri"/>
                <w:color w:val="000000"/>
                <w:sz w:val="16"/>
                <w:szCs w:val="18"/>
                <w:lang w:eastAsia="es-MX"/>
              </w:rPr>
            </w:pPr>
            <w:r w:rsidRPr="0056239F">
              <w:rPr>
                <w:rFonts w:ascii="Montserrat Medium" w:hAnsi="Montserrat Medium" w:cs="Calibri"/>
                <w:color w:val="000000"/>
                <w:sz w:val="16"/>
                <w:szCs w:val="18"/>
                <w:lang w:eastAsia="es-MX"/>
              </w:rPr>
              <w:t>Instituto para el Desarrollo y Financiamiento del Estado de Quintana Roo</w:t>
            </w:r>
          </w:p>
        </w:tc>
        <w:tc>
          <w:tcPr>
            <w:tcW w:w="1509" w:type="dxa"/>
            <w:tcBorders>
              <w:left w:val="nil"/>
              <w:right w:val="single" w:sz="4" w:space="0" w:color="auto"/>
            </w:tcBorders>
            <w:vAlign w:val="center"/>
          </w:tcPr>
          <w:p w14:paraId="5733CC02" w14:textId="07E661CF" w:rsidR="00C640EF" w:rsidRPr="0056239F" w:rsidRDefault="00C640EF" w:rsidP="002F131C">
            <w:pPr>
              <w:jc w:val="right"/>
              <w:rPr>
                <w:rFonts w:ascii="Montserrat Medium" w:hAnsi="Montserrat Medium" w:cs="Calibri"/>
                <w:sz w:val="16"/>
                <w:szCs w:val="18"/>
              </w:rPr>
            </w:pPr>
            <w:r w:rsidRPr="0056239F">
              <w:rPr>
                <w:rFonts w:ascii="Montserrat Medium" w:hAnsi="Montserrat Medium" w:cs="Calibri"/>
                <w:color w:val="000000"/>
                <w:sz w:val="16"/>
                <w:szCs w:val="18"/>
              </w:rPr>
              <w:t>48,972.15</w:t>
            </w:r>
          </w:p>
        </w:tc>
        <w:tc>
          <w:tcPr>
            <w:tcW w:w="1509" w:type="dxa"/>
            <w:tcBorders>
              <w:left w:val="single" w:sz="4" w:space="0" w:color="auto"/>
              <w:right w:val="single" w:sz="4" w:space="0" w:color="auto"/>
            </w:tcBorders>
            <w:vAlign w:val="center"/>
          </w:tcPr>
          <w:p w14:paraId="45EEAF4C" w14:textId="46D57679" w:rsidR="00C640EF" w:rsidRPr="0056239F" w:rsidRDefault="00C640EF" w:rsidP="002F131C">
            <w:pPr>
              <w:jc w:val="right"/>
              <w:rPr>
                <w:rFonts w:ascii="Montserrat Medium" w:hAnsi="Montserrat Medium" w:cs="Calibri"/>
                <w:sz w:val="16"/>
                <w:szCs w:val="18"/>
              </w:rPr>
            </w:pPr>
            <w:r w:rsidRPr="0056239F">
              <w:rPr>
                <w:rFonts w:ascii="Montserrat Medium" w:hAnsi="Montserrat Medium" w:cs="Calibri"/>
                <w:color w:val="000000"/>
                <w:sz w:val="16"/>
                <w:szCs w:val="18"/>
              </w:rPr>
              <w:t>48,972.15</w:t>
            </w:r>
          </w:p>
        </w:tc>
      </w:tr>
      <w:tr w:rsidR="00C640EF" w:rsidRPr="0056239F" w14:paraId="2C453CD2" w14:textId="70C7CF8C" w:rsidTr="00CF691F">
        <w:trPr>
          <w:trHeight w:hRule="exact" w:val="227"/>
          <w:jc w:val="center"/>
        </w:trPr>
        <w:tc>
          <w:tcPr>
            <w:tcW w:w="7158" w:type="dxa"/>
            <w:tcBorders>
              <w:left w:val="single" w:sz="4" w:space="0" w:color="auto"/>
              <w:right w:val="single" w:sz="4" w:space="0" w:color="auto"/>
            </w:tcBorders>
            <w:shd w:val="clear" w:color="auto" w:fill="auto"/>
            <w:noWrap/>
            <w:vAlign w:val="bottom"/>
            <w:hideMark/>
          </w:tcPr>
          <w:p w14:paraId="3A68820E" w14:textId="77777777" w:rsidR="00C640EF" w:rsidRPr="0056239F" w:rsidRDefault="00C640EF" w:rsidP="002F131C">
            <w:pPr>
              <w:rPr>
                <w:rFonts w:ascii="Montserrat Medium" w:hAnsi="Montserrat Medium" w:cs="Calibri"/>
                <w:color w:val="000000"/>
                <w:sz w:val="16"/>
                <w:szCs w:val="18"/>
                <w:lang w:eastAsia="es-MX"/>
              </w:rPr>
            </w:pPr>
            <w:r w:rsidRPr="0056239F">
              <w:rPr>
                <w:rFonts w:ascii="Montserrat Medium" w:hAnsi="Montserrat Medium" w:cs="Calibri"/>
                <w:color w:val="000000"/>
                <w:sz w:val="16"/>
                <w:szCs w:val="18"/>
                <w:lang w:eastAsia="es-MX"/>
              </w:rPr>
              <w:t>Secretaria de Obras Públicas</w:t>
            </w:r>
          </w:p>
        </w:tc>
        <w:tc>
          <w:tcPr>
            <w:tcW w:w="1509" w:type="dxa"/>
            <w:tcBorders>
              <w:left w:val="nil"/>
              <w:right w:val="single" w:sz="4" w:space="0" w:color="auto"/>
            </w:tcBorders>
            <w:vAlign w:val="center"/>
          </w:tcPr>
          <w:p w14:paraId="4BEB8550" w14:textId="2213C5C9" w:rsidR="00C640EF" w:rsidRPr="0056239F" w:rsidRDefault="00C640EF" w:rsidP="002F131C">
            <w:pPr>
              <w:jc w:val="right"/>
              <w:rPr>
                <w:rFonts w:ascii="Montserrat Medium" w:hAnsi="Montserrat Medium" w:cs="Calibri"/>
                <w:sz w:val="16"/>
                <w:szCs w:val="18"/>
              </w:rPr>
            </w:pPr>
            <w:r w:rsidRPr="0056239F">
              <w:rPr>
                <w:rFonts w:ascii="Montserrat Medium" w:hAnsi="Montserrat Medium" w:cs="Calibri"/>
                <w:color w:val="000000"/>
                <w:sz w:val="16"/>
                <w:szCs w:val="18"/>
              </w:rPr>
              <w:t>40,054.55</w:t>
            </w:r>
          </w:p>
        </w:tc>
        <w:tc>
          <w:tcPr>
            <w:tcW w:w="1509" w:type="dxa"/>
            <w:tcBorders>
              <w:left w:val="single" w:sz="4" w:space="0" w:color="auto"/>
              <w:right w:val="single" w:sz="4" w:space="0" w:color="auto"/>
            </w:tcBorders>
            <w:vAlign w:val="center"/>
          </w:tcPr>
          <w:p w14:paraId="3C721F00" w14:textId="1AFECB9C" w:rsidR="00C640EF" w:rsidRPr="0056239F" w:rsidRDefault="00C640EF" w:rsidP="002F131C">
            <w:pPr>
              <w:jc w:val="right"/>
              <w:rPr>
                <w:rFonts w:ascii="Montserrat Medium" w:hAnsi="Montserrat Medium" w:cs="Calibri"/>
                <w:sz w:val="16"/>
                <w:szCs w:val="18"/>
              </w:rPr>
            </w:pPr>
            <w:r w:rsidRPr="0056239F">
              <w:rPr>
                <w:rFonts w:ascii="Montserrat Medium" w:hAnsi="Montserrat Medium" w:cs="Calibri"/>
                <w:color w:val="000000"/>
                <w:sz w:val="16"/>
                <w:szCs w:val="18"/>
              </w:rPr>
              <w:t>40,054.55</w:t>
            </w:r>
          </w:p>
        </w:tc>
      </w:tr>
      <w:tr w:rsidR="00C640EF" w:rsidRPr="0056239F" w14:paraId="2A500264" w14:textId="011C27A2" w:rsidTr="00CF691F">
        <w:trPr>
          <w:trHeight w:hRule="exact" w:val="227"/>
          <w:jc w:val="center"/>
        </w:trPr>
        <w:tc>
          <w:tcPr>
            <w:tcW w:w="7158" w:type="dxa"/>
            <w:tcBorders>
              <w:top w:val="nil"/>
              <w:left w:val="single" w:sz="4" w:space="0" w:color="auto"/>
              <w:right w:val="single" w:sz="4" w:space="0" w:color="auto"/>
            </w:tcBorders>
            <w:shd w:val="clear" w:color="auto" w:fill="auto"/>
            <w:noWrap/>
            <w:vAlign w:val="bottom"/>
            <w:hideMark/>
          </w:tcPr>
          <w:p w14:paraId="773AFDC2" w14:textId="77777777" w:rsidR="00C640EF" w:rsidRPr="0056239F" w:rsidRDefault="00C640EF" w:rsidP="002F131C">
            <w:pPr>
              <w:rPr>
                <w:rFonts w:ascii="Montserrat Medium" w:hAnsi="Montserrat Medium" w:cs="Calibri"/>
                <w:color w:val="000000"/>
                <w:sz w:val="16"/>
                <w:szCs w:val="18"/>
                <w:lang w:eastAsia="es-MX"/>
              </w:rPr>
            </w:pPr>
            <w:r w:rsidRPr="0056239F">
              <w:rPr>
                <w:rFonts w:ascii="Montserrat Medium" w:hAnsi="Montserrat Medium" w:cs="Calibri"/>
                <w:color w:val="000000"/>
                <w:sz w:val="16"/>
                <w:szCs w:val="18"/>
                <w:lang w:eastAsia="es-MX"/>
              </w:rPr>
              <w:t>Sistema para el Desarrollo Integral de la Familia</w:t>
            </w:r>
          </w:p>
        </w:tc>
        <w:tc>
          <w:tcPr>
            <w:tcW w:w="1509" w:type="dxa"/>
            <w:tcBorders>
              <w:top w:val="nil"/>
              <w:left w:val="nil"/>
              <w:right w:val="single" w:sz="4" w:space="0" w:color="auto"/>
            </w:tcBorders>
            <w:vAlign w:val="center"/>
          </w:tcPr>
          <w:p w14:paraId="5BD911CB" w14:textId="2D548855" w:rsidR="00C640EF" w:rsidRPr="0056239F" w:rsidRDefault="00C640EF" w:rsidP="002F131C">
            <w:pPr>
              <w:jc w:val="right"/>
              <w:rPr>
                <w:rFonts w:ascii="Montserrat Medium" w:hAnsi="Montserrat Medium" w:cs="Calibri"/>
                <w:sz w:val="16"/>
                <w:szCs w:val="18"/>
              </w:rPr>
            </w:pPr>
            <w:r w:rsidRPr="0056239F">
              <w:rPr>
                <w:rFonts w:ascii="Montserrat Medium" w:hAnsi="Montserrat Medium" w:cs="Calibri"/>
                <w:color w:val="000000"/>
                <w:sz w:val="16"/>
                <w:szCs w:val="18"/>
              </w:rPr>
              <w:t>300,000.00</w:t>
            </w:r>
          </w:p>
        </w:tc>
        <w:tc>
          <w:tcPr>
            <w:tcW w:w="1509" w:type="dxa"/>
            <w:tcBorders>
              <w:top w:val="nil"/>
              <w:left w:val="single" w:sz="4" w:space="0" w:color="auto"/>
              <w:right w:val="single" w:sz="4" w:space="0" w:color="auto"/>
            </w:tcBorders>
            <w:vAlign w:val="center"/>
          </w:tcPr>
          <w:p w14:paraId="30292328" w14:textId="3F5C5860" w:rsidR="00C640EF" w:rsidRPr="0056239F" w:rsidRDefault="00C640EF" w:rsidP="002F131C">
            <w:pPr>
              <w:jc w:val="right"/>
              <w:rPr>
                <w:rFonts w:ascii="Montserrat Medium" w:hAnsi="Montserrat Medium" w:cs="Calibri"/>
                <w:sz w:val="16"/>
                <w:szCs w:val="18"/>
              </w:rPr>
            </w:pPr>
            <w:r w:rsidRPr="0056239F">
              <w:rPr>
                <w:rFonts w:ascii="Montserrat Medium" w:hAnsi="Montserrat Medium" w:cs="Calibri"/>
                <w:color w:val="000000"/>
                <w:sz w:val="16"/>
                <w:szCs w:val="18"/>
              </w:rPr>
              <w:t>300,000.00</w:t>
            </w:r>
          </w:p>
        </w:tc>
      </w:tr>
      <w:tr w:rsidR="00C640EF" w:rsidRPr="0056239F" w14:paraId="1FEE8C26" w14:textId="35367CF1" w:rsidTr="00CF691F">
        <w:trPr>
          <w:trHeight w:hRule="exact" w:val="227"/>
          <w:jc w:val="center"/>
        </w:trPr>
        <w:tc>
          <w:tcPr>
            <w:tcW w:w="7158" w:type="dxa"/>
            <w:tcBorders>
              <w:left w:val="single" w:sz="4" w:space="0" w:color="auto"/>
              <w:right w:val="single" w:sz="4" w:space="0" w:color="auto"/>
            </w:tcBorders>
            <w:shd w:val="clear" w:color="auto" w:fill="auto"/>
            <w:noWrap/>
            <w:vAlign w:val="bottom"/>
            <w:hideMark/>
          </w:tcPr>
          <w:p w14:paraId="5A789303" w14:textId="77777777" w:rsidR="00C640EF" w:rsidRPr="0056239F" w:rsidRDefault="00C640EF" w:rsidP="002F131C">
            <w:pPr>
              <w:rPr>
                <w:rFonts w:ascii="Montserrat Medium" w:hAnsi="Montserrat Medium" w:cs="Calibri"/>
                <w:color w:val="000000"/>
                <w:sz w:val="16"/>
                <w:szCs w:val="18"/>
                <w:lang w:eastAsia="es-MX"/>
              </w:rPr>
            </w:pPr>
            <w:r w:rsidRPr="0056239F">
              <w:rPr>
                <w:rFonts w:ascii="Montserrat Medium" w:hAnsi="Montserrat Medium" w:cs="Calibri"/>
                <w:color w:val="000000"/>
                <w:sz w:val="16"/>
                <w:szCs w:val="18"/>
                <w:lang w:eastAsia="es-MX"/>
              </w:rPr>
              <w:t>Universidad del Caribe</w:t>
            </w:r>
          </w:p>
        </w:tc>
        <w:tc>
          <w:tcPr>
            <w:tcW w:w="1509" w:type="dxa"/>
            <w:tcBorders>
              <w:left w:val="nil"/>
              <w:right w:val="single" w:sz="4" w:space="0" w:color="auto"/>
            </w:tcBorders>
            <w:vAlign w:val="center"/>
          </w:tcPr>
          <w:p w14:paraId="7802C8E6" w14:textId="33DB546B" w:rsidR="00C640EF" w:rsidRPr="0056239F" w:rsidRDefault="00C640EF" w:rsidP="002F131C">
            <w:pPr>
              <w:jc w:val="right"/>
              <w:rPr>
                <w:rFonts w:ascii="Montserrat Medium" w:hAnsi="Montserrat Medium" w:cs="Calibri"/>
                <w:sz w:val="16"/>
                <w:szCs w:val="18"/>
              </w:rPr>
            </w:pPr>
            <w:r w:rsidRPr="0056239F">
              <w:rPr>
                <w:rFonts w:ascii="Montserrat Medium" w:hAnsi="Montserrat Medium" w:cs="Calibri"/>
                <w:color w:val="000000"/>
                <w:sz w:val="16"/>
                <w:szCs w:val="18"/>
              </w:rPr>
              <w:t>127,723.76</w:t>
            </w:r>
          </w:p>
        </w:tc>
        <w:tc>
          <w:tcPr>
            <w:tcW w:w="1509" w:type="dxa"/>
            <w:tcBorders>
              <w:left w:val="single" w:sz="4" w:space="0" w:color="auto"/>
              <w:right w:val="single" w:sz="4" w:space="0" w:color="auto"/>
            </w:tcBorders>
            <w:vAlign w:val="center"/>
          </w:tcPr>
          <w:p w14:paraId="0663EC81" w14:textId="29118B61" w:rsidR="00C640EF" w:rsidRPr="0056239F" w:rsidRDefault="00C640EF" w:rsidP="002F131C">
            <w:pPr>
              <w:jc w:val="right"/>
              <w:rPr>
                <w:rFonts w:ascii="Montserrat Medium" w:hAnsi="Montserrat Medium" w:cs="Calibri"/>
                <w:sz w:val="16"/>
                <w:szCs w:val="18"/>
              </w:rPr>
            </w:pPr>
            <w:r w:rsidRPr="0056239F">
              <w:rPr>
                <w:rFonts w:ascii="Montserrat Medium" w:hAnsi="Montserrat Medium" w:cs="Calibri"/>
                <w:color w:val="000000"/>
                <w:sz w:val="16"/>
                <w:szCs w:val="18"/>
              </w:rPr>
              <w:t>127,723.76</w:t>
            </w:r>
          </w:p>
        </w:tc>
      </w:tr>
      <w:tr w:rsidR="00C640EF" w:rsidRPr="0056239F" w14:paraId="2561BCA0" w14:textId="64A1B692" w:rsidTr="00CF691F">
        <w:trPr>
          <w:trHeight w:hRule="exact" w:val="227"/>
          <w:jc w:val="center"/>
        </w:trPr>
        <w:tc>
          <w:tcPr>
            <w:tcW w:w="7158" w:type="dxa"/>
            <w:tcBorders>
              <w:top w:val="nil"/>
              <w:left w:val="single" w:sz="4" w:space="0" w:color="auto"/>
              <w:bottom w:val="single" w:sz="4" w:space="0" w:color="auto"/>
              <w:right w:val="single" w:sz="4" w:space="0" w:color="auto"/>
            </w:tcBorders>
            <w:shd w:val="clear" w:color="auto" w:fill="auto"/>
            <w:noWrap/>
            <w:vAlign w:val="bottom"/>
            <w:hideMark/>
          </w:tcPr>
          <w:p w14:paraId="7F3ED3C8" w14:textId="77777777" w:rsidR="00C640EF" w:rsidRPr="0056239F" w:rsidRDefault="00C640EF" w:rsidP="002F131C">
            <w:pPr>
              <w:rPr>
                <w:rFonts w:ascii="Montserrat Medium" w:hAnsi="Montserrat Medium" w:cs="Calibri"/>
                <w:color w:val="000000"/>
                <w:sz w:val="16"/>
                <w:szCs w:val="18"/>
                <w:lang w:eastAsia="es-MX"/>
              </w:rPr>
            </w:pPr>
            <w:r w:rsidRPr="0056239F">
              <w:rPr>
                <w:rFonts w:ascii="Montserrat Medium" w:hAnsi="Montserrat Medium" w:cs="Calibri"/>
                <w:color w:val="000000"/>
                <w:sz w:val="16"/>
                <w:szCs w:val="18"/>
                <w:lang w:eastAsia="es-MX"/>
              </w:rPr>
              <w:t>Instituto de Infraestructura Física Educativa del Estado de Quintana Roo</w:t>
            </w:r>
          </w:p>
        </w:tc>
        <w:tc>
          <w:tcPr>
            <w:tcW w:w="1509" w:type="dxa"/>
            <w:tcBorders>
              <w:top w:val="nil"/>
              <w:left w:val="nil"/>
              <w:bottom w:val="single" w:sz="4" w:space="0" w:color="auto"/>
              <w:right w:val="single" w:sz="4" w:space="0" w:color="auto"/>
            </w:tcBorders>
            <w:vAlign w:val="center"/>
          </w:tcPr>
          <w:p w14:paraId="42921504" w14:textId="0D3A7380" w:rsidR="00C640EF" w:rsidRPr="0056239F" w:rsidRDefault="00C640EF" w:rsidP="002F131C">
            <w:pPr>
              <w:jc w:val="right"/>
              <w:rPr>
                <w:rFonts w:ascii="Montserrat Medium" w:hAnsi="Montserrat Medium" w:cs="Calibri"/>
                <w:sz w:val="16"/>
                <w:szCs w:val="18"/>
              </w:rPr>
            </w:pPr>
            <w:r w:rsidRPr="0056239F">
              <w:rPr>
                <w:rFonts w:ascii="Montserrat Medium" w:hAnsi="Montserrat Medium" w:cs="Calibri"/>
                <w:color w:val="000000"/>
                <w:sz w:val="16"/>
                <w:szCs w:val="18"/>
              </w:rPr>
              <w:t>1,128,877.45</w:t>
            </w:r>
          </w:p>
        </w:tc>
        <w:tc>
          <w:tcPr>
            <w:tcW w:w="1509" w:type="dxa"/>
            <w:tcBorders>
              <w:top w:val="nil"/>
              <w:left w:val="single" w:sz="4" w:space="0" w:color="auto"/>
              <w:bottom w:val="single" w:sz="4" w:space="0" w:color="auto"/>
              <w:right w:val="single" w:sz="4" w:space="0" w:color="auto"/>
            </w:tcBorders>
            <w:vAlign w:val="center"/>
          </w:tcPr>
          <w:p w14:paraId="2AE5DC2D" w14:textId="4F17F68B" w:rsidR="00C640EF" w:rsidRPr="0056239F" w:rsidRDefault="00C640EF" w:rsidP="002F131C">
            <w:pPr>
              <w:jc w:val="right"/>
              <w:rPr>
                <w:rFonts w:ascii="Montserrat Medium" w:hAnsi="Montserrat Medium" w:cs="Calibri"/>
                <w:sz w:val="16"/>
                <w:szCs w:val="18"/>
              </w:rPr>
            </w:pPr>
            <w:r w:rsidRPr="0056239F">
              <w:rPr>
                <w:rFonts w:ascii="Montserrat Medium" w:hAnsi="Montserrat Medium" w:cs="Calibri"/>
                <w:color w:val="000000"/>
                <w:sz w:val="16"/>
                <w:szCs w:val="18"/>
              </w:rPr>
              <w:t>1,128,877.45</w:t>
            </w:r>
          </w:p>
        </w:tc>
      </w:tr>
      <w:tr w:rsidR="00C640EF" w:rsidRPr="0056239F" w14:paraId="39531C3C" w14:textId="4F3C7BB8" w:rsidTr="005671FD">
        <w:trPr>
          <w:trHeight w:hRule="exact" w:val="227"/>
          <w:jc w:val="center"/>
        </w:trPr>
        <w:tc>
          <w:tcPr>
            <w:tcW w:w="7158" w:type="dxa"/>
            <w:tcBorders>
              <w:top w:val="nil"/>
              <w:left w:val="single" w:sz="4" w:space="0" w:color="auto"/>
              <w:bottom w:val="single" w:sz="4" w:space="0" w:color="auto"/>
              <w:right w:val="single" w:sz="4" w:space="0" w:color="auto"/>
            </w:tcBorders>
            <w:shd w:val="clear" w:color="auto" w:fill="auto"/>
            <w:noWrap/>
            <w:vAlign w:val="center"/>
            <w:hideMark/>
          </w:tcPr>
          <w:p w14:paraId="318DFFBF" w14:textId="77777777" w:rsidR="00C640EF" w:rsidRPr="0056239F" w:rsidRDefault="00C640EF" w:rsidP="002F131C">
            <w:pPr>
              <w:rPr>
                <w:rFonts w:ascii="Montserrat Medium" w:eastAsia="Times New Roman" w:hAnsi="Montserrat Medium" w:cs="Arial"/>
                <w:b/>
                <w:sz w:val="16"/>
                <w:szCs w:val="18"/>
                <w:lang w:eastAsia="en-US"/>
              </w:rPr>
            </w:pPr>
            <w:r w:rsidRPr="0056239F">
              <w:rPr>
                <w:rFonts w:ascii="Montserrat Medium" w:eastAsia="Times New Roman" w:hAnsi="Montserrat Medium" w:cs="Arial"/>
                <w:b/>
                <w:sz w:val="16"/>
                <w:szCs w:val="18"/>
                <w:lang w:eastAsia="en-US"/>
              </w:rPr>
              <w:t>Total</w:t>
            </w:r>
          </w:p>
        </w:tc>
        <w:tc>
          <w:tcPr>
            <w:tcW w:w="1509" w:type="dxa"/>
            <w:tcBorders>
              <w:top w:val="nil"/>
              <w:left w:val="nil"/>
              <w:bottom w:val="single" w:sz="4" w:space="0" w:color="auto"/>
              <w:right w:val="single" w:sz="4" w:space="0" w:color="auto"/>
            </w:tcBorders>
            <w:vAlign w:val="center"/>
          </w:tcPr>
          <w:p w14:paraId="38E1202B" w14:textId="0A20460B" w:rsidR="00C640EF" w:rsidRPr="0056239F" w:rsidRDefault="00C640EF" w:rsidP="002F131C">
            <w:pPr>
              <w:jc w:val="right"/>
              <w:rPr>
                <w:rFonts w:ascii="Montserrat Medium" w:hAnsi="Montserrat Medium" w:cs="Calibri"/>
                <w:b/>
                <w:color w:val="000000"/>
                <w:sz w:val="16"/>
                <w:szCs w:val="18"/>
              </w:rPr>
            </w:pPr>
            <w:r w:rsidRPr="0056239F">
              <w:rPr>
                <w:rFonts w:ascii="Montserrat Medium" w:hAnsi="Montserrat Medium" w:cs="Calibri"/>
                <w:b/>
                <w:color w:val="000000"/>
                <w:sz w:val="16"/>
                <w:szCs w:val="18"/>
              </w:rPr>
              <w:t>8,469,130.10</w:t>
            </w:r>
          </w:p>
        </w:tc>
        <w:tc>
          <w:tcPr>
            <w:tcW w:w="1509" w:type="dxa"/>
            <w:tcBorders>
              <w:top w:val="nil"/>
              <w:left w:val="single" w:sz="4" w:space="0" w:color="auto"/>
              <w:bottom w:val="single" w:sz="4" w:space="0" w:color="auto"/>
              <w:right w:val="single" w:sz="4" w:space="0" w:color="auto"/>
            </w:tcBorders>
            <w:vAlign w:val="center"/>
          </w:tcPr>
          <w:p w14:paraId="5E6325B9" w14:textId="1F4E8BD7" w:rsidR="00C640EF" w:rsidRPr="0056239F" w:rsidRDefault="00C640EF" w:rsidP="002F131C">
            <w:pPr>
              <w:jc w:val="right"/>
              <w:rPr>
                <w:rFonts w:ascii="Montserrat Medium" w:hAnsi="Montserrat Medium" w:cs="Calibri"/>
                <w:b/>
                <w:bCs/>
                <w:sz w:val="16"/>
                <w:szCs w:val="18"/>
              </w:rPr>
            </w:pPr>
            <w:r w:rsidRPr="0056239F">
              <w:rPr>
                <w:rFonts w:ascii="Montserrat Medium" w:hAnsi="Montserrat Medium" w:cs="Calibri"/>
                <w:b/>
                <w:color w:val="000000"/>
                <w:sz w:val="16"/>
                <w:szCs w:val="18"/>
              </w:rPr>
              <w:t>8,469,130.10</w:t>
            </w:r>
          </w:p>
        </w:tc>
      </w:tr>
    </w:tbl>
    <w:p w14:paraId="727FA675" w14:textId="77777777" w:rsidR="00C640EF" w:rsidRDefault="00C640EF" w:rsidP="002F131C">
      <w:pPr>
        <w:keepNext/>
        <w:keepLines/>
        <w:jc w:val="both"/>
        <w:outlineLvl w:val="6"/>
        <w:rPr>
          <w:rFonts w:ascii="Montserrat Medium" w:eastAsia="Times New Roman" w:hAnsi="Montserrat Medium" w:cs="Arial"/>
          <w:b/>
          <w:iCs/>
          <w:color w:val="595959"/>
          <w:sz w:val="22"/>
          <w:szCs w:val="20"/>
        </w:rPr>
      </w:pPr>
    </w:p>
    <w:p w14:paraId="2F2514F4" w14:textId="2B0E8FB2" w:rsidR="00905965" w:rsidRPr="00D56579" w:rsidRDefault="009E3086" w:rsidP="002F131C">
      <w:pPr>
        <w:keepNext/>
        <w:keepLines/>
        <w:jc w:val="both"/>
        <w:outlineLvl w:val="6"/>
        <w:rPr>
          <w:rFonts w:ascii="Montserrat Medium" w:eastAsia="Times New Roman" w:hAnsi="Montserrat Medium" w:cs="Arial"/>
          <w:b/>
          <w:iCs/>
          <w:color w:val="595959"/>
          <w:sz w:val="22"/>
          <w:szCs w:val="20"/>
        </w:rPr>
      </w:pPr>
      <w:r w:rsidRPr="00D56579">
        <w:rPr>
          <w:rFonts w:ascii="Montserrat Medium" w:eastAsia="Times New Roman" w:hAnsi="Montserrat Medium" w:cs="Arial"/>
          <w:b/>
          <w:iCs/>
          <w:color w:val="595959"/>
          <w:sz w:val="22"/>
          <w:szCs w:val="20"/>
        </w:rPr>
        <w:t xml:space="preserve">3. </w:t>
      </w:r>
      <w:r w:rsidR="002632D2" w:rsidRPr="00D56579">
        <w:rPr>
          <w:rFonts w:ascii="Montserrat Medium" w:eastAsia="Times New Roman" w:hAnsi="Montserrat Medium" w:cs="Arial"/>
          <w:b/>
          <w:iCs/>
          <w:color w:val="595959"/>
          <w:sz w:val="22"/>
          <w:szCs w:val="20"/>
        </w:rPr>
        <w:t xml:space="preserve">Pasivos Diferidos </w:t>
      </w:r>
    </w:p>
    <w:p w14:paraId="3CA190CF" w14:textId="77777777" w:rsidR="0002308C" w:rsidRPr="00D56579" w:rsidRDefault="0002308C" w:rsidP="002F131C">
      <w:pPr>
        <w:jc w:val="both"/>
        <w:rPr>
          <w:rFonts w:ascii="Montserrat Medium" w:eastAsia="Times New Roman" w:hAnsi="Montserrat Medium" w:cs="Tahoma"/>
          <w:color w:val="C0504D"/>
          <w:sz w:val="22"/>
          <w:szCs w:val="20"/>
          <w:lang w:eastAsia="en-US"/>
        </w:rPr>
      </w:pPr>
    </w:p>
    <w:p w14:paraId="4C06A969" w14:textId="7ACEAB44" w:rsidR="005F6D8D" w:rsidRDefault="00C640EF" w:rsidP="002F131C">
      <w:pPr>
        <w:rPr>
          <w:rFonts w:ascii="Montserrat Medium" w:eastAsia="Times New Roman" w:hAnsi="Montserrat Medium" w:cs="Arial"/>
          <w:color w:val="595959"/>
          <w:sz w:val="22"/>
          <w:szCs w:val="20"/>
          <w:lang w:eastAsia="en-US"/>
        </w:rPr>
      </w:pPr>
      <w:r w:rsidRPr="00C640EF">
        <w:rPr>
          <w:rFonts w:ascii="Montserrat Medium" w:eastAsia="Times New Roman" w:hAnsi="Montserrat Medium" w:cs="Arial"/>
          <w:color w:val="595959"/>
          <w:sz w:val="22"/>
          <w:szCs w:val="20"/>
          <w:lang w:eastAsia="en-US"/>
        </w:rPr>
        <w:t>Representa el monto de las obligaciones del ente público cuyo beneficio se recibió por anticipado y se reconocerá en un plazo menor o igual a doce meses. Esta cuenta se integra por la subcuenta de Anticipo a Adquirentes, en la cual se registran los enganches o anticipos a nivel estatal que pagan los beneficiarios personas físicas o morales para poder adquirir algún lote habitacional, comercial y por la compra de reserva territorial, mismos que están pendientes de contratación debido a que no se les ha otorgado físicamente el bien. La SEDETUS es la encargada de integrar los expedientes que avalan dichos pagos, realizar la integración por el nombre del municipio, colonia, beneficiario, fecha de pago y el importe, al 30 de junio de 2025 el saldo es de 17</w:t>
      </w:r>
      <w:proofErr w:type="gramStart"/>
      <w:r w:rsidRPr="00C640EF">
        <w:rPr>
          <w:rFonts w:ascii="Montserrat Medium" w:eastAsia="Times New Roman" w:hAnsi="Montserrat Medium" w:cs="Arial"/>
          <w:color w:val="595959"/>
          <w:sz w:val="22"/>
          <w:szCs w:val="20"/>
          <w:lang w:eastAsia="en-US"/>
        </w:rPr>
        <w:t>,083,316.19</w:t>
      </w:r>
      <w:proofErr w:type="gramEnd"/>
      <w:r w:rsidRPr="00C640EF">
        <w:rPr>
          <w:rFonts w:ascii="Montserrat Medium" w:eastAsia="Times New Roman" w:hAnsi="Montserrat Medium" w:cs="Arial"/>
          <w:color w:val="595959"/>
          <w:sz w:val="22"/>
          <w:szCs w:val="20"/>
          <w:lang w:eastAsia="en-US"/>
        </w:rPr>
        <w:t xml:space="preserve"> pesos.</w:t>
      </w:r>
    </w:p>
    <w:p w14:paraId="658D4EDB" w14:textId="77777777" w:rsidR="00C640EF" w:rsidRDefault="00C640EF" w:rsidP="002F131C">
      <w:pPr>
        <w:rPr>
          <w:rFonts w:ascii="Montserrat Medium" w:eastAsia="Times New Roman" w:hAnsi="Montserrat Medium" w:cs="Arial"/>
          <w:b/>
          <w:iCs/>
          <w:color w:val="595959"/>
          <w:sz w:val="22"/>
          <w:szCs w:val="20"/>
        </w:rPr>
      </w:pPr>
    </w:p>
    <w:p w14:paraId="01F9924A" w14:textId="7828B076" w:rsidR="00905965" w:rsidRPr="00D56579" w:rsidRDefault="009E3086" w:rsidP="002F131C">
      <w:pPr>
        <w:keepNext/>
        <w:keepLines/>
        <w:jc w:val="both"/>
        <w:outlineLvl w:val="6"/>
        <w:rPr>
          <w:rFonts w:ascii="Montserrat Medium" w:eastAsia="Times New Roman" w:hAnsi="Montserrat Medium" w:cs="Arial"/>
          <w:b/>
          <w:iCs/>
          <w:color w:val="595959"/>
          <w:sz w:val="22"/>
          <w:szCs w:val="20"/>
        </w:rPr>
      </w:pPr>
      <w:r w:rsidRPr="00D56579">
        <w:rPr>
          <w:rFonts w:ascii="Montserrat Medium" w:eastAsia="Times New Roman" w:hAnsi="Montserrat Medium" w:cs="Arial"/>
          <w:b/>
          <w:iCs/>
          <w:color w:val="595959"/>
          <w:sz w:val="22"/>
          <w:szCs w:val="20"/>
        </w:rPr>
        <w:t xml:space="preserve">4. </w:t>
      </w:r>
      <w:r w:rsidR="002632D2" w:rsidRPr="00D56579">
        <w:rPr>
          <w:rFonts w:ascii="Montserrat Medium" w:eastAsia="Times New Roman" w:hAnsi="Montserrat Medium" w:cs="Arial"/>
          <w:b/>
          <w:iCs/>
          <w:color w:val="595959"/>
          <w:sz w:val="22"/>
          <w:szCs w:val="20"/>
        </w:rPr>
        <w:t>Provisiones</w:t>
      </w:r>
    </w:p>
    <w:p w14:paraId="5E6DE0DF" w14:textId="77777777" w:rsidR="0002308C" w:rsidRPr="00D56579" w:rsidRDefault="0002308C" w:rsidP="002F131C">
      <w:pPr>
        <w:pStyle w:val="Texto"/>
        <w:spacing w:line="240" w:lineRule="auto"/>
        <w:ind w:firstLine="0"/>
        <w:rPr>
          <w:rFonts w:ascii="Montserrat Medium" w:eastAsia="Times New Roman" w:hAnsi="Montserrat Medium" w:cs="Arial"/>
          <w:color w:val="595959"/>
          <w:sz w:val="22"/>
          <w:lang w:val="es-ES_tradnl"/>
        </w:rPr>
      </w:pPr>
    </w:p>
    <w:p w14:paraId="3858A980" w14:textId="77777777" w:rsidR="009E3086" w:rsidRPr="00D56579" w:rsidRDefault="009E3086" w:rsidP="002F131C">
      <w:pPr>
        <w:pStyle w:val="Texto"/>
        <w:spacing w:line="240" w:lineRule="auto"/>
        <w:ind w:firstLine="0"/>
        <w:rPr>
          <w:rFonts w:ascii="Montserrat Medium" w:eastAsia="Times New Roman" w:hAnsi="Montserrat Medium" w:cs="Arial"/>
          <w:color w:val="595959"/>
          <w:sz w:val="22"/>
          <w:lang w:val="es-ES_tradnl"/>
        </w:rPr>
      </w:pPr>
      <w:r w:rsidRPr="00D56579">
        <w:rPr>
          <w:rFonts w:ascii="Montserrat Medium" w:eastAsia="Times New Roman" w:hAnsi="Montserrat Medium" w:cs="Arial"/>
          <w:color w:val="595959"/>
          <w:sz w:val="22"/>
          <w:lang w:val="es-ES_tradnl"/>
        </w:rPr>
        <w:t>Representa el monto de las obligaciones a cargo del ente público, originadas en circunstancias ciertas, cuya exactitud del valor depende de un hecho futuro; estas obligaciones deben ser justificables y su medición monetaria debe ser confiable en un plazo menor o igual a doce meses. De acuerdo a los lineamientos que emita el CONAC.</w:t>
      </w:r>
    </w:p>
    <w:p w14:paraId="3C6B5FDA" w14:textId="77777777" w:rsidR="009E3086" w:rsidRPr="00D56579" w:rsidRDefault="009E3086" w:rsidP="002F131C">
      <w:pPr>
        <w:pStyle w:val="Texto"/>
        <w:spacing w:line="240" w:lineRule="auto"/>
        <w:ind w:firstLine="0"/>
        <w:rPr>
          <w:rFonts w:ascii="Montserrat Medium" w:eastAsia="Times New Roman" w:hAnsi="Montserrat Medium" w:cs="Arial"/>
          <w:color w:val="595959"/>
          <w:sz w:val="22"/>
          <w:lang w:val="es-ES_tradnl"/>
        </w:rPr>
      </w:pPr>
      <w:r w:rsidRPr="00D56579">
        <w:rPr>
          <w:rFonts w:ascii="Montserrat Medium" w:eastAsia="Times New Roman" w:hAnsi="Montserrat Medium" w:cs="Arial"/>
          <w:color w:val="595959"/>
          <w:sz w:val="22"/>
          <w:lang w:val="es-ES_tradnl"/>
        </w:rPr>
        <w:t>A la fecha de presentación de los estados financieros de la Administración Pública Central, no se tienen registros de esa naturaleza que afecten esta cuenta.</w:t>
      </w:r>
    </w:p>
    <w:p w14:paraId="534D2CDD" w14:textId="7DB85B81" w:rsidR="000B5909" w:rsidRPr="00D56579" w:rsidRDefault="005E6717" w:rsidP="002F131C">
      <w:pPr>
        <w:keepNext/>
        <w:keepLines/>
        <w:jc w:val="both"/>
        <w:outlineLvl w:val="6"/>
        <w:rPr>
          <w:rFonts w:ascii="Montserrat Medium" w:eastAsia="Times New Roman" w:hAnsi="Montserrat Medium" w:cs="Arial"/>
          <w:b/>
          <w:iCs/>
          <w:color w:val="595959"/>
          <w:sz w:val="22"/>
          <w:szCs w:val="20"/>
        </w:rPr>
      </w:pPr>
      <w:r w:rsidRPr="00D56579">
        <w:rPr>
          <w:rFonts w:ascii="Montserrat Medium" w:eastAsia="Times New Roman" w:hAnsi="Montserrat Medium" w:cs="Arial"/>
          <w:b/>
          <w:iCs/>
          <w:color w:val="595959"/>
          <w:sz w:val="22"/>
          <w:szCs w:val="20"/>
        </w:rPr>
        <w:lastRenderedPageBreak/>
        <w:t xml:space="preserve">5. </w:t>
      </w:r>
      <w:r w:rsidR="000B5909" w:rsidRPr="00D56579">
        <w:rPr>
          <w:rFonts w:ascii="Montserrat Medium" w:eastAsia="Times New Roman" w:hAnsi="Montserrat Medium" w:cs="Arial"/>
          <w:b/>
          <w:iCs/>
          <w:color w:val="595959"/>
          <w:sz w:val="22"/>
          <w:szCs w:val="20"/>
        </w:rPr>
        <w:t>O</w:t>
      </w:r>
      <w:r w:rsidR="002632D2" w:rsidRPr="00D56579">
        <w:rPr>
          <w:rFonts w:ascii="Montserrat Medium" w:eastAsia="Times New Roman" w:hAnsi="Montserrat Medium" w:cs="Arial"/>
          <w:b/>
          <w:iCs/>
          <w:color w:val="595959"/>
          <w:sz w:val="22"/>
          <w:szCs w:val="20"/>
        </w:rPr>
        <w:t>tros</w:t>
      </w:r>
      <w:r w:rsidR="000B5909" w:rsidRPr="00D56579">
        <w:rPr>
          <w:rFonts w:ascii="Montserrat Medium" w:eastAsia="Times New Roman" w:hAnsi="Montserrat Medium" w:cs="Arial"/>
          <w:b/>
          <w:iCs/>
          <w:color w:val="595959"/>
          <w:sz w:val="22"/>
          <w:szCs w:val="20"/>
        </w:rPr>
        <w:t xml:space="preserve"> P</w:t>
      </w:r>
      <w:r w:rsidR="002632D2" w:rsidRPr="00D56579">
        <w:rPr>
          <w:rFonts w:ascii="Montserrat Medium" w:eastAsia="Times New Roman" w:hAnsi="Montserrat Medium" w:cs="Arial"/>
          <w:b/>
          <w:iCs/>
          <w:color w:val="595959"/>
          <w:sz w:val="22"/>
          <w:szCs w:val="20"/>
        </w:rPr>
        <w:t>asivos</w:t>
      </w:r>
      <w:r w:rsidR="000B5909" w:rsidRPr="00D56579">
        <w:rPr>
          <w:rFonts w:ascii="Montserrat Medium" w:eastAsia="Times New Roman" w:hAnsi="Montserrat Medium" w:cs="Arial"/>
          <w:b/>
          <w:iCs/>
          <w:color w:val="595959"/>
          <w:sz w:val="22"/>
          <w:szCs w:val="20"/>
        </w:rPr>
        <w:t xml:space="preserve"> </w:t>
      </w:r>
    </w:p>
    <w:p w14:paraId="31E7B226" w14:textId="77777777" w:rsidR="00407330" w:rsidRDefault="00407330" w:rsidP="002F131C">
      <w:pPr>
        <w:jc w:val="both"/>
        <w:rPr>
          <w:rFonts w:ascii="Montserrat Medium" w:eastAsia="Times New Roman" w:hAnsi="Montserrat Medium" w:cs="Arial"/>
          <w:color w:val="595959"/>
          <w:sz w:val="22"/>
          <w:szCs w:val="20"/>
          <w:lang w:eastAsia="en-US"/>
        </w:rPr>
      </w:pPr>
    </w:p>
    <w:p w14:paraId="4D0DC368" w14:textId="3B596C24" w:rsidR="008C25D8" w:rsidRDefault="00C640EF" w:rsidP="002F131C">
      <w:pPr>
        <w:jc w:val="both"/>
        <w:rPr>
          <w:rFonts w:ascii="Montserrat Medium" w:eastAsia="Times New Roman" w:hAnsi="Montserrat Medium" w:cs="Arial"/>
          <w:color w:val="595959"/>
          <w:sz w:val="22"/>
          <w:szCs w:val="20"/>
          <w:lang w:eastAsia="en-US"/>
        </w:rPr>
      </w:pPr>
      <w:r w:rsidRPr="00C640EF">
        <w:rPr>
          <w:rFonts w:ascii="Montserrat Medium" w:eastAsia="Times New Roman" w:hAnsi="Montserrat Medium" w:cs="Arial"/>
          <w:color w:val="595959"/>
          <w:sz w:val="22"/>
          <w:szCs w:val="20"/>
          <w:lang w:eastAsia="en-US"/>
        </w:rPr>
        <w:t>Representa los adeudos del ente público con terceros, no incluidos en las cuentas anteriores, el saldo al 30 de junio de 2025 y ejercicio fiscal 2024, de los estados financieros de la Administración Pública Central, es por  54</w:t>
      </w:r>
      <w:proofErr w:type="gramStart"/>
      <w:r w:rsidRPr="00C640EF">
        <w:rPr>
          <w:rFonts w:ascii="Montserrat Medium" w:eastAsia="Times New Roman" w:hAnsi="Montserrat Medium" w:cs="Arial"/>
          <w:color w:val="595959"/>
          <w:sz w:val="22"/>
          <w:szCs w:val="20"/>
          <w:lang w:eastAsia="en-US"/>
        </w:rPr>
        <w:t>,260,551.03</w:t>
      </w:r>
      <w:proofErr w:type="gramEnd"/>
      <w:r w:rsidRPr="00C640EF">
        <w:rPr>
          <w:rFonts w:ascii="Montserrat Medium" w:eastAsia="Times New Roman" w:hAnsi="Montserrat Medium" w:cs="Arial"/>
          <w:color w:val="595959"/>
          <w:sz w:val="22"/>
          <w:szCs w:val="20"/>
          <w:lang w:eastAsia="en-US"/>
        </w:rPr>
        <w:t xml:space="preserve"> y 73,298,055.35 de pesos, respectivamente.  </w:t>
      </w:r>
    </w:p>
    <w:p w14:paraId="70967D76" w14:textId="77777777" w:rsidR="00C640EF" w:rsidRPr="00D56579" w:rsidRDefault="00C640EF" w:rsidP="002F131C">
      <w:pPr>
        <w:jc w:val="both"/>
        <w:rPr>
          <w:rFonts w:ascii="Montserrat Medium" w:eastAsia="Times New Roman" w:hAnsi="Montserrat Medium" w:cs="Arial"/>
          <w:color w:val="595959"/>
          <w:sz w:val="22"/>
          <w:szCs w:val="20"/>
          <w:lang w:eastAsia="en-US"/>
        </w:rPr>
      </w:pPr>
    </w:p>
    <w:p w14:paraId="48A217BC" w14:textId="1E0B0AC5" w:rsidR="001E3866" w:rsidRPr="00D56579" w:rsidRDefault="000D5C4D" w:rsidP="002F131C">
      <w:pPr>
        <w:rPr>
          <w:rFonts w:ascii="Montserrat Medium" w:eastAsia="Times New Roman" w:hAnsi="Montserrat Medium" w:cs="Arial"/>
          <w:b/>
          <w:i/>
          <w:color w:val="595959"/>
          <w:sz w:val="22"/>
          <w:lang w:eastAsia="en-US"/>
        </w:rPr>
      </w:pPr>
      <w:r w:rsidRPr="00D56579">
        <w:rPr>
          <w:rFonts w:ascii="Montserrat Medium" w:eastAsia="Times New Roman" w:hAnsi="Montserrat Medium" w:cs="Arial"/>
          <w:b/>
          <w:i/>
          <w:color w:val="595959"/>
          <w:sz w:val="22"/>
          <w:lang w:eastAsia="en-US"/>
        </w:rPr>
        <w:t>III)</w:t>
      </w:r>
      <w:r w:rsidR="001E3866" w:rsidRPr="00D56579">
        <w:rPr>
          <w:rFonts w:ascii="Montserrat Medium" w:eastAsia="Times New Roman" w:hAnsi="Montserrat Medium" w:cs="Arial"/>
          <w:b/>
          <w:i/>
          <w:color w:val="595959"/>
          <w:sz w:val="22"/>
          <w:lang w:eastAsia="en-US"/>
        </w:rPr>
        <w:t xml:space="preserve"> NOTAS AL ESTADO DE VARIACIÓN EN LA HACIENDA PÚBLICA </w:t>
      </w:r>
    </w:p>
    <w:p w14:paraId="0D75572D" w14:textId="77777777" w:rsidR="000B5909" w:rsidRPr="00D56579" w:rsidRDefault="000B5909" w:rsidP="002F131C">
      <w:pPr>
        <w:rPr>
          <w:rFonts w:ascii="Montserrat Medium" w:eastAsia="Times New Roman" w:hAnsi="Montserrat Medium" w:cs="Arial"/>
          <w:b/>
          <w:i/>
          <w:color w:val="595959"/>
          <w:sz w:val="22"/>
          <w:lang w:eastAsia="en-US"/>
        </w:rPr>
      </w:pPr>
    </w:p>
    <w:p w14:paraId="699DFE96" w14:textId="77777777" w:rsidR="005E6717" w:rsidRPr="00D56579" w:rsidRDefault="005E6717" w:rsidP="002F131C">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1. Patrimonio Contribuido</w:t>
      </w:r>
    </w:p>
    <w:p w14:paraId="7B9CC16C" w14:textId="77777777" w:rsidR="00C3616F" w:rsidRDefault="00C3616F" w:rsidP="002F131C">
      <w:pPr>
        <w:jc w:val="both"/>
        <w:rPr>
          <w:rFonts w:ascii="Montserrat Medium" w:eastAsia="Times New Roman" w:hAnsi="Montserrat Medium" w:cs="Arial"/>
          <w:color w:val="595959"/>
          <w:sz w:val="22"/>
          <w:szCs w:val="20"/>
          <w:lang w:eastAsia="en-US"/>
        </w:rPr>
      </w:pPr>
    </w:p>
    <w:p w14:paraId="4A8ECE51" w14:textId="77777777" w:rsidR="005E6717" w:rsidRPr="00D56579" w:rsidRDefault="007E2AB4" w:rsidP="002F131C">
      <w:pPr>
        <w:jc w:val="both"/>
        <w:rPr>
          <w:rFonts w:ascii="Montserrat Medium" w:eastAsia="Times New Roman" w:hAnsi="Montserrat Medium" w:cs="Arial"/>
          <w:color w:val="595959"/>
          <w:sz w:val="22"/>
          <w:szCs w:val="20"/>
          <w:lang w:eastAsia="en-US"/>
        </w:rPr>
      </w:pPr>
      <w:r w:rsidRPr="00D56579">
        <w:rPr>
          <w:rFonts w:ascii="Montserrat Medium" w:eastAsia="Times New Roman" w:hAnsi="Montserrat Medium" w:cs="Arial"/>
          <w:color w:val="595959"/>
          <w:sz w:val="22"/>
          <w:szCs w:val="20"/>
          <w:lang w:eastAsia="en-US"/>
        </w:rPr>
        <w:t xml:space="preserve">Representa las aportaciones </w:t>
      </w:r>
      <w:r w:rsidR="005E6717" w:rsidRPr="00D56579">
        <w:rPr>
          <w:rFonts w:ascii="Montserrat Medium" w:eastAsia="Times New Roman" w:hAnsi="Montserrat Medium" w:cs="Arial"/>
          <w:color w:val="595959"/>
          <w:sz w:val="22"/>
          <w:szCs w:val="20"/>
          <w:lang w:eastAsia="en-US"/>
        </w:rPr>
        <w:t>con fines perman</w:t>
      </w:r>
      <w:r w:rsidRPr="00D56579">
        <w:rPr>
          <w:rFonts w:ascii="Montserrat Medium" w:eastAsia="Times New Roman" w:hAnsi="Montserrat Medium" w:cs="Arial"/>
          <w:color w:val="595959"/>
          <w:sz w:val="22"/>
          <w:szCs w:val="20"/>
          <w:lang w:eastAsia="en-US"/>
        </w:rPr>
        <w:t>entes</w:t>
      </w:r>
      <w:r w:rsidR="005E6717" w:rsidRPr="00D56579">
        <w:rPr>
          <w:rFonts w:ascii="Montserrat Medium" w:eastAsia="Times New Roman" w:hAnsi="Montserrat Medium" w:cs="Arial"/>
          <w:color w:val="595959"/>
          <w:sz w:val="22"/>
          <w:szCs w:val="20"/>
          <w:lang w:eastAsia="en-US"/>
        </w:rPr>
        <w:t xml:space="preserve"> del sector privado, público y externo que incrementan la Hacienda Pública/Patrimonio del ente público</w:t>
      </w:r>
      <w:r w:rsidR="00346FC3" w:rsidRPr="00D56579">
        <w:rPr>
          <w:rFonts w:ascii="Montserrat Medium" w:eastAsia="Times New Roman" w:hAnsi="Montserrat Medium" w:cs="Arial"/>
          <w:color w:val="595959"/>
          <w:sz w:val="22"/>
          <w:szCs w:val="20"/>
          <w:lang w:eastAsia="en-US"/>
        </w:rPr>
        <w:t>.</w:t>
      </w:r>
    </w:p>
    <w:p w14:paraId="198B61FA" w14:textId="77777777" w:rsidR="00222312" w:rsidRPr="00D56579" w:rsidRDefault="00222312" w:rsidP="002F131C">
      <w:pPr>
        <w:jc w:val="both"/>
        <w:rPr>
          <w:rFonts w:ascii="Montserrat Medium" w:eastAsia="Times New Roman" w:hAnsi="Montserrat Medium" w:cs="Arial"/>
          <w:color w:val="595959"/>
          <w:sz w:val="22"/>
          <w:szCs w:val="20"/>
          <w:lang w:eastAsia="en-US"/>
        </w:rPr>
      </w:pPr>
    </w:p>
    <w:p w14:paraId="03CEDC57" w14:textId="5CF8E115" w:rsidR="00407330" w:rsidRDefault="00C640EF" w:rsidP="002F131C">
      <w:pPr>
        <w:jc w:val="both"/>
        <w:rPr>
          <w:rFonts w:ascii="Montserrat Medium" w:eastAsia="Times New Roman" w:hAnsi="Montserrat Medium" w:cs="Arial"/>
          <w:color w:val="595959"/>
          <w:sz w:val="22"/>
          <w:szCs w:val="20"/>
          <w:lang w:eastAsia="en-US"/>
        </w:rPr>
      </w:pPr>
      <w:r w:rsidRPr="00C640EF">
        <w:rPr>
          <w:rFonts w:ascii="Montserrat Medium" w:eastAsia="Times New Roman" w:hAnsi="Montserrat Medium" w:cs="Arial"/>
          <w:color w:val="595959"/>
          <w:sz w:val="22"/>
          <w:szCs w:val="20"/>
          <w:lang w:eastAsia="en-US"/>
        </w:rPr>
        <w:t>Al 30 de junio de 2025, la Administración Pública Central cuenta con donaciones de capital por 4</w:t>
      </w:r>
      <w:proofErr w:type="gramStart"/>
      <w:r w:rsidRPr="00C640EF">
        <w:rPr>
          <w:rFonts w:ascii="Montserrat Medium" w:eastAsia="Times New Roman" w:hAnsi="Montserrat Medium" w:cs="Arial"/>
          <w:color w:val="595959"/>
          <w:sz w:val="22"/>
          <w:szCs w:val="20"/>
          <w:lang w:eastAsia="en-US"/>
        </w:rPr>
        <w:t>,076,195.92</w:t>
      </w:r>
      <w:proofErr w:type="gramEnd"/>
      <w:r w:rsidRPr="00C640EF">
        <w:rPr>
          <w:rFonts w:ascii="Montserrat Medium" w:eastAsia="Times New Roman" w:hAnsi="Montserrat Medium" w:cs="Arial"/>
          <w:color w:val="595959"/>
          <w:sz w:val="22"/>
          <w:szCs w:val="20"/>
          <w:lang w:eastAsia="en-US"/>
        </w:rPr>
        <w:t xml:space="preserve"> que conforman el saldo del patrimonio contribuido.</w:t>
      </w:r>
    </w:p>
    <w:p w14:paraId="52DFD019" w14:textId="77777777" w:rsidR="00C640EF" w:rsidRDefault="00C640EF" w:rsidP="002F131C">
      <w:pPr>
        <w:jc w:val="both"/>
        <w:rPr>
          <w:rFonts w:ascii="Montserrat Medium" w:eastAsia="Times New Roman" w:hAnsi="Montserrat Medium" w:cs="Arial"/>
          <w:b/>
          <w:color w:val="595959"/>
          <w:sz w:val="22"/>
          <w:lang w:eastAsia="en-US"/>
        </w:rPr>
      </w:pPr>
    </w:p>
    <w:p w14:paraId="32E38A03" w14:textId="11BDC571" w:rsidR="00FA09CC" w:rsidRPr="00D56579" w:rsidRDefault="00FA09CC" w:rsidP="002F131C">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2. Patrimonio Generado</w:t>
      </w:r>
    </w:p>
    <w:p w14:paraId="5E326BB5" w14:textId="77777777" w:rsidR="007A019B" w:rsidRPr="00D56579" w:rsidRDefault="007A019B" w:rsidP="002F131C">
      <w:pPr>
        <w:rPr>
          <w:rFonts w:ascii="Montserrat Medium" w:eastAsia="Times New Roman" w:hAnsi="Montserrat Medium" w:cs="Arial"/>
          <w:b/>
          <w:i/>
          <w:color w:val="C0504D"/>
          <w:sz w:val="22"/>
          <w:lang w:eastAsia="en-US"/>
        </w:rPr>
      </w:pPr>
    </w:p>
    <w:p w14:paraId="4F5AD7B1" w14:textId="77777777" w:rsidR="007A019B" w:rsidRPr="00D56579" w:rsidRDefault="007A019B" w:rsidP="002F131C">
      <w:pPr>
        <w:jc w:val="both"/>
        <w:rPr>
          <w:rFonts w:ascii="Montserrat Medium" w:eastAsia="Times New Roman" w:hAnsi="Montserrat Medium" w:cs="Arial"/>
          <w:color w:val="595959"/>
          <w:sz w:val="22"/>
          <w:szCs w:val="20"/>
          <w:lang w:eastAsia="en-US"/>
        </w:rPr>
      </w:pPr>
      <w:r w:rsidRPr="00D56579">
        <w:rPr>
          <w:rFonts w:ascii="Montserrat Medium" w:eastAsia="Times New Roman" w:hAnsi="Montserrat Medium" w:cs="Arial"/>
          <w:color w:val="595959"/>
          <w:sz w:val="22"/>
          <w:szCs w:val="20"/>
          <w:lang w:eastAsia="en-US"/>
        </w:rPr>
        <w:t>Representa la acumulación de resultados de la gestión de ejercicios anteriores, incluyendo las aplicadas a reservas, resultados del ejercicio en operación y los eventos identificables y cuantificables que le afectan.</w:t>
      </w:r>
    </w:p>
    <w:p w14:paraId="28C5C84D" w14:textId="77777777" w:rsidR="00C3616F" w:rsidRPr="00D56579" w:rsidRDefault="00C3616F" w:rsidP="002F131C">
      <w:pPr>
        <w:tabs>
          <w:tab w:val="left" w:pos="9356"/>
          <w:tab w:val="left" w:pos="9498"/>
        </w:tabs>
        <w:jc w:val="both"/>
        <w:rPr>
          <w:rFonts w:ascii="Montserrat Medium" w:eastAsia="Times New Roman" w:hAnsi="Montserrat Medium" w:cs="Arial"/>
          <w:color w:val="595959"/>
          <w:sz w:val="22"/>
          <w:szCs w:val="20"/>
          <w:lang w:eastAsia="en-US"/>
        </w:rPr>
      </w:pPr>
    </w:p>
    <w:p w14:paraId="6B119271" w14:textId="0F22A799" w:rsidR="001E3866" w:rsidRDefault="001E3866" w:rsidP="002F131C">
      <w:pPr>
        <w:tabs>
          <w:tab w:val="left" w:pos="9356"/>
          <w:tab w:val="left" w:pos="9498"/>
        </w:tabs>
        <w:jc w:val="both"/>
        <w:rPr>
          <w:rFonts w:ascii="Montserrat Medium" w:eastAsia="Times New Roman" w:hAnsi="Montserrat Medium" w:cs="Arial"/>
          <w:color w:val="595959"/>
          <w:sz w:val="22"/>
          <w:szCs w:val="20"/>
          <w:lang w:eastAsia="en-US"/>
        </w:rPr>
      </w:pPr>
      <w:r w:rsidRPr="00D56579">
        <w:rPr>
          <w:rFonts w:ascii="Montserrat Medium" w:eastAsia="Times New Roman" w:hAnsi="Montserrat Medium" w:cs="Arial"/>
          <w:color w:val="595959"/>
          <w:sz w:val="22"/>
          <w:szCs w:val="20"/>
          <w:lang w:eastAsia="en-US"/>
        </w:rPr>
        <w:t xml:space="preserve">Las afectaciones a los resultados de ejercicios anteriores en </w:t>
      </w:r>
      <w:r w:rsidR="006D2CDD" w:rsidRPr="00D56579">
        <w:rPr>
          <w:rFonts w:ascii="Montserrat Medium" w:eastAsia="Times New Roman" w:hAnsi="Montserrat Medium" w:cs="Arial"/>
          <w:color w:val="595959"/>
          <w:sz w:val="22"/>
          <w:szCs w:val="20"/>
          <w:lang w:eastAsia="en-US"/>
        </w:rPr>
        <w:t xml:space="preserve">el </w:t>
      </w:r>
      <w:r w:rsidR="000662D4" w:rsidRPr="00D56579">
        <w:rPr>
          <w:rFonts w:ascii="Montserrat Medium" w:eastAsia="Times New Roman" w:hAnsi="Montserrat Medium" w:cs="Arial"/>
          <w:color w:val="595959"/>
          <w:sz w:val="22"/>
          <w:szCs w:val="20"/>
          <w:lang w:eastAsia="en-US"/>
        </w:rPr>
        <w:t>perí</w:t>
      </w:r>
      <w:r w:rsidR="0051649B" w:rsidRPr="00D56579">
        <w:rPr>
          <w:rFonts w:ascii="Montserrat Medium" w:eastAsia="Times New Roman" w:hAnsi="Montserrat Medium" w:cs="Arial"/>
          <w:color w:val="595959"/>
          <w:sz w:val="22"/>
          <w:szCs w:val="20"/>
          <w:lang w:eastAsia="en-US"/>
        </w:rPr>
        <w:t xml:space="preserve">odo de enero a </w:t>
      </w:r>
      <w:r w:rsidR="009D4791">
        <w:rPr>
          <w:rFonts w:ascii="Montserrat Medium" w:eastAsia="Times New Roman" w:hAnsi="Montserrat Medium" w:cs="Arial"/>
          <w:color w:val="595959"/>
          <w:sz w:val="22"/>
          <w:szCs w:val="20"/>
          <w:lang w:eastAsia="en-US"/>
        </w:rPr>
        <w:t>junio</w:t>
      </w:r>
      <w:r w:rsidR="00700236" w:rsidRPr="00D56579">
        <w:rPr>
          <w:rFonts w:ascii="Montserrat Medium" w:eastAsia="Times New Roman" w:hAnsi="Montserrat Medium" w:cs="Arial"/>
          <w:color w:val="595959"/>
          <w:sz w:val="22"/>
          <w:szCs w:val="20"/>
          <w:lang w:eastAsia="en-US"/>
        </w:rPr>
        <w:t xml:space="preserve"> </w:t>
      </w:r>
      <w:r w:rsidR="0051649B" w:rsidRPr="00D56579">
        <w:rPr>
          <w:rFonts w:ascii="Montserrat Medium" w:eastAsia="Times New Roman" w:hAnsi="Montserrat Medium" w:cs="Arial"/>
          <w:color w:val="595959"/>
          <w:sz w:val="22"/>
          <w:szCs w:val="20"/>
          <w:lang w:eastAsia="en-US"/>
        </w:rPr>
        <w:t>de</w:t>
      </w:r>
      <w:r w:rsidR="003C7FBB" w:rsidRPr="00D56579">
        <w:rPr>
          <w:rFonts w:ascii="Montserrat Medium" w:eastAsia="Times New Roman" w:hAnsi="Montserrat Medium" w:cs="Arial"/>
          <w:color w:val="595959"/>
          <w:sz w:val="22"/>
          <w:szCs w:val="20"/>
          <w:lang w:eastAsia="en-US"/>
        </w:rPr>
        <w:t xml:space="preserve"> </w:t>
      </w:r>
      <w:r w:rsidR="007A019B" w:rsidRPr="00D56579">
        <w:rPr>
          <w:rFonts w:ascii="Montserrat Medium" w:eastAsia="Times New Roman" w:hAnsi="Montserrat Medium" w:cs="Arial"/>
          <w:color w:val="595959"/>
          <w:sz w:val="22"/>
          <w:szCs w:val="20"/>
          <w:lang w:eastAsia="en-US"/>
        </w:rPr>
        <w:t>2</w:t>
      </w:r>
      <w:r w:rsidR="00A062E3" w:rsidRPr="00D56579">
        <w:rPr>
          <w:rFonts w:ascii="Montserrat Medium" w:eastAsia="Times New Roman" w:hAnsi="Montserrat Medium" w:cs="Arial"/>
          <w:color w:val="595959"/>
          <w:sz w:val="22"/>
          <w:szCs w:val="20"/>
          <w:lang w:eastAsia="en-US"/>
        </w:rPr>
        <w:t>02</w:t>
      </w:r>
      <w:r w:rsidR="006F2EC0">
        <w:rPr>
          <w:rFonts w:ascii="Montserrat Medium" w:eastAsia="Times New Roman" w:hAnsi="Montserrat Medium" w:cs="Arial"/>
          <w:color w:val="595959"/>
          <w:sz w:val="22"/>
          <w:szCs w:val="20"/>
          <w:lang w:eastAsia="en-US"/>
        </w:rPr>
        <w:t>5</w:t>
      </w:r>
      <w:r w:rsidR="007947CC" w:rsidRPr="00D56579">
        <w:rPr>
          <w:rFonts w:ascii="Montserrat Medium" w:eastAsia="Times New Roman" w:hAnsi="Montserrat Medium" w:cs="Arial"/>
          <w:color w:val="595959"/>
          <w:sz w:val="22"/>
          <w:szCs w:val="20"/>
          <w:lang w:eastAsia="en-US"/>
        </w:rPr>
        <w:t xml:space="preserve"> y </w:t>
      </w:r>
      <w:r w:rsidR="00434BD5" w:rsidRPr="00D56579">
        <w:rPr>
          <w:rFonts w:ascii="Montserrat Medium" w:eastAsia="Times New Roman" w:hAnsi="Montserrat Medium" w:cs="Arial"/>
          <w:color w:val="595959"/>
          <w:sz w:val="22"/>
          <w:szCs w:val="20"/>
          <w:lang w:eastAsia="en-US"/>
        </w:rPr>
        <w:t>ejercicio fiscal 202</w:t>
      </w:r>
      <w:r w:rsidR="006F2EC0">
        <w:rPr>
          <w:rFonts w:ascii="Montserrat Medium" w:eastAsia="Times New Roman" w:hAnsi="Montserrat Medium" w:cs="Arial"/>
          <w:color w:val="595959"/>
          <w:sz w:val="22"/>
          <w:szCs w:val="20"/>
          <w:lang w:eastAsia="en-US"/>
        </w:rPr>
        <w:t>4</w:t>
      </w:r>
      <w:r w:rsidRPr="00D56579">
        <w:rPr>
          <w:rFonts w:ascii="Montserrat Medium" w:eastAsia="Times New Roman" w:hAnsi="Montserrat Medium" w:cs="Arial"/>
          <w:color w:val="595959"/>
          <w:sz w:val="22"/>
          <w:szCs w:val="20"/>
          <w:lang w:eastAsia="en-US"/>
        </w:rPr>
        <w:t>, se integran como sigue:</w:t>
      </w:r>
    </w:p>
    <w:p w14:paraId="17B5AA09" w14:textId="77777777" w:rsidR="008D7BF4" w:rsidRDefault="008D7BF4" w:rsidP="002F131C">
      <w:pPr>
        <w:tabs>
          <w:tab w:val="left" w:pos="9356"/>
          <w:tab w:val="left" w:pos="9498"/>
        </w:tabs>
        <w:jc w:val="both"/>
        <w:rPr>
          <w:rFonts w:ascii="Montserrat Medium" w:eastAsia="Times New Roman" w:hAnsi="Montserrat Medium" w:cs="Arial"/>
          <w:color w:val="595959"/>
          <w:sz w:val="22"/>
          <w:szCs w:val="20"/>
          <w:lang w:eastAsia="en-US"/>
        </w:rPr>
      </w:pPr>
    </w:p>
    <w:tbl>
      <w:tblPr>
        <w:tblW w:w="8505"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4"/>
        <w:gridCol w:w="2268"/>
        <w:gridCol w:w="1843"/>
      </w:tblGrid>
      <w:tr w:rsidR="00C3616F" w:rsidRPr="0056239F" w14:paraId="5206D941" w14:textId="77777777" w:rsidTr="0056239F">
        <w:trPr>
          <w:trHeight w:val="291"/>
          <w:tblHeader/>
        </w:trPr>
        <w:tc>
          <w:tcPr>
            <w:tcW w:w="4394" w:type="dxa"/>
            <w:tcBorders>
              <w:top w:val="single" w:sz="4" w:space="0" w:color="auto"/>
              <w:bottom w:val="single" w:sz="4" w:space="0" w:color="auto"/>
            </w:tcBorders>
            <w:shd w:val="clear" w:color="auto" w:fill="BFBFBF" w:themeFill="background1" w:themeFillShade="BF"/>
            <w:vAlign w:val="center"/>
            <w:hideMark/>
          </w:tcPr>
          <w:p w14:paraId="010C7826" w14:textId="77777777" w:rsidR="00C3616F" w:rsidRPr="0056239F" w:rsidRDefault="00C3616F" w:rsidP="002F131C">
            <w:pPr>
              <w:jc w:val="center"/>
              <w:rPr>
                <w:rFonts w:ascii="Montserrat Medium" w:eastAsia="Times New Roman" w:hAnsi="Montserrat Medium" w:cs="Calibri"/>
                <w:b/>
                <w:bCs/>
                <w:color w:val="000000"/>
                <w:sz w:val="16"/>
                <w:szCs w:val="16"/>
                <w:lang w:val="es-MX" w:eastAsia="es-MX"/>
              </w:rPr>
            </w:pPr>
            <w:r w:rsidRPr="0056239F">
              <w:rPr>
                <w:rFonts w:ascii="Montserrat Medium" w:eastAsia="Times New Roman" w:hAnsi="Montserrat Medium" w:cs="Calibri"/>
                <w:b/>
                <w:bCs/>
                <w:color w:val="000000"/>
                <w:sz w:val="16"/>
                <w:szCs w:val="16"/>
                <w:lang w:val="es-MX" w:eastAsia="es-MX"/>
              </w:rPr>
              <w:t>Concepto</w:t>
            </w:r>
          </w:p>
        </w:tc>
        <w:tc>
          <w:tcPr>
            <w:tcW w:w="2268" w:type="dxa"/>
            <w:tcBorders>
              <w:top w:val="single" w:sz="4" w:space="0" w:color="auto"/>
              <w:bottom w:val="single" w:sz="4" w:space="0" w:color="auto"/>
            </w:tcBorders>
            <w:shd w:val="clear" w:color="auto" w:fill="BFBFBF" w:themeFill="background1" w:themeFillShade="BF"/>
            <w:vAlign w:val="center"/>
            <w:hideMark/>
          </w:tcPr>
          <w:p w14:paraId="5669F15E" w14:textId="78AF9A0B" w:rsidR="00C3616F" w:rsidRPr="0056239F" w:rsidRDefault="009D4791" w:rsidP="002F131C">
            <w:pPr>
              <w:jc w:val="center"/>
              <w:rPr>
                <w:rFonts w:ascii="Montserrat Medium" w:eastAsia="Times New Roman" w:hAnsi="Montserrat Medium" w:cs="Calibri"/>
                <w:b/>
                <w:bCs/>
                <w:color w:val="000000"/>
                <w:sz w:val="16"/>
                <w:szCs w:val="16"/>
                <w:lang w:val="es-MX" w:eastAsia="es-MX"/>
              </w:rPr>
            </w:pPr>
            <w:r w:rsidRPr="0056239F">
              <w:rPr>
                <w:rFonts w:ascii="Montserrat Medium" w:eastAsia="Times New Roman" w:hAnsi="Montserrat Medium" w:cs="Calibri"/>
                <w:b/>
                <w:bCs/>
                <w:color w:val="000000"/>
                <w:sz w:val="16"/>
                <w:szCs w:val="16"/>
                <w:lang w:val="es-MX" w:eastAsia="es-MX"/>
              </w:rPr>
              <w:t>Al 30</w:t>
            </w:r>
            <w:r w:rsidR="00C3616F" w:rsidRPr="0056239F">
              <w:rPr>
                <w:rFonts w:ascii="Montserrat Medium" w:eastAsia="Times New Roman" w:hAnsi="Montserrat Medium" w:cs="Calibri"/>
                <w:b/>
                <w:bCs/>
                <w:color w:val="000000"/>
                <w:sz w:val="16"/>
                <w:szCs w:val="16"/>
                <w:lang w:val="es-MX" w:eastAsia="es-MX"/>
              </w:rPr>
              <w:t xml:space="preserve"> de </w:t>
            </w:r>
            <w:r w:rsidRPr="0056239F">
              <w:rPr>
                <w:rFonts w:ascii="Montserrat Medium" w:eastAsia="Times New Roman" w:hAnsi="Montserrat Medium" w:cs="Calibri"/>
                <w:b/>
                <w:bCs/>
                <w:color w:val="000000"/>
                <w:sz w:val="16"/>
                <w:szCs w:val="16"/>
                <w:lang w:val="es-MX" w:eastAsia="es-MX"/>
              </w:rPr>
              <w:t>Junio</w:t>
            </w:r>
            <w:r w:rsidR="00C3616F" w:rsidRPr="0056239F">
              <w:rPr>
                <w:rFonts w:ascii="Montserrat Medium" w:eastAsia="Times New Roman" w:hAnsi="Montserrat Medium" w:cs="Calibri"/>
                <w:b/>
                <w:bCs/>
                <w:color w:val="000000"/>
                <w:sz w:val="16"/>
                <w:szCs w:val="16"/>
                <w:lang w:val="es-MX" w:eastAsia="es-MX"/>
              </w:rPr>
              <w:t xml:space="preserve"> de 2025</w:t>
            </w:r>
          </w:p>
        </w:tc>
        <w:tc>
          <w:tcPr>
            <w:tcW w:w="1843" w:type="dxa"/>
            <w:tcBorders>
              <w:top w:val="single" w:sz="4" w:space="0" w:color="auto"/>
              <w:bottom w:val="single" w:sz="4" w:space="0" w:color="auto"/>
            </w:tcBorders>
            <w:shd w:val="clear" w:color="auto" w:fill="BFBFBF" w:themeFill="background1" w:themeFillShade="BF"/>
            <w:vAlign w:val="center"/>
            <w:hideMark/>
          </w:tcPr>
          <w:p w14:paraId="395D7965" w14:textId="77777777" w:rsidR="00C3616F" w:rsidRPr="0056239F" w:rsidRDefault="00C3616F" w:rsidP="002F131C">
            <w:pPr>
              <w:jc w:val="center"/>
              <w:rPr>
                <w:rFonts w:ascii="Montserrat Medium" w:eastAsia="Times New Roman" w:hAnsi="Montserrat Medium" w:cs="Calibri"/>
                <w:b/>
                <w:bCs/>
                <w:color w:val="000000"/>
                <w:sz w:val="16"/>
                <w:szCs w:val="16"/>
                <w:lang w:val="es-MX" w:eastAsia="es-MX"/>
              </w:rPr>
            </w:pPr>
            <w:r w:rsidRPr="0056239F">
              <w:rPr>
                <w:rFonts w:ascii="Montserrat Medium" w:eastAsia="Times New Roman" w:hAnsi="Montserrat Medium" w:cs="Calibri"/>
                <w:b/>
                <w:bCs/>
                <w:color w:val="000000"/>
                <w:sz w:val="16"/>
                <w:szCs w:val="16"/>
                <w:lang w:val="es-MX" w:eastAsia="es-MX"/>
              </w:rPr>
              <w:t>2024</w:t>
            </w:r>
          </w:p>
        </w:tc>
      </w:tr>
      <w:tr w:rsidR="008A132B" w:rsidRPr="0056239F" w14:paraId="349F830C" w14:textId="77777777" w:rsidTr="0056239F">
        <w:trPr>
          <w:trHeight w:val="267"/>
          <w:tblHeader/>
        </w:trPr>
        <w:tc>
          <w:tcPr>
            <w:tcW w:w="4394" w:type="dxa"/>
            <w:tcBorders>
              <w:top w:val="single" w:sz="4" w:space="0" w:color="auto"/>
              <w:bottom w:val="nil"/>
            </w:tcBorders>
            <w:shd w:val="clear" w:color="auto" w:fill="auto"/>
            <w:vAlign w:val="center"/>
            <w:hideMark/>
          </w:tcPr>
          <w:p w14:paraId="6BC969FA" w14:textId="6744AA9E" w:rsidR="008A132B" w:rsidRPr="0056239F" w:rsidRDefault="008A132B" w:rsidP="002F131C">
            <w:pPr>
              <w:rPr>
                <w:rFonts w:ascii="Montserrat Medium" w:eastAsia="Times New Roman" w:hAnsi="Montserrat Medium" w:cs="Calibri"/>
                <w:b/>
                <w:bCs/>
                <w:color w:val="000000"/>
                <w:sz w:val="16"/>
                <w:szCs w:val="16"/>
                <w:lang w:val="es-MX" w:eastAsia="es-MX"/>
              </w:rPr>
            </w:pPr>
            <w:r w:rsidRPr="0056239F">
              <w:rPr>
                <w:rFonts w:ascii="Montserrat" w:hAnsi="Montserrat" w:cs="Calibri"/>
                <w:b/>
                <w:bCs/>
                <w:color w:val="000000"/>
                <w:sz w:val="16"/>
                <w:szCs w:val="16"/>
              </w:rPr>
              <w:t>Saldos al inicio del año fiscal</w:t>
            </w:r>
          </w:p>
        </w:tc>
        <w:tc>
          <w:tcPr>
            <w:tcW w:w="2268" w:type="dxa"/>
            <w:tcBorders>
              <w:top w:val="single" w:sz="4" w:space="0" w:color="auto"/>
              <w:bottom w:val="nil"/>
            </w:tcBorders>
            <w:shd w:val="clear" w:color="auto" w:fill="auto"/>
            <w:vAlign w:val="center"/>
            <w:hideMark/>
          </w:tcPr>
          <w:p w14:paraId="28F39415" w14:textId="1D292D95" w:rsidR="008A132B" w:rsidRPr="004C79F2" w:rsidRDefault="008A132B" w:rsidP="002F131C">
            <w:pPr>
              <w:jc w:val="right"/>
              <w:rPr>
                <w:rFonts w:ascii="Montserrat Medium" w:eastAsia="Times New Roman" w:hAnsi="Montserrat Medium" w:cs="Calibri"/>
                <w:b/>
                <w:bCs/>
                <w:color w:val="000000"/>
                <w:sz w:val="16"/>
                <w:szCs w:val="16"/>
                <w:lang w:eastAsia="es-MX"/>
              </w:rPr>
            </w:pPr>
            <w:bookmarkStart w:id="1" w:name="_GoBack"/>
            <w:r w:rsidRPr="004C79F2">
              <w:rPr>
                <w:rFonts w:ascii="Montserrat Medium" w:eastAsia="Times New Roman" w:hAnsi="Montserrat Medium" w:cs="Calibri"/>
                <w:b/>
                <w:bCs/>
                <w:color w:val="000000"/>
                <w:sz w:val="16"/>
                <w:szCs w:val="16"/>
                <w:lang w:eastAsia="es-MX"/>
              </w:rPr>
              <w:t>-15,371,497,728.88</w:t>
            </w:r>
            <w:bookmarkEnd w:id="1"/>
          </w:p>
        </w:tc>
        <w:tc>
          <w:tcPr>
            <w:tcW w:w="1843" w:type="dxa"/>
            <w:tcBorders>
              <w:top w:val="single" w:sz="4" w:space="0" w:color="auto"/>
              <w:bottom w:val="nil"/>
            </w:tcBorders>
            <w:shd w:val="clear" w:color="auto" w:fill="auto"/>
            <w:vAlign w:val="center"/>
            <w:hideMark/>
          </w:tcPr>
          <w:p w14:paraId="2384B1A3" w14:textId="77777777" w:rsidR="008A132B" w:rsidRPr="0056239F" w:rsidRDefault="008A132B" w:rsidP="002F131C">
            <w:pPr>
              <w:jc w:val="right"/>
              <w:rPr>
                <w:rFonts w:ascii="Montserrat Medium" w:eastAsia="Times New Roman" w:hAnsi="Montserrat Medium" w:cs="Calibri"/>
                <w:b/>
                <w:bCs/>
                <w:color w:val="000000"/>
                <w:sz w:val="16"/>
                <w:szCs w:val="16"/>
                <w:lang w:val="es-MX" w:eastAsia="es-MX"/>
              </w:rPr>
            </w:pPr>
            <w:r w:rsidRPr="0056239F">
              <w:rPr>
                <w:rFonts w:ascii="Montserrat Medium" w:eastAsia="Times New Roman" w:hAnsi="Montserrat Medium" w:cs="Calibri"/>
                <w:b/>
                <w:bCs/>
                <w:color w:val="000000"/>
                <w:sz w:val="16"/>
                <w:szCs w:val="16"/>
                <w:lang w:eastAsia="es-MX"/>
              </w:rPr>
              <w:t>-19,556,011,277.77</w:t>
            </w:r>
          </w:p>
        </w:tc>
      </w:tr>
      <w:tr w:rsidR="008A132B" w:rsidRPr="0056239F" w14:paraId="434ED771" w14:textId="77777777" w:rsidTr="0056239F">
        <w:trPr>
          <w:trHeight w:val="234"/>
          <w:tblHeader/>
        </w:trPr>
        <w:tc>
          <w:tcPr>
            <w:tcW w:w="4394" w:type="dxa"/>
            <w:tcBorders>
              <w:top w:val="nil"/>
              <w:bottom w:val="nil"/>
            </w:tcBorders>
            <w:shd w:val="clear" w:color="auto" w:fill="auto"/>
            <w:vAlign w:val="center"/>
            <w:hideMark/>
          </w:tcPr>
          <w:p w14:paraId="66732C1D" w14:textId="0359F219" w:rsidR="008A132B" w:rsidRPr="0056239F" w:rsidRDefault="008A132B" w:rsidP="002F131C">
            <w:pPr>
              <w:rPr>
                <w:rFonts w:ascii="Montserrat Medium" w:eastAsia="Times New Roman" w:hAnsi="Montserrat Medium" w:cs="Calibri"/>
                <w:color w:val="000000"/>
                <w:sz w:val="16"/>
                <w:szCs w:val="16"/>
                <w:lang w:val="es-MX" w:eastAsia="es-MX"/>
              </w:rPr>
            </w:pPr>
            <w:r w:rsidRPr="0056239F">
              <w:rPr>
                <w:rFonts w:ascii="Montserrat" w:hAnsi="Montserrat" w:cs="Calibri"/>
                <w:color w:val="000000"/>
                <w:sz w:val="16"/>
                <w:szCs w:val="16"/>
              </w:rPr>
              <w:t>Más (Menos):</w:t>
            </w:r>
          </w:p>
        </w:tc>
        <w:tc>
          <w:tcPr>
            <w:tcW w:w="2268" w:type="dxa"/>
            <w:tcBorders>
              <w:top w:val="nil"/>
              <w:bottom w:val="nil"/>
            </w:tcBorders>
            <w:shd w:val="clear" w:color="auto" w:fill="auto"/>
            <w:vAlign w:val="center"/>
            <w:hideMark/>
          </w:tcPr>
          <w:p w14:paraId="6B703CAF" w14:textId="0A15B93B" w:rsidR="008A132B" w:rsidRPr="0056239F" w:rsidRDefault="008A132B" w:rsidP="002F131C">
            <w:pPr>
              <w:jc w:val="right"/>
              <w:rPr>
                <w:rFonts w:ascii="Montserrat Medium" w:eastAsia="Times New Roman" w:hAnsi="Montserrat Medium" w:cs="Calibri"/>
                <w:bCs/>
                <w:color w:val="000000"/>
                <w:sz w:val="16"/>
                <w:szCs w:val="16"/>
                <w:lang w:eastAsia="es-MX"/>
              </w:rPr>
            </w:pPr>
            <w:r w:rsidRPr="0056239F">
              <w:rPr>
                <w:rFonts w:ascii="Montserrat Medium" w:eastAsia="Times New Roman" w:hAnsi="Montserrat Medium" w:cs="Calibri"/>
                <w:bCs/>
                <w:color w:val="000000"/>
                <w:sz w:val="16"/>
                <w:szCs w:val="16"/>
                <w:lang w:eastAsia="es-MX"/>
              </w:rPr>
              <w:t> </w:t>
            </w:r>
          </w:p>
        </w:tc>
        <w:tc>
          <w:tcPr>
            <w:tcW w:w="1843" w:type="dxa"/>
            <w:tcBorders>
              <w:top w:val="nil"/>
              <w:bottom w:val="nil"/>
            </w:tcBorders>
            <w:shd w:val="clear" w:color="auto" w:fill="auto"/>
            <w:vAlign w:val="center"/>
            <w:hideMark/>
          </w:tcPr>
          <w:p w14:paraId="4BD4F1D8" w14:textId="77777777" w:rsidR="008A132B" w:rsidRPr="0056239F" w:rsidRDefault="008A132B" w:rsidP="002F131C">
            <w:pPr>
              <w:jc w:val="right"/>
              <w:rPr>
                <w:rFonts w:ascii="Montserrat Medium" w:eastAsia="Times New Roman" w:hAnsi="Montserrat Medium" w:cs="Calibri"/>
                <w:b/>
                <w:bCs/>
                <w:color w:val="000000"/>
                <w:sz w:val="16"/>
                <w:szCs w:val="16"/>
                <w:lang w:val="es-MX" w:eastAsia="es-MX"/>
              </w:rPr>
            </w:pPr>
            <w:r w:rsidRPr="0056239F">
              <w:rPr>
                <w:rFonts w:ascii="Montserrat Medium" w:eastAsia="Times New Roman" w:hAnsi="Montserrat Medium"/>
                <w:b/>
                <w:bCs/>
                <w:color w:val="000000"/>
                <w:sz w:val="16"/>
                <w:szCs w:val="16"/>
                <w:lang w:eastAsia="es-MX"/>
              </w:rPr>
              <w:t> </w:t>
            </w:r>
          </w:p>
        </w:tc>
      </w:tr>
      <w:tr w:rsidR="008A132B" w:rsidRPr="0056239F" w14:paraId="4271C47E" w14:textId="77777777" w:rsidTr="0056239F">
        <w:trPr>
          <w:trHeight w:val="766"/>
          <w:tblHeader/>
        </w:trPr>
        <w:tc>
          <w:tcPr>
            <w:tcW w:w="4394" w:type="dxa"/>
            <w:tcBorders>
              <w:top w:val="nil"/>
              <w:bottom w:val="nil"/>
            </w:tcBorders>
            <w:shd w:val="clear" w:color="auto" w:fill="auto"/>
            <w:vAlign w:val="center"/>
            <w:hideMark/>
          </w:tcPr>
          <w:p w14:paraId="42ABDA13" w14:textId="231E58BE" w:rsidR="008A132B" w:rsidRPr="0056239F" w:rsidRDefault="008A132B" w:rsidP="002F131C">
            <w:pPr>
              <w:ind w:left="213"/>
              <w:jc w:val="both"/>
              <w:rPr>
                <w:rFonts w:ascii="Montserrat Medium" w:eastAsia="Times New Roman" w:hAnsi="Montserrat Medium" w:cs="Calibri"/>
                <w:color w:val="000000"/>
                <w:sz w:val="16"/>
                <w:szCs w:val="16"/>
                <w:lang w:val="es-MX" w:eastAsia="es-MX"/>
              </w:rPr>
            </w:pPr>
            <w:r w:rsidRPr="0056239F">
              <w:rPr>
                <w:rFonts w:ascii="Montserrat" w:hAnsi="Montserrat" w:cs="Calibri"/>
                <w:color w:val="000000"/>
                <w:sz w:val="16"/>
                <w:szCs w:val="16"/>
              </w:rPr>
              <w:t xml:space="preserve">Traspaso del ahorro y desahorro del periodo de enero a </w:t>
            </w:r>
            <w:r w:rsidR="009D4791" w:rsidRPr="0056239F">
              <w:rPr>
                <w:rFonts w:ascii="Montserrat" w:hAnsi="Montserrat" w:cs="Calibri"/>
                <w:color w:val="000000"/>
                <w:sz w:val="16"/>
                <w:szCs w:val="16"/>
              </w:rPr>
              <w:t>junio</w:t>
            </w:r>
            <w:r w:rsidRPr="0056239F">
              <w:rPr>
                <w:rFonts w:ascii="Montserrat" w:hAnsi="Montserrat" w:cs="Calibri"/>
                <w:color w:val="000000"/>
                <w:sz w:val="16"/>
                <w:szCs w:val="16"/>
              </w:rPr>
              <w:t xml:space="preserve"> de 202</w:t>
            </w:r>
            <w:r w:rsidR="009D4791" w:rsidRPr="0056239F">
              <w:rPr>
                <w:rFonts w:ascii="Montserrat" w:hAnsi="Montserrat" w:cs="Calibri"/>
                <w:color w:val="000000"/>
                <w:sz w:val="16"/>
                <w:szCs w:val="16"/>
              </w:rPr>
              <w:t>5</w:t>
            </w:r>
            <w:r w:rsidRPr="0056239F">
              <w:rPr>
                <w:rFonts w:ascii="Montserrat" w:hAnsi="Montserrat" w:cs="Calibri"/>
                <w:color w:val="000000"/>
                <w:sz w:val="16"/>
                <w:szCs w:val="16"/>
              </w:rPr>
              <w:t xml:space="preserve"> y ejercicio fiscal 202</w:t>
            </w:r>
            <w:r w:rsidR="009D4791" w:rsidRPr="0056239F">
              <w:rPr>
                <w:rFonts w:ascii="Montserrat" w:hAnsi="Montserrat" w:cs="Calibri"/>
                <w:color w:val="000000"/>
                <w:sz w:val="16"/>
                <w:szCs w:val="16"/>
              </w:rPr>
              <w:t>4</w:t>
            </w:r>
            <w:r w:rsidRPr="0056239F">
              <w:rPr>
                <w:rFonts w:ascii="Montserrat" w:hAnsi="Montserrat" w:cs="Calibri"/>
                <w:color w:val="000000"/>
                <w:sz w:val="16"/>
                <w:szCs w:val="16"/>
              </w:rPr>
              <w:t>, respectivamente a resultados de ejercicios anteriores</w:t>
            </w:r>
          </w:p>
        </w:tc>
        <w:tc>
          <w:tcPr>
            <w:tcW w:w="2268" w:type="dxa"/>
            <w:tcBorders>
              <w:top w:val="nil"/>
              <w:bottom w:val="nil"/>
            </w:tcBorders>
            <w:shd w:val="clear" w:color="auto" w:fill="auto"/>
            <w:noWrap/>
            <w:vAlign w:val="center"/>
            <w:hideMark/>
          </w:tcPr>
          <w:p w14:paraId="55D9E471" w14:textId="2280A408" w:rsidR="008A132B" w:rsidRPr="0056239F" w:rsidRDefault="008A132B" w:rsidP="002F131C">
            <w:pPr>
              <w:jc w:val="right"/>
              <w:rPr>
                <w:rFonts w:ascii="Montserrat Medium" w:eastAsia="Times New Roman" w:hAnsi="Montserrat Medium" w:cs="Calibri"/>
                <w:bCs/>
                <w:color w:val="000000"/>
                <w:sz w:val="16"/>
                <w:szCs w:val="16"/>
                <w:lang w:eastAsia="es-MX"/>
              </w:rPr>
            </w:pPr>
            <w:r w:rsidRPr="0056239F">
              <w:rPr>
                <w:rFonts w:ascii="Montserrat Medium" w:eastAsia="Times New Roman" w:hAnsi="Montserrat Medium" w:cs="Calibri"/>
                <w:bCs/>
                <w:color w:val="000000"/>
                <w:sz w:val="16"/>
                <w:szCs w:val="16"/>
                <w:lang w:eastAsia="es-MX"/>
              </w:rPr>
              <w:t>1,866,455,753.26</w:t>
            </w:r>
          </w:p>
        </w:tc>
        <w:tc>
          <w:tcPr>
            <w:tcW w:w="1843" w:type="dxa"/>
            <w:tcBorders>
              <w:top w:val="nil"/>
              <w:bottom w:val="nil"/>
            </w:tcBorders>
            <w:shd w:val="clear" w:color="auto" w:fill="auto"/>
            <w:noWrap/>
            <w:vAlign w:val="center"/>
            <w:hideMark/>
          </w:tcPr>
          <w:p w14:paraId="231D9F37" w14:textId="77777777" w:rsidR="008A132B" w:rsidRPr="0056239F" w:rsidRDefault="008A132B" w:rsidP="002F131C">
            <w:pPr>
              <w:jc w:val="right"/>
              <w:rPr>
                <w:rFonts w:ascii="Montserrat Medium" w:eastAsia="Times New Roman" w:hAnsi="Montserrat Medium" w:cs="Calibri"/>
                <w:color w:val="000000"/>
                <w:sz w:val="16"/>
                <w:szCs w:val="16"/>
                <w:lang w:val="es-MX" w:eastAsia="es-MX"/>
              </w:rPr>
            </w:pPr>
            <w:r w:rsidRPr="0056239F">
              <w:rPr>
                <w:rFonts w:ascii="Montserrat Medium" w:eastAsia="Times New Roman" w:hAnsi="Montserrat Medium" w:cs="Calibri"/>
                <w:color w:val="000000"/>
                <w:sz w:val="16"/>
                <w:szCs w:val="16"/>
                <w:lang w:eastAsia="es-MX"/>
              </w:rPr>
              <w:t>4,997,309,046.76</w:t>
            </w:r>
          </w:p>
        </w:tc>
      </w:tr>
      <w:tr w:rsidR="008A132B" w:rsidRPr="0056239F" w14:paraId="6A57BE2E" w14:textId="77777777" w:rsidTr="0056239F">
        <w:trPr>
          <w:trHeight w:val="868"/>
          <w:tblHeader/>
        </w:trPr>
        <w:tc>
          <w:tcPr>
            <w:tcW w:w="4394" w:type="dxa"/>
            <w:tcBorders>
              <w:top w:val="nil"/>
              <w:bottom w:val="nil"/>
            </w:tcBorders>
            <w:shd w:val="clear" w:color="auto" w:fill="auto"/>
            <w:vAlign w:val="center"/>
            <w:hideMark/>
          </w:tcPr>
          <w:p w14:paraId="218BE281" w14:textId="019CE229" w:rsidR="008A132B" w:rsidRPr="0056239F" w:rsidRDefault="008A132B" w:rsidP="002F131C">
            <w:pPr>
              <w:ind w:left="213"/>
              <w:rPr>
                <w:rFonts w:ascii="Montserrat Medium" w:eastAsia="Times New Roman" w:hAnsi="Montserrat Medium" w:cs="Calibri"/>
                <w:color w:val="000000"/>
                <w:sz w:val="16"/>
                <w:szCs w:val="16"/>
                <w:lang w:val="es-MX" w:eastAsia="es-MX"/>
              </w:rPr>
            </w:pPr>
            <w:r w:rsidRPr="0056239F">
              <w:rPr>
                <w:rFonts w:ascii="Montserrat" w:hAnsi="Montserrat" w:cs="Calibri"/>
                <w:color w:val="000000"/>
                <w:sz w:val="16"/>
                <w:szCs w:val="16"/>
              </w:rPr>
              <w:t>Obra pública transferida a municipios, organismos descentralizados, entidades federales, otros sectores, entidades paraestatales y poder judicial</w:t>
            </w:r>
          </w:p>
        </w:tc>
        <w:tc>
          <w:tcPr>
            <w:tcW w:w="2268" w:type="dxa"/>
            <w:tcBorders>
              <w:top w:val="nil"/>
              <w:bottom w:val="nil"/>
            </w:tcBorders>
            <w:shd w:val="clear" w:color="auto" w:fill="auto"/>
            <w:noWrap/>
            <w:vAlign w:val="center"/>
            <w:hideMark/>
          </w:tcPr>
          <w:p w14:paraId="0E7D2258" w14:textId="6D3DFDCE" w:rsidR="008A132B" w:rsidRPr="0056239F" w:rsidRDefault="008A132B" w:rsidP="002F131C">
            <w:pPr>
              <w:jc w:val="right"/>
              <w:rPr>
                <w:rFonts w:ascii="Montserrat Medium" w:eastAsia="Times New Roman" w:hAnsi="Montserrat Medium" w:cs="Calibri"/>
                <w:bCs/>
                <w:color w:val="000000"/>
                <w:sz w:val="16"/>
                <w:szCs w:val="16"/>
                <w:lang w:eastAsia="es-MX"/>
              </w:rPr>
            </w:pPr>
            <w:r w:rsidRPr="0056239F">
              <w:rPr>
                <w:rFonts w:ascii="Montserrat Medium" w:eastAsia="Times New Roman" w:hAnsi="Montserrat Medium" w:cs="Calibri"/>
                <w:bCs/>
                <w:color w:val="000000"/>
                <w:sz w:val="16"/>
                <w:szCs w:val="16"/>
                <w:lang w:eastAsia="es-MX"/>
              </w:rPr>
              <w:t>-129,351,578.37</w:t>
            </w:r>
          </w:p>
        </w:tc>
        <w:tc>
          <w:tcPr>
            <w:tcW w:w="1843" w:type="dxa"/>
            <w:tcBorders>
              <w:top w:val="nil"/>
              <w:bottom w:val="nil"/>
            </w:tcBorders>
            <w:shd w:val="clear" w:color="auto" w:fill="auto"/>
            <w:noWrap/>
            <w:vAlign w:val="center"/>
            <w:hideMark/>
          </w:tcPr>
          <w:p w14:paraId="719B3546" w14:textId="77777777" w:rsidR="008A132B" w:rsidRPr="0056239F" w:rsidRDefault="008A132B" w:rsidP="002F131C">
            <w:pPr>
              <w:jc w:val="right"/>
              <w:rPr>
                <w:rFonts w:ascii="Montserrat Medium" w:eastAsia="Times New Roman" w:hAnsi="Montserrat Medium" w:cs="Calibri"/>
                <w:color w:val="000000"/>
                <w:sz w:val="16"/>
                <w:szCs w:val="16"/>
                <w:lang w:val="es-MX" w:eastAsia="es-MX"/>
              </w:rPr>
            </w:pPr>
            <w:r w:rsidRPr="0056239F">
              <w:rPr>
                <w:rFonts w:ascii="Montserrat Medium" w:eastAsia="Times New Roman" w:hAnsi="Montserrat Medium" w:cs="Calibri"/>
                <w:color w:val="000000"/>
                <w:sz w:val="16"/>
                <w:szCs w:val="16"/>
                <w:lang w:eastAsia="es-MX"/>
              </w:rPr>
              <w:t>-557,954,262.91</w:t>
            </w:r>
          </w:p>
        </w:tc>
      </w:tr>
      <w:tr w:rsidR="008A132B" w:rsidRPr="0056239F" w14:paraId="70716304" w14:textId="77777777" w:rsidTr="00636952">
        <w:trPr>
          <w:trHeight w:val="251"/>
          <w:tblHeader/>
        </w:trPr>
        <w:tc>
          <w:tcPr>
            <w:tcW w:w="4394" w:type="dxa"/>
            <w:tcBorders>
              <w:top w:val="nil"/>
              <w:bottom w:val="nil"/>
            </w:tcBorders>
            <w:shd w:val="clear" w:color="auto" w:fill="auto"/>
            <w:vAlign w:val="center"/>
            <w:hideMark/>
          </w:tcPr>
          <w:p w14:paraId="4327DF60" w14:textId="7E9B7F6E" w:rsidR="008A132B" w:rsidRPr="0056239F" w:rsidRDefault="008A132B" w:rsidP="002F131C">
            <w:pPr>
              <w:ind w:left="213"/>
              <w:rPr>
                <w:rFonts w:ascii="Montserrat Medium" w:eastAsia="Times New Roman" w:hAnsi="Montserrat Medium" w:cs="Calibri"/>
                <w:color w:val="000000"/>
                <w:sz w:val="16"/>
                <w:szCs w:val="16"/>
                <w:lang w:val="es-MX" w:eastAsia="es-MX"/>
              </w:rPr>
            </w:pPr>
            <w:r w:rsidRPr="0056239F">
              <w:rPr>
                <w:rFonts w:ascii="Montserrat" w:hAnsi="Montserrat" w:cs="Calibri"/>
                <w:color w:val="000000"/>
                <w:sz w:val="16"/>
                <w:szCs w:val="16"/>
              </w:rPr>
              <w:t>Bienes inmuebles</w:t>
            </w:r>
          </w:p>
        </w:tc>
        <w:tc>
          <w:tcPr>
            <w:tcW w:w="2268" w:type="dxa"/>
            <w:tcBorders>
              <w:top w:val="nil"/>
              <w:bottom w:val="nil"/>
            </w:tcBorders>
            <w:shd w:val="clear" w:color="auto" w:fill="auto"/>
            <w:noWrap/>
            <w:vAlign w:val="center"/>
            <w:hideMark/>
          </w:tcPr>
          <w:p w14:paraId="6BB13898" w14:textId="44B33140" w:rsidR="008A132B" w:rsidRPr="0056239F" w:rsidRDefault="008A132B" w:rsidP="002F131C">
            <w:pPr>
              <w:jc w:val="right"/>
              <w:rPr>
                <w:rFonts w:ascii="Montserrat Medium" w:eastAsia="Times New Roman" w:hAnsi="Montserrat Medium" w:cs="Calibri"/>
                <w:bCs/>
                <w:color w:val="000000"/>
                <w:sz w:val="16"/>
                <w:szCs w:val="16"/>
                <w:lang w:eastAsia="es-MX"/>
              </w:rPr>
            </w:pPr>
            <w:r w:rsidRPr="0056239F">
              <w:rPr>
                <w:rFonts w:ascii="Montserrat Medium" w:eastAsia="Times New Roman" w:hAnsi="Montserrat Medium" w:cs="Calibri"/>
                <w:bCs/>
                <w:color w:val="000000"/>
                <w:sz w:val="16"/>
                <w:szCs w:val="16"/>
                <w:lang w:eastAsia="es-MX"/>
              </w:rPr>
              <w:t>12,806,136.08</w:t>
            </w:r>
          </w:p>
        </w:tc>
        <w:tc>
          <w:tcPr>
            <w:tcW w:w="1843" w:type="dxa"/>
            <w:tcBorders>
              <w:top w:val="nil"/>
              <w:bottom w:val="nil"/>
            </w:tcBorders>
            <w:shd w:val="clear" w:color="auto" w:fill="auto"/>
            <w:noWrap/>
            <w:vAlign w:val="center"/>
            <w:hideMark/>
          </w:tcPr>
          <w:p w14:paraId="08D50D71" w14:textId="77777777" w:rsidR="008A132B" w:rsidRPr="0056239F" w:rsidRDefault="008A132B" w:rsidP="002F131C">
            <w:pPr>
              <w:jc w:val="right"/>
              <w:rPr>
                <w:rFonts w:ascii="Montserrat Medium" w:eastAsia="Times New Roman" w:hAnsi="Montserrat Medium" w:cs="Calibri"/>
                <w:color w:val="000000"/>
                <w:sz w:val="16"/>
                <w:szCs w:val="16"/>
                <w:lang w:val="es-MX" w:eastAsia="es-MX"/>
              </w:rPr>
            </w:pPr>
            <w:r w:rsidRPr="0056239F">
              <w:rPr>
                <w:rFonts w:ascii="Montserrat Medium" w:eastAsia="Times New Roman" w:hAnsi="Montserrat Medium" w:cs="Calibri"/>
                <w:color w:val="000000"/>
                <w:sz w:val="16"/>
                <w:szCs w:val="16"/>
                <w:lang w:eastAsia="es-MX"/>
              </w:rPr>
              <w:t>0.00</w:t>
            </w:r>
          </w:p>
        </w:tc>
      </w:tr>
      <w:tr w:rsidR="008A132B" w:rsidRPr="0056239F" w14:paraId="50B8939A" w14:textId="77777777" w:rsidTr="00636952">
        <w:trPr>
          <w:trHeight w:val="251"/>
          <w:tblHeader/>
        </w:trPr>
        <w:tc>
          <w:tcPr>
            <w:tcW w:w="4394" w:type="dxa"/>
            <w:tcBorders>
              <w:top w:val="nil"/>
              <w:bottom w:val="nil"/>
            </w:tcBorders>
            <w:shd w:val="clear" w:color="auto" w:fill="auto"/>
            <w:vAlign w:val="center"/>
          </w:tcPr>
          <w:p w14:paraId="3DAB8B9B" w14:textId="3553EDAA" w:rsidR="008A132B" w:rsidRPr="0056239F" w:rsidRDefault="008A132B" w:rsidP="002F131C">
            <w:pPr>
              <w:ind w:left="213"/>
              <w:rPr>
                <w:rFonts w:ascii="Montserrat Medium" w:eastAsia="Times New Roman" w:hAnsi="Montserrat Medium" w:cs="Calibri"/>
                <w:color w:val="000000"/>
                <w:sz w:val="16"/>
                <w:szCs w:val="16"/>
                <w:lang w:val="es-MX" w:eastAsia="es-MX"/>
              </w:rPr>
            </w:pPr>
            <w:r w:rsidRPr="0056239F">
              <w:rPr>
                <w:rFonts w:ascii="Montserrat" w:hAnsi="Montserrat" w:cs="Calibri"/>
                <w:color w:val="000000"/>
                <w:sz w:val="16"/>
                <w:szCs w:val="16"/>
              </w:rPr>
              <w:t>Bienes muebles</w:t>
            </w:r>
          </w:p>
        </w:tc>
        <w:tc>
          <w:tcPr>
            <w:tcW w:w="2268" w:type="dxa"/>
            <w:tcBorders>
              <w:top w:val="nil"/>
              <w:bottom w:val="nil"/>
            </w:tcBorders>
            <w:shd w:val="clear" w:color="auto" w:fill="auto"/>
            <w:noWrap/>
            <w:vAlign w:val="center"/>
          </w:tcPr>
          <w:p w14:paraId="7917885B" w14:textId="0F6EE5F7" w:rsidR="008A132B" w:rsidRPr="0056239F" w:rsidRDefault="008A132B" w:rsidP="002F131C">
            <w:pPr>
              <w:jc w:val="right"/>
              <w:rPr>
                <w:rFonts w:ascii="Montserrat Medium" w:eastAsia="Times New Roman" w:hAnsi="Montserrat Medium" w:cs="Calibri"/>
                <w:bCs/>
                <w:color w:val="000000"/>
                <w:sz w:val="16"/>
                <w:szCs w:val="16"/>
                <w:lang w:eastAsia="es-MX"/>
              </w:rPr>
            </w:pPr>
            <w:r w:rsidRPr="0056239F">
              <w:rPr>
                <w:rFonts w:ascii="Montserrat Medium" w:eastAsia="Times New Roman" w:hAnsi="Montserrat Medium" w:cs="Calibri"/>
                <w:bCs/>
                <w:color w:val="000000"/>
                <w:sz w:val="16"/>
                <w:szCs w:val="16"/>
                <w:lang w:eastAsia="es-MX"/>
              </w:rPr>
              <w:t>-15,931.99</w:t>
            </w:r>
          </w:p>
        </w:tc>
        <w:tc>
          <w:tcPr>
            <w:tcW w:w="1843" w:type="dxa"/>
            <w:tcBorders>
              <w:top w:val="nil"/>
              <w:bottom w:val="nil"/>
            </w:tcBorders>
            <w:shd w:val="clear" w:color="auto" w:fill="auto"/>
            <w:noWrap/>
            <w:vAlign w:val="center"/>
          </w:tcPr>
          <w:p w14:paraId="16D6FD1A" w14:textId="3597E1A3" w:rsidR="008A132B" w:rsidRPr="0056239F" w:rsidRDefault="00F766FE" w:rsidP="002F131C">
            <w:pPr>
              <w:jc w:val="right"/>
              <w:rPr>
                <w:rFonts w:ascii="Montserrat Medium" w:eastAsia="Times New Roman" w:hAnsi="Montserrat Medium" w:cs="Calibri"/>
                <w:color w:val="000000"/>
                <w:sz w:val="16"/>
                <w:szCs w:val="16"/>
                <w:lang w:eastAsia="es-MX"/>
              </w:rPr>
            </w:pPr>
            <w:r w:rsidRPr="0056239F">
              <w:rPr>
                <w:rFonts w:ascii="Montserrat Medium" w:eastAsia="Times New Roman" w:hAnsi="Montserrat Medium" w:cs="Calibri"/>
                <w:color w:val="000000"/>
                <w:sz w:val="16"/>
                <w:szCs w:val="16"/>
                <w:lang w:eastAsia="es-MX"/>
              </w:rPr>
              <w:t>0.00</w:t>
            </w:r>
          </w:p>
        </w:tc>
      </w:tr>
      <w:tr w:rsidR="008A132B" w:rsidRPr="0056239F" w14:paraId="58744D98" w14:textId="77777777" w:rsidTr="00636952">
        <w:trPr>
          <w:trHeight w:val="155"/>
          <w:tblHeader/>
        </w:trPr>
        <w:tc>
          <w:tcPr>
            <w:tcW w:w="4394" w:type="dxa"/>
            <w:tcBorders>
              <w:top w:val="nil"/>
              <w:bottom w:val="nil"/>
            </w:tcBorders>
            <w:shd w:val="clear" w:color="auto" w:fill="auto"/>
            <w:vAlign w:val="center"/>
            <w:hideMark/>
          </w:tcPr>
          <w:p w14:paraId="48F08EC8" w14:textId="404B738C" w:rsidR="008A132B" w:rsidRPr="0056239F" w:rsidRDefault="008A132B" w:rsidP="002F131C">
            <w:pPr>
              <w:ind w:left="213"/>
              <w:rPr>
                <w:rFonts w:ascii="Montserrat Medium" w:eastAsia="Times New Roman" w:hAnsi="Montserrat Medium" w:cs="Calibri"/>
                <w:color w:val="000000"/>
                <w:sz w:val="16"/>
                <w:szCs w:val="16"/>
                <w:lang w:val="es-MX" w:eastAsia="es-MX"/>
              </w:rPr>
            </w:pPr>
            <w:r w:rsidRPr="0056239F">
              <w:rPr>
                <w:rFonts w:ascii="Montserrat" w:hAnsi="Montserrat" w:cs="Calibri"/>
                <w:color w:val="000000"/>
                <w:sz w:val="16"/>
                <w:szCs w:val="16"/>
              </w:rPr>
              <w:t xml:space="preserve">Registro de saldo de inventarios de </w:t>
            </w:r>
            <w:r w:rsidR="009D4791" w:rsidRPr="0056239F">
              <w:rPr>
                <w:rFonts w:ascii="Montserrat" w:hAnsi="Montserrat" w:cs="Calibri"/>
                <w:color w:val="000000"/>
                <w:sz w:val="16"/>
                <w:szCs w:val="16"/>
              </w:rPr>
              <w:t xml:space="preserve"> </w:t>
            </w:r>
            <w:r w:rsidRPr="0056239F">
              <w:rPr>
                <w:rFonts w:ascii="Montserrat" w:hAnsi="Montserrat" w:cs="Calibri"/>
                <w:color w:val="000000"/>
                <w:sz w:val="16"/>
                <w:szCs w:val="16"/>
              </w:rPr>
              <w:t>SEDETUS</w:t>
            </w:r>
          </w:p>
        </w:tc>
        <w:tc>
          <w:tcPr>
            <w:tcW w:w="2268" w:type="dxa"/>
            <w:tcBorders>
              <w:top w:val="nil"/>
              <w:bottom w:val="nil"/>
            </w:tcBorders>
            <w:shd w:val="clear" w:color="auto" w:fill="auto"/>
            <w:noWrap/>
            <w:vAlign w:val="center"/>
            <w:hideMark/>
          </w:tcPr>
          <w:p w14:paraId="4FA27216" w14:textId="368ABE41" w:rsidR="008A132B" w:rsidRPr="0056239F" w:rsidRDefault="008A132B" w:rsidP="002F131C">
            <w:pPr>
              <w:jc w:val="right"/>
              <w:rPr>
                <w:rFonts w:ascii="Montserrat Medium" w:eastAsia="Times New Roman" w:hAnsi="Montserrat Medium" w:cs="Calibri"/>
                <w:bCs/>
                <w:color w:val="000000"/>
                <w:sz w:val="16"/>
                <w:szCs w:val="16"/>
                <w:lang w:eastAsia="es-MX"/>
              </w:rPr>
            </w:pPr>
            <w:r w:rsidRPr="0056239F">
              <w:rPr>
                <w:rFonts w:ascii="Montserrat Medium" w:eastAsia="Times New Roman" w:hAnsi="Montserrat Medium" w:cs="Calibri"/>
                <w:bCs/>
                <w:color w:val="000000"/>
                <w:sz w:val="16"/>
                <w:szCs w:val="16"/>
                <w:lang w:eastAsia="es-MX"/>
              </w:rPr>
              <w:t>0.00</w:t>
            </w:r>
          </w:p>
        </w:tc>
        <w:tc>
          <w:tcPr>
            <w:tcW w:w="1843" w:type="dxa"/>
            <w:tcBorders>
              <w:top w:val="nil"/>
              <w:bottom w:val="nil"/>
            </w:tcBorders>
            <w:shd w:val="clear" w:color="auto" w:fill="auto"/>
            <w:noWrap/>
            <w:vAlign w:val="center"/>
            <w:hideMark/>
          </w:tcPr>
          <w:p w14:paraId="25FF9142" w14:textId="77777777" w:rsidR="008A132B" w:rsidRPr="0056239F" w:rsidRDefault="008A132B" w:rsidP="002F131C">
            <w:pPr>
              <w:jc w:val="right"/>
              <w:rPr>
                <w:rFonts w:ascii="Montserrat Medium" w:eastAsia="Times New Roman" w:hAnsi="Montserrat Medium" w:cs="Calibri"/>
                <w:color w:val="000000"/>
                <w:sz w:val="16"/>
                <w:szCs w:val="16"/>
                <w:lang w:val="es-MX" w:eastAsia="es-MX"/>
              </w:rPr>
            </w:pPr>
            <w:r w:rsidRPr="0056239F">
              <w:rPr>
                <w:rFonts w:ascii="Montserrat Medium" w:eastAsia="Times New Roman" w:hAnsi="Montserrat Medium" w:cs="Calibri"/>
                <w:color w:val="000000"/>
                <w:sz w:val="16"/>
                <w:szCs w:val="16"/>
                <w:lang w:eastAsia="es-MX"/>
              </w:rPr>
              <w:t>-76,151,619.37</w:t>
            </w:r>
          </w:p>
        </w:tc>
      </w:tr>
      <w:tr w:rsidR="008A132B" w:rsidRPr="0056239F" w14:paraId="6FF18BEA" w14:textId="77777777" w:rsidTr="0056239F">
        <w:trPr>
          <w:trHeight w:val="108"/>
          <w:tblHeader/>
        </w:trPr>
        <w:tc>
          <w:tcPr>
            <w:tcW w:w="4394" w:type="dxa"/>
            <w:tcBorders>
              <w:top w:val="nil"/>
              <w:bottom w:val="nil"/>
            </w:tcBorders>
            <w:shd w:val="clear" w:color="auto" w:fill="auto"/>
            <w:vAlign w:val="center"/>
            <w:hideMark/>
          </w:tcPr>
          <w:p w14:paraId="00D1980A" w14:textId="299CA943" w:rsidR="008A132B" w:rsidRPr="0056239F" w:rsidRDefault="008A132B" w:rsidP="002F131C">
            <w:pPr>
              <w:ind w:left="213"/>
              <w:rPr>
                <w:rFonts w:ascii="Montserrat Medium" w:eastAsia="Times New Roman" w:hAnsi="Montserrat Medium" w:cs="Calibri"/>
                <w:color w:val="000000"/>
                <w:sz w:val="16"/>
                <w:szCs w:val="16"/>
                <w:lang w:val="es-MX" w:eastAsia="es-MX"/>
              </w:rPr>
            </w:pPr>
            <w:r w:rsidRPr="0056239F">
              <w:rPr>
                <w:rFonts w:ascii="Montserrat" w:hAnsi="Montserrat" w:cs="Calibri"/>
                <w:color w:val="000000"/>
                <w:sz w:val="16"/>
                <w:szCs w:val="16"/>
              </w:rPr>
              <w:t>Reintegros a la TESOFE</w:t>
            </w:r>
          </w:p>
        </w:tc>
        <w:tc>
          <w:tcPr>
            <w:tcW w:w="2268" w:type="dxa"/>
            <w:tcBorders>
              <w:top w:val="nil"/>
              <w:bottom w:val="nil"/>
            </w:tcBorders>
            <w:shd w:val="clear" w:color="auto" w:fill="auto"/>
            <w:noWrap/>
            <w:vAlign w:val="center"/>
            <w:hideMark/>
          </w:tcPr>
          <w:p w14:paraId="03C2669E" w14:textId="4CD8E082" w:rsidR="008A132B" w:rsidRPr="0056239F" w:rsidRDefault="008A132B" w:rsidP="002F131C">
            <w:pPr>
              <w:jc w:val="right"/>
              <w:rPr>
                <w:rFonts w:ascii="Montserrat Medium" w:eastAsia="Times New Roman" w:hAnsi="Montserrat Medium" w:cs="Calibri"/>
                <w:bCs/>
                <w:color w:val="000000"/>
                <w:sz w:val="16"/>
                <w:szCs w:val="16"/>
                <w:lang w:eastAsia="es-MX"/>
              </w:rPr>
            </w:pPr>
            <w:r w:rsidRPr="0056239F">
              <w:rPr>
                <w:rFonts w:ascii="Montserrat Medium" w:eastAsia="Times New Roman" w:hAnsi="Montserrat Medium" w:cs="Calibri"/>
                <w:bCs/>
                <w:color w:val="000000"/>
                <w:sz w:val="16"/>
                <w:szCs w:val="16"/>
                <w:lang w:eastAsia="es-MX"/>
              </w:rPr>
              <w:t>-21,206,022.69</w:t>
            </w:r>
          </w:p>
        </w:tc>
        <w:tc>
          <w:tcPr>
            <w:tcW w:w="1843" w:type="dxa"/>
            <w:tcBorders>
              <w:top w:val="nil"/>
              <w:bottom w:val="nil"/>
            </w:tcBorders>
            <w:shd w:val="clear" w:color="auto" w:fill="auto"/>
            <w:noWrap/>
            <w:vAlign w:val="center"/>
            <w:hideMark/>
          </w:tcPr>
          <w:p w14:paraId="53E76A9B" w14:textId="77777777" w:rsidR="008A132B" w:rsidRPr="0056239F" w:rsidRDefault="008A132B" w:rsidP="002F131C">
            <w:pPr>
              <w:jc w:val="right"/>
              <w:rPr>
                <w:rFonts w:ascii="Montserrat Medium" w:eastAsia="Times New Roman" w:hAnsi="Montserrat Medium" w:cs="Calibri"/>
                <w:color w:val="000000"/>
                <w:sz w:val="16"/>
                <w:szCs w:val="16"/>
                <w:lang w:val="es-MX" w:eastAsia="es-MX"/>
              </w:rPr>
            </w:pPr>
            <w:r w:rsidRPr="0056239F">
              <w:rPr>
                <w:rFonts w:ascii="Montserrat Medium" w:eastAsia="Times New Roman" w:hAnsi="Montserrat Medium" w:cs="Calibri"/>
                <w:color w:val="000000"/>
                <w:sz w:val="16"/>
                <w:szCs w:val="16"/>
                <w:lang w:eastAsia="es-MX"/>
              </w:rPr>
              <w:t>-15,683,881.14</w:t>
            </w:r>
          </w:p>
        </w:tc>
      </w:tr>
      <w:tr w:rsidR="008A132B" w:rsidRPr="0056239F" w14:paraId="4C20F73D" w14:textId="77777777" w:rsidTr="0056239F">
        <w:trPr>
          <w:trHeight w:val="181"/>
          <w:tblHeader/>
        </w:trPr>
        <w:tc>
          <w:tcPr>
            <w:tcW w:w="4394" w:type="dxa"/>
            <w:tcBorders>
              <w:top w:val="nil"/>
              <w:bottom w:val="nil"/>
            </w:tcBorders>
            <w:shd w:val="clear" w:color="auto" w:fill="auto"/>
            <w:vAlign w:val="center"/>
            <w:hideMark/>
          </w:tcPr>
          <w:p w14:paraId="2091752A" w14:textId="7A163C4A" w:rsidR="008A132B" w:rsidRPr="0056239F" w:rsidRDefault="008A132B" w:rsidP="002F131C">
            <w:pPr>
              <w:ind w:left="213"/>
              <w:rPr>
                <w:rFonts w:ascii="Montserrat Medium" w:eastAsia="Times New Roman" w:hAnsi="Montserrat Medium" w:cs="Calibri"/>
                <w:color w:val="000000"/>
                <w:sz w:val="16"/>
                <w:szCs w:val="16"/>
                <w:lang w:val="es-MX" w:eastAsia="es-MX"/>
              </w:rPr>
            </w:pPr>
            <w:r w:rsidRPr="0056239F">
              <w:rPr>
                <w:rFonts w:ascii="Montserrat" w:hAnsi="Montserrat" w:cs="Calibri"/>
                <w:color w:val="000000"/>
                <w:sz w:val="16"/>
                <w:szCs w:val="16"/>
              </w:rPr>
              <w:t>Cancelación de cuentas por pagar</w:t>
            </w:r>
          </w:p>
        </w:tc>
        <w:tc>
          <w:tcPr>
            <w:tcW w:w="2268" w:type="dxa"/>
            <w:tcBorders>
              <w:top w:val="nil"/>
              <w:bottom w:val="nil"/>
            </w:tcBorders>
            <w:shd w:val="clear" w:color="auto" w:fill="auto"/>
            <w:noWrap/>
            <w:vAlign w:val="center"/>
            <w:hideMark/>
          </w:tcPr>
          <w:p w14:paraId="07488821" w14:textId="53FD76E7" w:rsidR="008A132B" w:rsidRPr="0056239F" w:rsidRDefault="008A132B" w:rsidP="002F131C">
            <w:pPr>
              <w:jc w:val="right"/>
              <w:rPr>
                <w:rFonts w:ascii="Montserrat Medium" w:eastAsia="Times New Roman" w:hAnsi="Montserrat Medium" w:cs="Calibri"/>
                <w:bCs/>
                <w:color w:val="000000"/>
                <w:sz w:val="16"/>
                <w:szCs w:val="16"/>
                <w:lang w:eastAsia="es-MX"/>
              </w:rPr>
            </w:pPr>
            <w:r w:rsidRPr="0056239F">
              <w:rPr>
                <w:rFonts w:ascii="Montserrat Medium" w:eastAsia="Times New Roman" w:hAnsi="Montserrat Medium" w:cs="Calibri"/>
                <w:bCs/>
                <w:color w:val="000000"/>
                <w:sz w:val="16"/>
                <w:szCs w:val="16"/>
                <w:lang w:eastAsia="es-MX"/>
              </w:rPr>
              <w:t>29,500.00</w:t>
            </w:r>
          </w:p>
        </w:tc>
        <w:tc>
          <w:tcPr>
            <w:tcW w:w="1843" w:type="dxa"/>
            <w:tcBorders>
              <w:top w:val="nil"/>
              <w:bottom w:val="nil"/>
            </w:tcBorders>
            <w:shd w:val="clear" w:color="auto" w:fill="auto"/>
            <w:noWrap/>
            <w:vAlign w:val="center"/>
            <w:hideMark/>
          </w:tcPr>
          <w:p w14:paraId="049B127D" w14:textId="77777777" w:rsidR="008A132B" w:rsidRPr="0056239F" w:rsidRDefault="008A132B" w:rsidP="002F131C">
            <w:pPr>
              <w:jc w:val="right"/>
              <w:rPr>
                <w:rFonts w:ascii="Montserrat Medium" w:eastAsia="Times New Roman" w:hAnsi="Montserrat Medium" w:cs="Calibri"/>
                <w:color w:val="000000"/>
                <w:sz w:val="16"/>
                <w:szCs w:val="16"/>
                <w:lang w:val="es-MX" w:eastAsia="es-MX"/>
              </w:rPr>
            </w:pPr>
            <w:r w:rsidRPr="0056239F">
              <w:rPr>
                <w:rFonts w:ascii="Montserrat Medium" w:eastAsia="Times New Roman" w:hAnsi="Montserrat Medium" w:cs="Calibri"/>
                <w:color w:val="000000"/>
                <w:sz w:val="16"/>
                <w:szCs w:val="16"/>
                <w:lang w:eastAsia="es-MX"/>
              </w:rPr>
              <w:t>65,877,842.77</w:t>
            </w:r>
          </w:p>
        </w:tc>
      </w:tr>
      <w:tr w:rsidR="008A132B" w:rsidRPr="0056239F" w14:paraId="4F7052E7" w14:textId="77777777" w:rsidTr="0056239F">
        <w:trPr>
          <w:trHeight w:val="99"/>
          <w:tblHeader/>
        </w:trPr>
        <w:tc>
          <w:tcPr>
            <w:tcW w:w="4394" w:type="dxa"/>
            <w:tcBorders>
              <w:top w:val="nil"/>
              <w:bottom w:val="nil"/>
            </w:tcBorders>
            <w:shd w:val="clear" w:color="auto" w:fill="auto"/>
            <w:vAlign w:val="center"/>
            <w:hideMark/>
          </w:tcPr>
          <w:p w14:paraId="27B9B0FC" w14:textId="4213D1A1" w:rsidR="008A132B" w:rsidRPr="0056239F" w:rsidRDefault="008A132B" w:rsidP="002F131C">
            <w:pPr>
              <w:ind w:left="213"/>
              <w:rPr>
                <w:rFonts w:ascii="Montserrat Medium" w:eastAsia="Times New Roman" w:hAnsi="Montserrat Medium" w:cs="Calibri"/>
                <w:color w:val="000000"/>
                <w:sz w:val="16"/>
                <w:szCs w:val="16"/>
                <w:lang w:val="es-MX" w:eastAsia="es-MX"/>
              </w:rPr>
            </w:pPr>
            <w:r w:rsidRPr="0056239F">
              <w:rPr>
                <w:rFonts w:ascii="Montserrat" w:hAnsi="Montserrat" w:cs="Calibri"/>
                <w:color w:val="000000"/>
                <w:sz w:val="16"/>
                <w:szCs w:val="16"/>
              </w:rPr>
              <w:t>Ajustes de los ingresos</w:t>
            </w:r>
          </w:p>
        </w:tc>
        <w:tc>
          <w:tcPr>
            <w:tcW w:w="2268" w:type="dxa"/>
            <w:tcBorders>
              <w:top w:val="nil"/>
              <w:bottom w:val="nil"/>
            </w:tcBorders>
            <w:shd w:val="clear" w:color="auto" w:fill="auto"/>
            <w:noWrap/>
            <w:vAlign w:val="center"/>
            <w:hideMark/>
          </w:tcPr>
          <w:p w14:paraId="19C77483" w14:textId="2303C738" w:rsidR="008A132B" w:rsidRPr="0056239F" w:rsidRDefault="008A132B" w:rsidP="002F131C">
            <w:pPr>
              <w:jc w:val="right"/>
              <w:rPr>
                <w:rFonts w:ascii="Montserrat Medium" w:eastAsia="Times New Roman" w:hAnsi="Montserrat Medium" w:cs="Calibri"/>
                <w:bCs/>
                <w:color w:val="000000"/>
                <w:sz w:val="16"/>
                <w:szCs w:val="16"/>
                <w:lang w:eastAsia="es-MX"/>
              </w:rPr>
            </w:pPr>
            <w:r w:rsidRPr="0056239F">
              <w:rPr>
                <w:rFonts w:ascii="Montserrat Medium" w:eastAsia="Times New Roman" w:hAnsi="Montserrat Medium" w:cs="Calibri"/>
                <w:bCs/>
                <w:color w:val="000000"/>
                <w:sz w:val="16"/>
                <w:szCs w:val="16"/>
                <w:lang w:eastAsia="es-MX"/>
              </w:rPr>
              <w:t>2,960,641.08</w:t>
            </w:r>
          </w:p>
        </w:tc>
        <w:tc>
          <w:tcPr>
            <w:tcW w:w="1843" w:type="dxa"/>
            <w:tcBorders>
              <w:top w:val="nil"/>
              <w:bottom w:val="nil"/>
            </w:tcBorders>
            <w:shd w:val="clear" w:color="auto" w:fill="auto"/>
            <w:noWrap/>
            <w:vAlign w:val="center"/>
            <w:hideMark/>
          </w:tcPr>
          <w:p w14:paraId="13CD8B93" w14:textId="77777777" w:rsidR="008A132B" w:rsidRPr="0056239F" w:rsidRDefault="008A132B" w:rsidP="002F131C">
            <w:pPr>
              <w:jc w:val="right"/>
              <w:rPr>
                <w:rFonts w:ascii="Montserrat Medium" w:eastAsia="Times New Roman" w:hAnsi="Montserrat Medium" w:cs="Calibri"/>
                <w:color w:val="000000"/>
                <w:sz w:val="16"/>
                <w:szCs w:val="16"/>
                <w:lang w:val="es-MX" w:eastAsia="es-MX"/>
              </w:rPr>
            </w:pPr>
            <w:r w:rsidRPr="0056239F">
              <w:rPr>
                <w:rFonts w:ascii="Montserrat Medium" w:eastAsia="Times New Roman" w:hAnsi="Montserrat Medium" w:cs="Calibri"/>
                <w:color w:val="000000"/>
                <w:sz w:val="16"/>
                <w:szCs w:val="16"/>
                <w:lang w:eastAsia="es-MX"/>
              </w:rPr>
              <w:t>47,542.11</w:t>
            </w:r>
          </w:p>
        </w:tc>
      </w:tr>
      <w:tr w:rsidR="008A132B" w:rsidRPr="0056239F" w14:paraId="0CB613A3" w14:textId="77777777" w:rsidTr="0056239F">
        <w:trPr>
          <w:trHeight w:val="145"/>
          <w:tblHeader/>
        </w:trPr>
        <w:tc>
          <w:tcPr>
            <w:tcW w:w="4394" w:type="dxa"/>
            <w:tcBorders>
              <w:top w:val="nil"/>
              <w:bottom w:val="nil"/>
            </w:tcBorders>
            <w:shd w:val="clear" w:color="auto" w:fill="auto"/>
            <w:vAlign w:val="center"/>
            <w:hideMark/>
          </w:tcPr>
          <w:p w14:paraId="23295338" w14:textId="0D5DD2F3" w:rsidR="008A132B" w:rsidRPr="0056239F" w:rsidRDefault="008A132B" w:rsidP="002F131C">
            <w:pPr>
              <w:ind w:left="213"/>
              <w:rPr>
                <w:rFonts w:ascii="Montserrat Medium" w:eastAsia="Times New Roman" w:hAnsi="Montserrat Medium" w:cs="Calibri"/>
                <w:color w:val="000000"/>
                <w:sz w:val="16"/>
                <w:szCs w:val="16"/>
                <w:lang w:val="es-MX" w:eastAsia="es-MX"/>
              </w:rPr>
            </w:pPr>
            <w:r w:rsidRPr="0056239F">
              <w:rPr>
                <w:rFonts w:ascii="Montserrat" w:hAnsi="Montserrat" w:cs="Calibri"/>
                <w:color w:val="000000"/>
                <w:sz w:val="16"/>
                <w:szCs w:val="16"/>
              </w:rPr>
              <w:t>Comprobaciones</w:t>
            </w:r>
          </w:p>
        </w:tc>
        <w:tc>
          <w:tcPr>
            <w:tcW w:w="2268" w:type="dxa"/>
            <w:tcBorders>
              <w:top w:val="nil"/>
              <w:bottom w:val="nil"/>
            </w:tcBorders>
            <w:shd w:val="clear" w:color="auto" w:fill="auto"/>
            <w:noWrap/>
            <w:vAlign w:val="center"/>
            <w:hideMark/>
          </w:tcPr>
          <w:p w14:paraId="036A4305" w14:textId="58327525" w:rsidR="008A132B" w:rsidRPr="0056239F" w:rsidRDefault="008A132B" w:rsidP="002F131C">
            <w:pPr>
              <w:jc w:val="right"/>
              <w:rPr>
                <w:rFonts w:ascii="Montserrat Medium" w:eastAsia="Times New Roman" w:hAnsi="Montserrat Medium" w:cs="Calibri"/>
                <w:bCs/>
                <w:color w:val="000000"/>
                <w:sz w:val="16"/>
                <w:szCs w:val="16"/>
                <w:lang w:eastAsia="es-MX"/>
              </w:rPr>
            </w:pPr>
            <w:r w:rsidRPr="0056239F">
              <w:rPr>
                <w:rFonts w:ascii="Montserrat Medium" w:eastAsia="Times New Roman" w:hAnsi="Montserrat Medium" w:cs="Calibri"/>
                <w:bCs/>
                <w:color w:val="000000"/>
                <w:sz w:val="16"/>
                <w:szCs w:val="16"/>
                <w:lang w:eastAsia="es-MX"/>
              </w:rPr>
              <w:t>-35,464,556.65</w:t>
            </w:r>
          </w:p>
        </w:tc>
        <w:tc>
          <w:tcPr>
            <w:tcW w:w="1843" w:type="dxa"/>
            <w:tcBorders>
              <w:top w:val="nil"/>
              <w:bottom w:val="nil"/>
            </w:tcBorders>
            <w:shd w:val="clear" w:color="auto" w:fill="auto"/>
            <w:noWrap/>
            <w:vAlign w:val="center"/>
            <w:hideMark/>
          </w:tcPr>
          <w:p w14:paraId="1E99C8B9" w14:textId="77777777" w:rsidR="008A132B" w:rsidRPr="0056239F" w:rsidRDefault="008A132B" w:rsidP="002F131C">
            <w:pPr>
              <w:jc w:val="right"/>
              <w:rPr>
                <w:rFonts w:ascii="Montserrat Medium" w:eastAsia="Times New Roman" w:hAnsi="Montserrat Medium" w:cs="Calibri"/>
                <w:color w:val="000000"/>
                <w:sz w:val="16"/>
                <w:szCs w:val="16"/>
                <w:lang w:val="es-MX" w:eastAsia="es-MX"/>
              </w:rPr>
            </w:pPr>
            <w:r w:rsidRPr="0056239F">
              <w:rPr>
                <w:rFonts w:ascii="Montserrat Medium" w:eastAsia="Times New Roman" w:hAnsi="Montserrat Medium" w:cs="Calibri"/>
                <w:color w:val="000000"/>
                <w:sz w:val="16"/>
                <w:szCs w:val="16"/>
                <w:lang w:eastAsia="es-MX"/>
              </w:rPr>
              <w:t>0.00</w:t>
            </w:r>
          </w:p>
        </w:tc>
      </w:tr>
      <w:tr w:rsidR="008A132B" w:rsidRPr="0056239F" w14:paraId="3BE1D367" w14:textId="77777777" w:rsidTr="00636952">
        <w:trPr>
          <w:trHeight w:val="261"/>
          <w:tblHeader/>
        </w:trPr>
        <w:tc>
          <w:tcPr>
            <w:tcW w:w="4394" w:type="dxa"/>
            <w:tcBorders>
              <w:top w:val="nil"/>
              <w:bottom w:val="nil"/>
            </w:tcBorders>
            <w:shd w:val="clear" w:color="auto" w:fill="auto"/>
            <w:vAlign w:val="center"/>
            <w:hideMark/>
          </w:tcPr>
          <w:p w14:paraId="401C110F" w14:textId="6372765D" w:rsidR="008A132B" w:rsidRPr="0056239F" w:rsidRDefault="008A132B" w:rsidP="002F131C">
            <w:pPr>
              <w:ind w:left="213"/>
              <w:rPr>
                <w:rFonts w:ascii="Montserrat Medium" w:eastAsia="Times New Roman" w:hAnsi="Montserrat Medium" w:cs="Calibri"/>
                <w:color w:val="000000"/>
                <w:sz w:val="16"/>
                <w:szCs w:val="16"/>
                <w:lang w:val="es-MX" w:eastAsia="es-MX"/>
              </w:rPr>
            </w:pPr>
            <w:r w:rsidRPr="0056239F">
              <w:rPr>
                <w:rFonts w:ascii="Montserrat" w:hAnsi="Montserrat" w:cs="Calibri"/>
                <w:color w:val="000000"/>
                <w:sz w:val="16"/>
                <w:szCs w:val="16"/>
              </w:rPr>
              <w:t>Pagos diversos</w:t>
            </w:r>
          </w:p>
        </w:tc>
        <w:tc>
          <w:tcPr>
            <w:tcW w:w="2268" w:type="dxa"/>
            <w:tcBorders>
              <w:top w:val="nil"/>
              <w:bottom w:val="nil"/>
            </w:tcBorders>
            <w:shd w:val="clear" w:color="auto" w:fill="auto"/>
            <w:noWrap/>
            <w:vAlign w:val="center"/>
            <w:hideMark/>
          </w:tcPr>
          <w:p w14:paraId="0FC732CF" w14:textId="7758A31A" w:rsidR="008A132B" w:rsidRPr="0056239F" w:rsidRDefault="008A132B" w:rsidP="002F131C">
            <w:pPr>
              <w:jc w:val="right"/>
              <w:rPr>
                <w:rFonts w:ascii="Montserrat Medium" w:eastAsia="Times New Roman" w:hAnsi="Montserrat Medium" w:cs="Calibri"/>
                <w:bCs/>
                <w:color w:val="000000"/>
                <w:sz w:val="16"/>
                <w:szCs w:val="16"/>
                <w:lang w:eastAsia="es-MX"/>
              </w:rPr>
            </w:pPr>
            <w:r w:rsidRPr="0056239F">
              <w:rPr>
                <w:rFonts w:ascii="Montserrat Medium" w:eastAsia="Times New Roman" w:hAnsi="Montserrat Medium" w:cs="Calibri"/>
                <w:bCs/>
                <w:color w:val="000000"/>
                <w:sz w:val="16"/>
                <w:szCs w:val="16"/>
                <w:lang w:eastAsia="es-MX"/>
              </w:rPr>
              <w:t>72,938,941.52</w:t>
            </w:r>
          </w:p>
        </w:tc>
        <w:tc>
          <w:tcPr>
            <w:tcW w:w="1843" w:type="dxa"/>
            <w:tcBorders>
              <w:top w:val="nil"/>
              <w:bottom w:val="nil"/>
            </w:tcBorders>
            <w:shd w:val="clear" w:color="auto" w:fill="auto"/>
            <w:noWrap/>
            <w:vAlign w:val="center"/>
            <w:hideMark/>
          </w:tcPr>
          <w:p w14:paraId="67F4F82D" w14:textId="77777777" w:rsidR="008A132B" w:rsidRPr="0056239F" w:rsidRDefault="008A132B" w:rsidP="002F131C">
            <w:pPr>
              <w:jc w:val="right"/>
              <w:rPr>
                <w:rFonts w:ascii="Montserrat Medium" w:eastAsia="Times New Roman" w:hAnsi="Montserrat Medium" w:cs="Calibri"/>
                <w:color w:val="000000"/>
                <w:sz w:val="16"/>
                <w:szCs w:val="16"/>
                <w:lang w:val="es-MX" w:eastAsia="es-MX"/>
              </w:rPr>
            </w:pPr>
            <w:r w:rsidRPr="0056239F">
              <w:rPr>
                <w:rFonts w:ascii="Montserrat Medium" w:eastAsia="Times New Roman" w:hAnsi="Montserrat Medium" w:cs="Calibri"/>
                <w:color w:val="000000"/>
                <w:sz w:val="16"/>
                <w:szCs w:val="16"/>
                <w:lang w:eastAsia="es-MX"/>
              </w:rPr>
              <w:t>100,599.18</w:t>
            </w:r>
          </w:p>
        </w:tc>
      </w:tr>
      <w:tr w:rsidR="008A132B" w:rsidRPr="0056239F" w14:paraId="1AC3DD51" w14:textId="77777777" w:rsidTr="00636952">
        <w:trPr>
          <w:trHeight w:val="137"/>
          <w:tblHeader/>
        </w:trPr>
        <w:tc>
          <w:tcPr>
            <w:tcW w:w="4394" w:type="dxa"/>
            <w:tcBorders>
              <w:top w:val="nil"/>
              <w:bottom w:val="nil"/>
            </w:tcBorders>
            <w:shd w:val="clear" w:color="auto" w:fill="auto"/>
            <w:vAlign w:val="center"/>
            <w:hideMark/>
          </w:tcPr>
          <w:p w14:paraId="6177F653" w14:textId="49C3B6E1" w:rsidR="008A132B" w:rsidRPr="0056239F" w:rsidRDefault="008A132B" w:rsidP="002F131C">
            <w:pPr>
              <w:ind w:left="213"/>
              <w:rPr>
                <w:rFonts w:ascii="Montserrat Medium" w:eastAsia="Times New Roman" w:hAnsi="Montserrat Medium" w:cs="Calibri"/>
                <w:color w:val="000000"/>
                <w:sz w:val="16"/>
                <w:szCs w:val="16"/>
                <w:lang w:val="es-MX" w:eastAsia="es-MX"/>
              </w:rPr>
            </w:pPr>
            <w:r w:rsidRPr="0056239F">
              <w:rPr>
                <w:rFonts w:ascii="Montserrat" w:hAnsi="Montserrat" w:cs="Calibri"/>
                <w:color w:val="000000"/>
                <w:sz w:val="16"/>
                <w:szCs w:val="16"/>
              </w:rPr>
              <w:t>Reintegro de ejecutores del Ramo 28</w:t>
            </w:r>
          </w:p>
        </w:tc>
        <w:tc>
          <w:tcPr>
            <w:tcW w:w="2268" w:type="dxa"/>
            <w:tcBorders>
              <w:top w:val="nil"/>
              <w:bottom w:val="nil"/>
            </w:tcBorders>
            <w:shd w:val="clear" w:color="auto" w:fill="auto"/>
            <w:noWrap/>
            <w:vAlign w:val="center"/>
            <w:hideMark/>
          </w:tcPr>
          <w:p w14:paraId="5231BB2C" w14:textId="30C645A0" w:rsidR="008A132B" w:rsidRPr="0056239F" w:rsidRDefault="008A132B" w:rsidP="002F131C">
            <w:pPr>
              <w:jc w:val="right"/>
              <w:rPr>
                <w:rFonts w:ascii="Montserrat Medium" w:eastAsia="Times New Roman" w:hAnsi="Montserrat Medium" w:cs="Calibri"/>
                <w:bCs/>
                <w:color w:val="000000"/>
                <w:sz w:val="16"/>
                <w:szCs w:val="16"/>
                <w:lang w:eastAsia="es-MX"/>
              </w:rPr>
            </w:pPr>
            <w:r w:rsidRPr="0056239F">
              <w:rPr>
                <w:rFonts w:ascii="Montserrat Medium" w:eastAsia="Times New Roman" w:hAnsi="Montserrat Medium" w:cs="Calibri"/>
                <w:bCs/>
                <w:color w:val="000000"/>
                <w:sz w:val="16"/>
                <w:szCs w:val="16"/>
                <w:lang w:eastAsia="es-MX"/>
              </w:rPr>
              <w:t>3,438,430.52</w:t>
            </w:r>
          </w:p>
        </w:tc>
        <w:tc>
          <w:tcPr>
            <w:tcW w:w="1843" w:type="dxa"/>
            <w:tcBorders>
              <w:top w:val="nil"/>
              <w:bottom w:val="nil"/>
            </w:tcBorders>
            <w:shd w:val="clear" w:color="auto" w:fill="auto"/>
            <w:noWrap/>
            <w:vAlign w:val="center"/>
            <w:hideMark/>
          </w:tcPr>
          <w:p w14:paraId="58E66BD6" w14:textId="77777777" w:rsidR="008A132B" w:rsidRPr="0056239F" w:rsidRDefault="008A132B" w:rsidP="002F131C">
            <w:pPr>
              <w:jc w:val="right"/>
              <w:rPr>
                <w:rFonts w:ascii="Montserrat Medium" w:eastAsia="Times New Roman" w:hAnsi="Montserrat Medium" w:cs="Calibri"/>
                <w:color w:val="000000"/>
                <w:sz w:val="16"/>
                <w:szCs w:val="16"/>
                <w:lang w:val="es-MX" w:eastAsia="es-MX"/>
              </w:rPr>
            </w:pPr>
            <w:r w:rsidRPr="0056239F">
              <w:rPr>
                <w:rFonts w:ascii="Montserrat Medium" w:eastAsia="Times New Roman" w:hAnsi="Montserrat Medium" w:cs="Calibri"/>
                <w:color w:val="000000"/>
                <w:sz w:val="16"/>
                <w:szCs w:val="16"/>
                <w:lang w:eastAsia="es-MX"/>
              </w:rPr>
              <w:t>17,437,526.15</w:t>
            </w:r>
          </w:p>
        </w:tc>
      </w:tr>
      <w:tr w:rsidR="008A132B" w:rsidRPr="0056239F" w14:paraId="4EE0F797" w14:textId="77777777" w:rsidTr="0056239F">
        <w:trPr>
          <w:trHeight w:val="155"/>
          <w:tblHeader/>
        </w:trPr>
        <w:tc>
          <w:tcPr>
            <w:tcW w:w="4394" w:type="dxa"/>
            <w:tcBorders>
              <w:top w:val="nil"/>
              <w:bottom w:val="nil"/>
            </w:tcBorders>
            <w:shd w:val="clear" w:color="auto" w:fill="auto"/>
            <w:vAlign w:val="center"/>
            <w:hideMark/>
          </w:tcPr>
          <w:p w14:paraId="670E2778" w14:textId="3BAC21E9" w:rsidR="008A132B" w:rsidRPr="0056239F" w:rsidRDefault="009D4791" w:rsidP="002F131C">
            <w:pPr>
              <w:ind w:left="213"/>
              <w:rPr>
                <w:rFonts w:ascii="Montserrat Medium" w:eastAsia="Times New Roman" w:hAnsi="Montserrat Medium" w:cs="Calibri"/>
                <w:color w:val="000000"/>
                <w:sz w:val="16"/>
                <w:szCs w:val="16"/>
                <w:lang w:val="es-MX" w:eastAsia="es-MX"/>
              </w:rPr>
            </w:pPr>
            <w:r w:rsidRPr="0056239F">
              <w:rPr>
                <w:rFonts w:ascii="Montserrat" w:hAnsi="Montserrat" w:cs="Calibri"/>
                <w:color w:val="000000"/>
                <w:sz w:val="16"/>
                <w:szCs w:val="16"/>
              </w:rPr>
              <w:t>D</w:t>
            </w:r>
            <w:r w:rsidR="008A132B" w:rsidRPr="0056239F">
              <w:rPr>
                <w:rFonts w:ascii="Montserrat" w:hAnsi="Montserrat" w:cs="Calibri"/>
                <w:color w:val="000000"/>
                <w:sz w:val="16"/>
                <w:szCs w:val="16"/>
              </w:rPr>
              <w:t>epuraciones y cancelaciones de saldos</w:t>
            </w:r>
          </w:p>
        </w:tc>
        <w:tc>
          <w:tcPr>
            <w:tcW w:w="2268" w:type="dxa"/>
            <w:tcBorders>
              <w:top w:val="nil"/>
              <w:bottom w:val="nil"/>
            </w:tcBorders>
            <w:shd w:val="clear" w:color="auto" w:fill="auto"/>
            <w:noWrap/>
            <w:vAlign w:val="center"/>
            <w:hideMark/>
          </w:tcPr>
          <w:p w14:paraId="250D0588" w14:textId="16BE06B0" w:rsidR="008A132B" w:rsidRPr="0056239F" w:rsidRDefault="008A132B" w:rsidP="002F131C">
            <w:pPr>
              <w:jc w:val="right"/>
              <w:rPr>
                <w:rFonts w:ascii="Montserrat Medium" w:eastAsia="Times New Roman" w:hAnsi="Montserrat Medium" w:cs="Calibri"/>
                <w:bCs/>
                <w:color w:val="000000"/>
                <w:sz w:val="16"/>
                <w:szCs w:val="16"/>
                <w:lang w:eastAsia="es-MX"/>
              </w:rPr>
            </w:pPr>
            <w:r w:rsidRPr="0056239F">
              <w:rPr>
                <w:rFonts w:ascii="Montserrat Medium" w:eastAsia="Times New Roman" w:hAnsi="Montserrat Medium" w:cs="Calibri"/>
                <w:bCs/>
                <w:color w:val="000000"/>
                <w:sz w:val="16"/>
                <w:szCs w:val="16"/>
                <w:lang w:eastAsia="es-MX"/>
              </w:rPr>
              <w:t>626,380,655.94</w:t>
            </w:r>
          </w:p>
        </w:tc>
        <w:tc>
          <w:tcPr>
            <w:tcW w:w="1843" w:type="dxa"/>
            <w:tcBorders>
              <w:top w:val="nil"/>
              <w:bottom w:val="nil"/>
            </w:tcBorders>
            <w:shd w:val="clear" w:color="auto" w:fill="auto"/>
            <w:noWrap/>
            <w:vAlign w:val="center"/>
            <w:hideMark/>
          </w:tcPr>
          <w:p w14:paraId="7F99EB33" w14:textId="77777777" w:rsidR="008A132B" w:rsidRPr="0056239F" w:rsidRDefault="008A132B" w:rsidP="002F131C">
            <w:pPr>
              <w:jc w:val="right"/>
              <w:rPr>
                <w:rFonts w:ascii="Montserrat Medium" w:eastAsia="Times New Roman" w:hAnsi="Montserrat Medium" w:cs="Calibri"/>
                <w:color w:val="000000"/>
                <w:sz w:val="16"/>
                <w:szCs w:val="16"/>
                <w:lang w:val="es-MX" w:eastAsia="es-MX"/>
              </w:rPr>
            </w:pPr>
            <w:r w:rsidRPr="0056239F">
              <w:rPr>
                <w:rFonts w:ascii="Montserrat Medium" w:eastAsia="Times New Roman" w:hAnsi="Montserrat Medium" w:cs="Calibri"/>
                <w:color w:val="000000"/>
                <w:sz w:val="16"/>
                <w:szCs w:val="16"/>
                <w:lang w:eastAsia="es-MX"/>
              </w:rPr>
              <w:t>-238,673,039.89</w:t>
            </w:r>
          </w:p>
        </w:tc>
      </w:tr>
      <w:tr w:rsidR="008A132B" w:rsidRPr="0056239F" w14:paraId="3CEC9DCB" w14:textId="77777777" w:rsidTr="0056239F">
        <w:trPr>
          <w:trHeight w:val="271"/>
          <w:tblHeader/>
        </w:trPr>
        <w:tc>
          <w:tcPr>
            <w:tcW w:w="4394" w:type="dxa"/>
            <w:tcBorders>
              <w:top w:val="nil"/>
              <w:bottom w:val="single" w:sz="4" w:space="0" w:color="auto"/>
            </w:tcBorders>
            <w:shd w:val="clear" w:color="auto" w:fill="auto"/>
            <w:vAlign w:val="center"/>
            <w:hideMark/>
          </w:tcPr>
          <w:p w14:paraId="278743A2" w14:textId="035EC30B" w:rsidR="008A132B" w:rsidRPr="0056239F" w:rsidRDefault="008A132B" w:rsidP="002F131C">
            <w:pPr>
              <w:ind w:left="213"/>
              <w:rPr>
                <w:rFonts w:ascii="Montserrat Medium" w:eastAsia="Times New Roman" w:hAnsi="Montserrat Medium" w:cs="Calibri"/>
                <w:color w:val="000000"/>
                <w:sz w:val="16"/>
                <w:szCs w:val="16"/>
                <w:lang w:val="es-MX" w:eastAsia="es-MX"/>
              </w:rPr>
            </w:pPr>
            <w:r w:rsidRPr="0056239F">
              <w:rPr>
                <w:rFonts w:ascii="Montserrat" w:hAnsi="Montserrat" w:cs="Calibri"/>
                <w:color w:val="000000"/>
                <w:sz w:val="16"/>
                <w:szCs w:val="16"/>
              </w:rPr>
              <w:t>Depreciación acumulada de bienes muebles</w:t>
            </w:r>
          </w:p>
        </w:tc>
        <w:tc>
          <w:tcPr>
            <w:tcW w:w="2268" w:type="dxa"/>
            <w:tcBorders>
              <w:top w:val="nil"/>
              <w:bottom w:val="single" w:sz="4" w:space="0" w:color="auto"/>
            </w:tcBorders>
            <w:shd w:val="clear" w:color="auto" w:fill="auto"/>
            <w:noWrap/>
            <w:vAlign w:val="center"/>
            <w:hideMark/>
          </w:tcPr>
          <w:p w14:paraId="0B3A6749" w14:textId="68F740AE" w:rsidR="008A132B" w:rsidRPr="0056239F" w:rsidRDefault="008A132B" w:rsidP="002F131C">
            <w:pPr>
              <w:jc w:val="right"/>
              <w:rPr>
                <w:rFonts w:ascii="Montserrat Medium" w:eastAsia="Times New Roman" w:hAnsi="Montserrat Medium" w:cs="Calibri"/>
                <w:bCs/>
                <w:color w:val="000000"/>
                <w:sz w:val="16"/>
                <w:szCs w:val="16"/>
                <w:lang w:eastAsia="es-MX"/>
              </w:rPr>
            </w:pPr>
            <w:r w:rsidRPr="0056239F">
              <w:rPr>
                <w:rFonts w:ascii="Montserrat Medium" w:eastAsia="Times New Roman" w:hAnsi="Montserrat Medium" w:cs="Calibri"/>
                <w:bCs/>
                <w:color w:val="000000"/>
                <w:sz w:val="16"/>
                <w:szCs w:val="16"/>
                <w:lang w:eastAsia="es-MX"/>
              </w:rPr>
              <w:t>-34,897,902.24</w:t>
            </w:r>
          </w:p>
        </w:tc>
        <w:tc>
          <w:tcPr>
            <w:tcW w:w="1843" w:type="dxa"/>
            <w:tcBorders>
              <w:top w:val="nil"/>
              <w:bottom w:val="single" w:sz="4" w:space="0" w:color="auto"/>
            </w:tcBorders>
            <w:shd w:val="clear" w:color="auto" w:fill="auto"/>
            <w:noWrap/>
            <w:vAlign w:val="center"/>
            <w:hideMark/>
          </w:tcPr>
          <w:p w14:paraId="5A990F4B" w14:textId="400F357C" w:rsidR="008A132B" w:rsidRPr="0056239F" w:rsidRDefault="0056239F" w:rsidP="002F131C">
            <w:pPr>
              <w:jc w:val="right"/>
              <w:rPr>
                <w:rFonts w:ascii="Montserrat Medium" w:eastAsia="Times New Roman" w:hAnsi="Montserrat Medium" w:cs="Calibri"/>
                <w:color w:val="000000"/>
                <w:sz w:val="16"/>
                <w:szCs w:val="16"/>
                <w:lang w:val="es-MX" w:eastAsia="es-MX"/>
              </w:rPr>
            </w:pPr>
            <w:r>
              <w:rPr>
                <w:rFonts w:ascii="Montserrat Medium" w:eastAsia="Times New Roman" w:hAnsi="Montserrat Medium"/>
                <w:color w:val="000000"/>
                <w:sz w:val="16"/>
                <w:szCs w:val="16"/>
                <w:lang w:val="es-MX" w:eastAsia="es-MX"/>
              </w:rPr>
              <w:t>0.00</w:t>
            </w:r>
            <w:r w:rsidR="008A132B" w:rsidRPr="0056239F">
              <w:rPr>
                <w:rFonts w:ascii="Montserrat Medium" w:eastAsia="Times New Roman" w:hAnsi="Montserrat Medium"/>
                <w:color w:val="000000"/>
                <w:sz w:val="16"/>
                <w:szCs w:val="16"/>
                <w:lang w:val="es-MX" w:eastAsia="es-MX"/>
              </w:rPr>
              <w:t> </w:t>
            </w:r>
          </w:p>
        </w:tc>
      </w:tr>
      <w:tr w:rsidR="008A132B" w:rsidRPr="0056239F" w14:paraId="35FD26B5" w14:textId="77777777" w:rsidTr="0056239F">
        <w:trPr>
          <w:trHeight w:val="432"/>
          <w:tblHeader/>
        </w:trPr>
        <w:tc>
          <w:tcPr>
            <w:tcW w:w="4394" w:type="dxa"/>
            <w:tcBorders>
              <w:top w:val="single" w:sz="4" w:space="0" w:color="auto"/>
              <w:bottom w:val="nil"/>
            </w:tcBorders>
            <w:shd w:val="clear" w:color="auto" w:fill="auto"/>
            <w:vAlign w:val="center"/>
            <w:hideMark/>
          </w:tcPr>
          <w:p w14:paraId="5C6E3DA6" w14:textId="294B1F3C" w:rsidR="008A132B" w:rsidRPr="0056239F" w:rsidRDefault="008A132B" w:rsidP="002F131C">
            <w:pPr>
              <w:ind w:left="213"/>
              <w:rPr>
                <w:rFonts w:ascii="Montserrat Medium" w:eastAsia="Times New Roman" w:hAnsi="Montserrat Medium" w:cs="Calibri"/>
                <w:color w:val="000000"/>
                <w:sz w:val="16"/>
                <w:szCs w:val="16"/>
                <w:lang w:val="es-MX" w:eastAsia="es-MX"/>
              </w:rPr>
            </w:pPr>
            <w:r w:rsidRPr="0056239F">
              <w:rPr>
                <w:rFonts w:ascii="Montserrat" w:hAnsi="Montserrat" w:cs="Calibri"/>
                <w:color w:val="000000"/>
                <w:sz w:val="16"/>
                <w:szCs w:val="16"/>
              </w:rPr>
              <w:lastRenderedPageBreak/>
              <w:t>Reintegros del fondo de estabilización de los ingresos de las entidades federativas (FEIEF)</w:t>
            </w:r>
          </w:p>
        </w:tc>
        <w:tc>
          <w:tcPr>
            <w:tcW w:w="2268" w:type="dxa"/>
            <w:tcBorders>
              <w:top w:val="single" w:sz="4" w:space="0" w:color="auto"/>
              <w:bottom w:val="nil"/>
            </w:tcBorders>
            <w:shd w:val="clear" w:color="auto" w:fill="auto"/>
            <w:noWrap/>
            <w:vAlign w:val="center"/>
            <w:hideMark/>
          </w:tcPr>
          <w:p w14:paraId="0C3FFF65" w14:textId="77CFCEB4" w:rsidR="008A132B" w:rsidRPr="0056239F" w:rsidRDefault="008A132B" w:rsidP="002F131C">
            <w:pPr>
              <w:jc w:val="right"/>
              <w:rPr>
                <w:rFonts w:ascii="Montserrat Medium" w:eastAsia="Times New Roman" w:hAnsi="Montserrat Medium" w:cs="Calibri"/>
                <w:bCs/>
                <w:color w:val="000000"/>
                <w:sz w:val="16"/>
                <w:szCs w:val="16"/>
                <w:lang w:eastAsia="es-MX"/>
              </w:rPr>
            </w:pPr>
            <w:r w:rsidRPr="0056239F">
              <w:rPr>
                <w:rFonts w:ascii="Montserrat Medium" w:eastAsia="Times New Roman" w:hAnsi="Montserrat Medium" w:cs="Calibri"/>
                <w:bCs/>
                <w:color w:val="000000"/>
                <w:sz w:val="16"/>
                <w:szCs w:val="16"/>
                <w:lang w:eastAsia="es-MX"/>
              </w:rPr>
              <w:t>-2,928,143.00</w:t>
            </w:r>
          </w:p>
        </w:tc>
        <w:tc>
          <w:tcPr>
            <w:tcW w:w="1843" w:type="dxa"/>
            <w:tcBorders>
              <w:top w:val="single" w:sz="4" w:space="0" w:color="auto"/>
              <w:bottom w:val="nil"/>
            </w:tcBorders>
            <w:shd w:val="clear" w:color="auto" w:fill="auto"/>
            <w:noWrap/>
            <w:vAlign w:val="center"/>
            <w:hideMark/>
          </w:tcPr>
          <w:p w14:paraId="0E35835C" w14:textId="77777777" w:rsidR="008A132B" w:rsidRPr="0056239F" w:rsidRDefault="008A132B" w:rsidP="002F131C">
            <w:pPr>
              <w:jc w:val="right"/>
              <w:rPr>
                <w:rFonts w:ascii="Montserrat Medium" w:eastAsia="Times New Roman" w:hAnsi="Montserrat Medium" w:cs="Calibri"/>
                <w:color w:val="000000"/>
                <w:sz w:val="16"/>
                <w:szCs w:val="16"/>
                <w:lang w:val="es-MX" w:eastAsia="es-MX"/>
              </w:rPr>
            </w:pPr>
            <w:r w:rsidRPr="0056239F">
              <w:rPr>
                <w:rFonts w:ascii="Montserrat Medium" w:eastAsia="Times New Roman" w:hAnsi="Montserrat Medium" w:cs="Calibri"/>
                <w:color w:val="000000"/>
                <w:sz w:val="16"/>
                <w:szCs w:val="16"/>
                <w:lang w:eastAsia="es-MX"/>
              </w:rPr>
              <w:t>-8,656,469.29</w:t>
            </w:r>
          </w:p>
        </w:tc>
      </w:tr>
      <w:tr w:rsidR="008A132B" w:rsidRPr="0056239F" w14:paraId="2EEEE498" w14:textId="77777777" w:rsidTr="00636952">
        <w:trPr>
          <w:trHeight w:val="195"/>
          <w:tblHeader/>
        </w:trPr>
        <w:tc>
          <w:tcPr>
            <w:tcW w:w="4394" w:type="dxa"/>
            <w:tcBorders>
              <w:top w:val="nil"/>
              <w:bottom w:val="nil"/>
            </w:tcBorders>
            <w:shd w:val="clear" w:color="auto" w:fill="auto"/>
            <w:vAlign w:val="center"/>
          </w:tcPr>
          <w:p w14:paraId="20B57D2D" w14:textId="2F0B5CDC" w:rsidR="008A132B" w:rsidRPr="0056239F" w:rsidRDefault="008A132B" w:rsidP="002F131C">
            <w:pPr>
              <w:ind w:left="213"/>
              <w:rPr>
                <w:rFonts w:ascii="Montserrat Medium" w:eastAsia="Times New Roman" w:hAnsi="Montserrat Medium" w:cs="Calibri"/>
                <w:color w:val="000000"/>
                <w:sz w:val="16"/>
                <w:szCs w:val="16"/>
                <w:lang w:val="es-MX" w:eastAsia="es-MX"/>
              </w:rPr>
            </w:pPr>
            <w:r w:rsidRPr="0056239F">
              <w:rPr>
                <w:rFonts w:ascii="Montserrat" w:hAnsi="Montserrat" w:cs="Calibri"/>
                <w:color w:val="000000"/>
                <w:sz w:val="16"/>
                <w:szCs w:val="16"/>
              </w:rPr>
              <w:t>Reintegro ingresos por swap</w:t>
            </w:r>
          </w:p>
        </w:tc>
        <w:tc>
          <w:tcPr>
            <w:tcW w:w="2268" w:type="dxa"/>
            <w:tcBorders>
              <w:top w:val="nil"/>
              <w:bottom w:val="nil"/>
            </w:tcBorders>
            <w:shd w:val="clear" w:color="auto" w:fill="auto"/>
            <w:noWrap/>
            <w:vAlign w:val="center"/>
          </w:tcPr>
          <w:p w14:paraId="6D8FFDBD" w14:textId="7A39D7AF" w:rsidR="008A132B" w:rsidRPr="0056239F" w:rsidRDefault="008A132B" w:rsidP="002F131C">
            <w:pPr>
              <w:jc w:val="right"/>
              <w:rPr>
                <w:rFonts w:ascii="Montserrat Medium" w:eastAsia="Times New Roman" w:hAnsi="Montserrat Medium" w:cs="Calibri"/>
                <w:bCs/>
                <w:color w:val="000000"/>
                <w:sz w:val="16"/>
                <w:szCs w:val="16"/>
                <w:lang w:eastAsia="es-MX"/>
              </w:rPr>
            </w:pPr>
            <w:r w:rsidRPr="0056239F">
              <w:rPr>
                <w:rFonts w:ascii="Montserrat Medium" w:eastAsia="Times New Roman" w:hAnsi="Montserrat Medium" w:cs="Calibri"/>
                <w:bCs/>
                <w:color w:val="000000"/>
                <w:sz w:val="16"/>
                <w:szCs w:val="16"/>
                <w:lang w:eastAsia="es-MX"/>
              </w:rPr>
              <w:t>196,912.68</w:t>
            </w:r>
          </w:p>
        </w:tc>
        <w:tc>
          <w:tcPr>
            <w:tcW w:w="1843" w:type="dxa"/>
            <w:tcBorders>
              <w:top w:val="nil"/>
              <w:bottom w:val="nil"/>
            </w:tcBorders>
            <w:shd w:val="clear" w:color="auto" w:fill="auto"/>
            <w:noWrap/>
            <w:vAlign w:val="center"/>
          </w:tcPr>
          <w:p w14:paraId="4806260F" w14:textId="3A33FE35" w:rsidR="008A132B" w:rsidRPr="0056239F" w:rsidRDefault="0056239F" w:rsidP="002F131C">
            <w:pPr>
              <w:jc w:val="right"/>
              <w:rPr>
                <w:rFonts w:ascii="Montserrat Medium" w:eastAsia="Times New Roman" w:hAnsi="Montserrat Medium" w:cs="Calibri"/>
                <w:color w:val="000000"/>
                <w:sz w:val="16"/>
                <w:szCs w:val="16"/>
                <w:lang w:eastAsia="es-MX"/>
              </w:rPr>
            </w:pPr>
            <w:r>
              <w:rPr>
                <w:rFonts w:ascii="Montserrat Medium" w:eastAsia="Times New Roman" w:hAnsi="Montserrat Medium" w:cs="Calibri"/>
                <w:color w:val="000000"/>
                <w:sz w:val="16"/>
                <w:szCs w:val="16"/>
                <w:lang w:eastAsia="es-MX"/>
              </w:rPr>
              <w:t>0.00</w:t>
            </w:r>
          </w:p>
        </w:tc>
      </w:tr>
      <w:tr w:rsidR="008A132B" w:rsidRPr="0056239F" w14:paraId="06664118" w14:textId="77777777" w:rsidTr="00636952">
        <w:trPr>
          <w:trHeight w:val="253"/>
          <w:tblHeader/>
        </w:trPr>
        <w:tc>
          <w:tcPr>
            <w:tcW w:w="4394" w:type="dxa"/>
            <w:tcBorders>
              <w:top w:val="nil"/>
              <w:bottom w:val="single" w:sz="4" w:space="0" w:color="auto"/>
            </w:tcBorders>
            <w:shd w:val="clear" w:color="auto" w:fill="auto"/>
            <w:vAlign w:val="center"/>
            <w:hideMark/>
          </w:tcPr>
          <w:p w14:paraId="4BC2AFC4" w14:textId="3BDD93D8" w:rsidR="008A132B" w:rsidRPr="0056239F" w:rsidRDefault="008A132B" w:rsidP="002F131C">
            <w:pPr>
              <w:ind w:left="213"/>
              <w:rPr>
                <w:rFonts w:ascii="Montserrat Medium" w:eastAsia="Times New Roman" w:hAnsi="Montserrat Medium" w:cs="Calibri"/>
                <w:color w:val="000000"/>
                <w:sz w:val="16"/>
                <w:szCs w:val="16"/>
                <w:lang w:val="es-MX" w:eastAsia="es-MX"/>
              </w:rPr>
            </w:pPr>
            <w:r w:rsidRPr="0056239F">
              <w:rPr>
                <w:rFonts w:ascii="Montserrat" w:hAnsi="Montserrat" w:cs="Calibri"/>
                <w:color w:val="000000"/>
                <w:sz w:val="16"/>
                <w:szCs w:val="16"/>
              </w:rPr>
              <w:t>Reintegros de recursos estatales</w:t>
            </w:r>
          </w:p>
        </w:tc>
        <w:tc>
          <w:tcPr>
            <w:tcW w:w="2268" w:type="dxa"/>
            <w:tcBorders>
              <w:top w:val="nil"/>
              <w:bottom w:val="single" w:sz="4" w:space="0" w:color="auto"/>
            </w:tcBorders>
            <w:shd w:val="clear" w:color="auto" w:fill="auto"/>
            <w:noWrap/>
            <w:vAlign w:val="center"/>
            <w:hideMark/>
          </w:tcPr>
          <w:p w14:paraId="06DDCD05" w14:textId="5B9B4F5A" w:rsidR="008A132B" w:rsidRPr="0056239F" w:rsidRDefault="008A132B" w:rsidP="002F131C">
            <w:pPr>
              <w:jc w:val="right"/>
              <w:rPr>
                <w:rFonts w:ascii="Montserrat Medium" w:eastAsia="Times New Roman" w:hAnsi="Montserrat Medium" w:cs="Calibri"/>
                <w:bCs/>
                <w:color w:val="000000"/>
                <w:sz w:val="16"/>
                <w:szCs w:val="16"/>
                <w:lang w:eastAsia="es-MX"/>
              </w:rPr>
            </w:pPr>
            <w:r w:rsidRPr="0056239F">
              <w:rPr>
                <w:rFonts w:ascii="Montserrat Medium" w:eastAsia="Times New Roman" w:hAnsi="Montserrat Medium" w:cs="Calibri"/>
                <w:bCs/>
                <w:color w:val="000000"/>
                <w:sz w:val="16"/>
                <w:szCs w:val="16"/>
                <w:lang w:eastAsia="es-MX"/>
              </w:rPr>
              <w:t>9,741,458.57</w:t>
            </w:r>
          </w:p>
        </w:tc>
        <w:tc>
          <w:tcPr>
            <w:tcW w:w="1843" w:type="dxa"/>
            <w:tcBorders>
              <w:top w:val="nil"/>
              <w:bottom w:val="single" w:sz="4" w:space="0" w:color="auto"/>
            </w:tcBorders>
            <w:shd w:val="clear" w:color="auto" w:fill="auto"/>
            <w:noWrap/>
            <w:vAlign w:val="center"/>
            <w:hideMark/>
          </w:tcPr>
          <w:p w14:paraId="060EF1FE" w14:textId="77777777" w:rsidR="008A132B" w:rsidRPr="0056239F" w:rsidRDefault="008A132B" w:rsidP="002F131C">
            <w:pPr>
              <w:jc w:val="right"/>
              <w:rPr>
                <w:rFonts w:ascii="Montserrat Medium" w:eastAsia="Times New Roman" w:hAnsi="Montserrat Medium" w:cs="Calibri"/>
                <w:color w:val="000000"/>
                <w:sz w:val="16"/>
                <w:szCs w:val="16"/>
                <w:lang w:val="es-MX" w:eastAsia="es-MX"/>
              </w:rPr>
            </w:pPr>
            <w:r w:rsidRPr="0056239F">
              <w:rPr>
                <w:rFonts w:ascii="Montserrat Medium" w:eastAsia="Times New Roman" w:hAnsi="Montserrat Medium" w:cs="Calibri"/>
                <w:color w:val="000000"/>
                <w:sz w:val="16"/>
                <w:szCs w:val="16"/>
                <w:lang w:eastAsia="es-MX"/>
              </w:rPr>
              <w:t>860,264.52</w:t>
            </w:r>
          </w:p>
        </w:tc>
      </w:tr>
      <w:tr w:rsidR="008A132B" w:rsidRPr="0056239F" w14:paraId="1309A755" w14:textId="77777777" w:rsidTr="00636952">
        <w:trPr>
          <w:trHeight w:val="215"/>
          <w:tblHeader/>
        </w:trPr>
        <w:tc>
          <w:tcPr>
            <w:tcW w:w="4394" w:type="dxa"/>
            <w:tcBorders>
              <w:top w:val="single" w:sz="4" w:space="0" w:color="auto"/>
              <w:bottom w:val="single" w:sz="4" w:space="0" w:color="auto"/>
            </w:tcBorders>
            <w:shd w:val="clear" w:color="auto" w:fill="auto"/>
            <w:vAlign w:val="center"/>
            <w:hideMark/>
          </w:tcPr>
          <w:p w14:paraId="1BDBE274" w14:textId="77777777" w:rsidR="008A132B" w:rsidRPr="0056239F" w:rsidRDefault="008A132B" w:rsidP="002F131C">
            <w:pPr>
              <w:jc w:val="both"/>
              <w:rPr>
                <w:rFonts w:ascii="Montserrat Medium" w:eastAsia="Times New Roman" w:hAnsi="Montserrat Medium" w:cs="Calibri"/>
                <w:b/>
                <w:bCs/>
                <w:color w:val="000000"/>
                <w:sz w:val="16"/>
                <w:szCs w:val="16"/>
                <w:lang w:val="es-MX" w:eastAsia="es-MX"/>
              </w:rPr>
            </w:pPr>
            <w:r w:rsidRPr="0056239F">
              <w:rPr>
                <w:rFonts w:ascii="Montserrat Medium" w:eastAsia="Times New Roman" w:hAnsi="Montserrat Medium" w:cs="Calibri"/>
                <w:b/>
                <w:bCs/>
                <w:color w:val="000000"/>
                <w:sz w:val="16"/>
                <w:szCs w:val="16"/>
                <w:lang w:val="es-MX" w:eastAsia="es-MX"/>
              </w:rPr>
              <w:t>Saldos al final del año fiscal</w:t>
            </w:r>
          </w:p>
        </w:tc>
        <w:tc>
          <w:tcPr>
            <w:tcW w:w="2268" w:type="dxa"/>
            <w:tcBorders>
              <w:top w:val="single" w:sz="4" w:space="0" w:color="auto"/>
              <w:bottom w:val="single" w:sz="4" w:space="0" w:color="auto"/>
            </w:tcBorders>
            <w:shd w:val="clear" w:color="auto" w:fill="auto"/>
            <w:noWrap/>
            <w:vAlign w:val="center"/>
            <w:hideMark/>
          </w:tcPr>
          <w:p w14:paraId="5D8B4079" w14:textId="687A87BC" w:rsidR="008A132B" w:rsidRPr="0056239F" w:rsidRDefault="008A132B" w:rsidP="002F131C">
            <w:pPr>
              <w:jc w:val="right"/>
              <w:rPr>
                <w:rFonts w:ascii="Montserrat Medium" w:eastAsia="Times New Roman" w:hAnsi="Montserrat Medium" w:cs="Calibri"/>
                <w:b/>
                <w:bCs/>
                <w:color w:val="000000"/>
                <w:sz w:val="16"/>
                <w:szCs w:val="16"/>
                <w:lang w:eastAsia="es-MX"/>
              </w:rPr>
            </w:pPr>
            <w:r w:rsidRPr="0056239F">
              <w:rPr>
                <w:rFonts w:ascii="Montserrat Medium" w:eastAsia="Times New Roman" w:hAnsi="Montserrat Medium" w:cs="Calibri"/>
                <w:b/>
                <w:bCs/>
                <w:color w:val="000000"/>
                <w:sz w:val="16"/>
                <w:szCs w:val="16"/>
                <w:lang w:eastAsia="es-MX"/>
              </w:rPr>
              <w:t>-13,000,413,434.17</w:t>
            </w:r>
          </w:p>
        </w:tc>
        <w:tc>
          <w:tcPr>
            <w:tcW w:w="1843" w:type="dxa"/>
            <w:tcBorders>
              <w:top w:val="single" w:sz="4" w:space="0" w:color="auto"/>
              <w:bottom w:val="single" w:sz="4" w:space="0" w:color="auto"/>
            </w:tcBorders>
            <w:shd w:val="clear" w:color="auto" w:fill="auto"/>
            <w:noWrap/>
            <w:vAlign w:val="center"/>
            <w:hideMark/>
          </w:tcPr>
          <w:p w14:paraId="423554F9" w14:textId="77777777" w:rsidR="008A132B" w:rsidRPr="0056239F" w:rsidRDefault="008A132B" w:rsidP="002F131C">
            <w:pPr>
              <w:jc w:val="right"/>
              <w:rPr>
                <w:rFonts w:ascii="Montserrat Medium" w:eastAsia="Times New Roman" w:hAnsi="Montserrat Medium" w:cs="Calibri"/>
                <w:b/>
                <w:bCs/>
                <w:color w:val="000000"/>
                <w:sz w:val="16"/>
                <w:szCs w:val="16"/>
                <w:lang w:val="es-MX" w:eastAsia="es-MX"/>
              </w:rPr>
            </w:pPr>
            <w:r w:rsidRPr="0056239F">
              <w:rPr>
                <w:rFonts w:ascii="Montserrat Medium" w:eastAsia="Times New Roman" w:hAnsi="Montserrat Medium" w:cs="Calibri"/>
                <w:b/>
                <w:bCs/>
                <w:color w:val="000000"/>
                <w:sz w:val="16"/>
                <w:szCs w:val="16"/>
                <w:lang w:eastAsia="es-MX"/>
              </w:rPr>
              <w:t>-15,371,497,728.88</w:t>
            </w:r>
          </w:p>
        </w:tc>
      </w:tr>
    </w:tbl>
    <w:p w14:paraId="6749C6CC" w14:textId="77777777" w:rsidR="00F443D1" w:rsidRDefault="00F443D1" w:rsidP="002F131C">
      <w:pPr>
        <w:tabs>
          <w:tab w:val="left" w:pos="9356"/>
          <w:tab w:val="left" w:pos="9498"/>
        </w:tabs>
        <w:jc w:val="both"/>
        <w:rPr>
          <w:rFonts w:ascii="Montserrat Medium" w:eastAsia="Times New Roman" w:hAnsi="Montserrat Medium" w:cs="Arial"/>
          <w:color w:val="595959"/>
          <w:sz w:val="22"/>
          <w:szCs w:val="20"/>
          <w:lang w:eastAsia="en-US"/>
        </w:rPr>
      </w:pPr>
    </w:p>
    <w:p w14:paraId="727B7E45" w14:textId="76D8A7E7" w:rsidR="001E3866" w:rsidRPr="00D56579" w:rsidRDefault="000D5C4D" w:rsidP="002F131C">
      <w:pPr>
        <w:ind w:left="708" w:hanging="708"/>
        <w:rPr>
          <w:rFonts w:ascii="Montserrat Medium" w:eastAsia="Times New Roman" w:hAnsi="Montserrat Medium" w:cs="Arial"/>
          <w:b/>
          <w:i/>
          <w:color w:val="595959"/>
          <w:sz w:val="22"/>
          <w:szCs w:val="20"/>
          <w:lang w:eastAsia="en-US"/>
        </w:rPr>
      </w:pPr>
      <w:r w:rsidRPr="00353F53">
        <w:rPr>
          <w:rFonts w:ascii="Montserrat Medium" w:eastAsia="Times New Roman" w:hAnsi="Montserrat Medium" w:cs="Arial"/>
          <w:b/>
          <w:i/>
          <w:color w:val="595959"/>
          <w:sz w:val="22"/>
          <w:szCs w:val="20"/>
          <w:lang w:eastAsia="en-US"/>
        </w:rPr>
        <w:t>IV)</w:t>
      </w:r>
      <w:r w:rsidR="001E3866" w:rsidRPr="00353F53">
        <w:rPr>
          <w:rFonts w:ascii="Montserrat Medium" w:eastAsia="Times New Roman" w:hAnsi="Montserrat Medium" w:cs="Arial"/>
          <w:b/>
          <w:i/>
          <w:color w:val="595959"/>
          <w:sz w:val="22"/>
          <w:szCs w:val="20"/>
          <w:lang w:eastAsia="en-US"/>
        </w:rPr>
        <w:t xml:space="preserve"> NOTAS AL ESTADO DE FLUJOS DE EFECTIVO</w:t>
      </w:r>
      <w:r w:rsidR="001E3866" w:rsidRPr="00D56579">
        <w:rPr>
          <w:rFonts w:ascii="Montserrat Medium" w:eastAsia="Times New Roman" w:hAnsi="Montserrat Medium" w:cs="Arial"/>
          <w:b/>
          <w:i/>
          <w:color w:val="595959"/>
          <w:sz w:val="22"/>
          <w:szCs w:val="20"/>
          <w:lang w:eastAsia="en-US"/>
        </w:rPr>
        <w:t xml:space="preserve"> </w:t>
      </w:r>
      <w:r w:rsidR="001E3866" w:rsidRPr="00D56579">
        <w:rPr>
          <w:rFonts w:ascii="Montserrat Medium" w:eastAsia="Times New Roman" w:hAnsi="Montserrat Medium" w:cs="Arial"/>
          <w:b/>
          <w:i/>
          <w:color w:val="595959"/>
          <w:sz w:val="22"/>
          <w:szCs w:val="20"/>
          <w:lang w:eastAsia="en-US"/>
        </w:rPr>
        <w:tab/>
      </w:r>
      <w:r w:rsidR="001E3866" w:rsidRPr="00D56579">
        <w:rPr>
          <w:rFonts w:ascii="Montserrat Medium" w:eastAsia="Times New Roman" w:hAnsi="Montserrat Medium" w:cs="Arial"/>
          <w:b/>
          <w:i/>
          <w:color w:val="595959"/>
          <w:sz w:val="22"/>
          <w:szCs w:val="20"/>
          <w:lang w:eastAsia="en-US"/>
        </w:rPr>
        <w:tab/>
      </w:r>
    </w:p>
    <w:p w14:paraId="06A8104F" w14:textId="77777777" w:rsidR="001E3866" w:rsidRPr="00D56579" w:rsidRDefault="001E3866" w:rsidP="002F131C">
      <w:pPr>
        <w:jc w:val="both"/>
        <w:rPr>
          <w:rFonts w:ascii="Montserrat Medium" w:eastAsia="Times New Roman" w:hAnsi="Montserrat Medium" w:cs="Arial"/>
          <w:b/>
          <w:color w:val="595959"/>
          <w:sz w:val="22"/>
          <w:szCs w:val="20"/>
          <w:lang w:eastAsia="en-US"/>
        </w:rPr>
      </w:pPr>
    </w:p>
    <w:p w14:paraId="78866842" w14:textId="77777777" w:rsidR="001E3866" w:rsidRPr="00D56579" w:rsidRDefault="005B5383" w:rsidP="002F131C">
      <w:pPr>
        <w:jc w:val="both"/>
        <w:rPr>
          <w:rFonts w:ascii="Montserrat Medium" w:eastAsia="Times New Roman" w:hAnsi="Montserrat Medium" w:cs="Arial"/>
          <w:b/>
          <w:color w:val="595959"/>
          <w:sz w:val="22"/>
          <w:szCs w:val="20"/>
          <w:lang w:eastAsia="en-US"/>
        </w:rPr>
      </w:pPr>
      <w:r w:rsidRPr="00D56579">
        <w:rPr>
          <w:rFonts w:ascii="Montserrat Medium" w:eastAsia="Times New Roman" w:hAnsi="Montserrat Medium" w:cs="Arial"/>
          <w:b/>
          <w:color w:val="595959"/>
          <w:sz w:val="22"/>
          <w:szCs w:val="20"/>
          <w:lang w:eastAsia="en-US"/>
        </w:rPr>
        <w:t>1</w:t>
      </w:r>
      <w:r w:rsidR="00FA09CC" w:rsidRPr="00D56579">
        <w:rPr>
          <w:rFonts w:ascii="Montserrat Medium" w:eastAsia="Times New Roman" w:hAnsi="Montserrat Medium" w:cs="Arial"/>
          <w:b/>
          <w:color w:val="595959"/>
          <w:sz w:val="22"/>
          <w:szCs w:val="20"/>
          <w:lang w:eastAsia="en-US"/>
        </w:rPr>
        <w:t>.</w:t>
      </w:r>
      <w:r w:rsidR="00A279DB" w:rsidRPr="00D56579">
        <w:rPr>
          <w:rFonts w:ascii="Montserrat Medium" w:eastAsia="Times New Roman" w:hAnsi="Montserrat Medium" w:cs="Arial"/>
          <w:b/>
          <w:color w:val="595959"/>
          <w:sz w:val="22"/>
          <w:szCs w:val="20"/>
          <w:lang w:eastAsia="en-US"/>
        </w:rPr>
        <w:t xml:space="preserve"> Efectivo</w:t>
      </w:r>
      <w:r w:rsidR="001E3866" w:rsidRPr="00D56579">
        <w:rPr>
          <w:rFonts w:ascii="Montserrat Medium" w:eastAsia="Times New Roman" w:hAnsi="Montserrat Medium" w:cs="Arial"/>
          <w:b/>
          <w:color w:val="595959"/>
          <w:sz w:val="22"/>
          <w:szCs w:val="20"/>
          <w:lang w:eastAsia="en-US"/>
        </w:rPr>
        <w:t xml:space="preserve"> y Equivalentes</w:t>
      </w:r>
      <w:r w:rsidR="00B0307F" w:rsidRPr="00D56579">
        <w:rPr>
          <w:rFonts w:ascii="Montserrat Medium" w:eastAsia="Times New Roman" w:hAnsi="Montserrat Medium" w:cs="Arial"/>
          <w:b/>
          <w:color w:val="595959"/>
          <w:sz w:val="22"/>
          <w:szCs w:val="20"/>
          <w:lang w:eastAsia="en-US"/>
        </w:rPr>
        <w:t xml:space="preserve"> </w:t>
      </w:r>
    </w:p>
    <w:p w14:paraId="575AA9B5" w14:textId="77777777" w:rsidR="001E3866" w:rsidRPr="00D56579" w:rsidRDefault="001E3866" w:rsidP="002F131C">
      <w:pPr>
        <w:jc w:val="both"/>
        <w:rPr>
          <w:rFonts w:ascii="Montserrat Medium" w:eastAsia="Times New Roman" w:hAnsi="Montserrat Medium" w:cs="Arial"/>
          <w:b/>
          <w:color w:val="595959"/>
          <w:sz w:val="22"/>
          <w:szCs w:val="20"/>
          <w:lang w:eastAsia="en-US"/>
        </w:rPr>
      </w:pPr>
    </w:p>
    <w:p w14:paraId="4C2D56CD" w14:textId="5E6AB685" w:rsidR="001E3866" w:rsidRDefault="001E3866" w:rsidP="002F131C">
      <w:pPr>
        <w:jc w:val="both"/>
        <w:rPr>
          <w:rFonts w:ascii="Montserrat Medium" w:eastAsia="Times New Roman" w:hAnsi="Montserrat Medium" w:cs="Arial"/>
          <w:color w:val="595959"/>
          <w:sz w:val="22"/>
          <w:szCs w:val="20"/>
          <w:lang w:eastAsia="en-US"/>
        </w:rPr>
      </w:pPr>
      <w:r w:rsidRPr="00D56579">
        <w:rPr>
          <w:rFonts w:ascii="Montserrat Medium" w:eastAsia="Times New Roman" w:hAnsi="Montserrat Medium" w:cs="Arial"/>
          <w:color w:val="595959"/>
          <w:sz w:val="22"/>
          <w:szCs w:val="20"/>
          <w:lang w:eastAsia="en-US"/>
        </w:rPr>
        <w:t>La integración de</w:t>
      </w:r>
      <w:r w:rsidR="003320F1" w:rsidRPr="00D56579">
        <w:rPr>
          <w:rFonts w:ascii="Montserrat Medium" w:eastAsia="Times New Roman" w:hAnsi="Montserrat Medium" w:cs="Arial"/>
          <w:color w:val="595959"/>
          <w:sz w:val="22"/>
          <w:szCs w:val="20"/>
          <w:lang w:eastAsia="en-US"/>
        </w:rPr>
        <w:t>l</w:t>
      </w:r>
      <w:r w:rsidRPr="00D56579">
        <w:rPr>
          <w:rFonts w:ascii="Montserrat Medium" w:eastAsia="Times New Roman" w:hAnsi="Montserrat Medium" w:cs="Arial"/>
          <w:color w:val="595959"/>
          <w:sz w:val="22"/>
          <w:szCs w:val="20"/>
          <w:lang w:eastAsia="en-US"/>
        </w:rPr>
        <w:t xml:space="preserve"> saldo final del efectivo y equivalentes </w:t>
      </w:r>
      <w:r w:rsidR="000901FA" w:rsidRPr="00D56579">
        <w:rPr>
          <w:rFonts w:ascii="Montserrat Medium" w:eastAsia="Times New Roman" w:hAnsi="Montserrat Medium" w:cs="Arial"/>
          <w:color w:val="595959"/>
          <w:sz w:val="22"/>
          <w:szCs w:val="20"/>
          <w:lang w:eastAsia="en-US"/>
        </w:rPr>
        <w:t>a</w:t>
      </w:r>
      <w:r w:rsidR="00A4586C" w:rsidRPr="00D56579">
        <w:rPr>
          <w:rFonts w:ascii="Montserrat Medium" w:eastAsia="Times New Roman" w:hAnsi="Montserrat Medium" w:cs="Arial"/>
          <w:color w:val="595959"/>
          <w:sz w:val="22"/>
          <w:szCs w:val="20"/>
          <w:lang w:eastAsia="en-US"/>
        </w:rPr>
        <w:t>l 3</w:t>
      </w:r>
      <w:r w:rsidR="004E3DF5">
        <w:rPr>
          <w:rFonts w:ascii="Montserrat Medium" w:eastAsia="Times New Roman" w:hAnsi="Montserrat Medium" w:cs="Arial"/>
          <w:color w:val="595959"/>
          <w:sz w:val="22"/>
          <w:szCs w:val="20"/>
          <w:lang w:eastAsia="en-US"/>
        </w:rPr>
        <w:t>0</w:t>
      </w:r>
      <w:r w:rsidR="00A4586C" w:rsidRPr="00D56579">
        <w:rPr>
          <w:rFonts w:ascii="Montserrat Medium" w:eastAsia="Times New Roman" w:hAnsi="Montserrat Medium" w:cs="Arial"/>
          <w:color w:val="595959"/>
          <w:sz w:val="22"/>
          <w:szCs w:val="20"/>
          <w:lang w:eastAsia="en-US"/>
        </w:rPr>
        <w:t xml:space="preserve"> de </w:t>
      </w:r>
      <w:r w:rsidR="004E3DF5">
        <w:rPr>
          <w:rFonts w:ascii="Montserrat Medium" w:eastAsia="Times New Roman" w:hAnsi="Montserrat Medium" w:cs="Arial"/>
          <w:color w:val="595959"/>
          <w:sz w:val="22"/>
          <w:szCs w:val="20"/>
          <w:lang w:eastAsia="en-US"/>
        </w:rPr>
        <w:t>junio</w:t>
      </w:r>
      <w:r w:rsidR="00A4586C" w:rsidRPr="00D56579">
        <w:rPr>
          <w:rFonts w:ascii="Montserrat Medium" w:eastAsia="Times New Roman" w:hAnsi="Montserrat Medium" w:cs="Arial"/>
          <w:color w:val="595959"/>
          <w:sz w:val="22"/>
          <w:szCs w:val="20"/>
          <w:lang w:eastAsia="en-US"/>
        </w:rPr>
        <w:t xml:space="preserve"> de 202</w:t>
      </w:r>
      <w:r w:rsidR="001A33ED">
        <w:rPr>
          <w:rFonts w:ascii="Montserrat Medium" w:eastAsia="Times New Roman" w:hAnsi="Montserrat Medium" w:cs="Arial"/>
          <w:color w:val="595959"/>
          <w:sz w:val="22"/>
          <w:szCs w:val="20"/>
          <w:lang w:eastAsia="en-US"/>
        </w:rPr>
        <w:t>5</w:t>
      </w:r>
      <w:r w:rsidR="00D73B96" w:rsidRPr="00D56579">
        <w:rPr>
          <w:rFonts w:ascii="Montserrat Medium" w:eastAsia="Times New Roman" w:hAnsi="Montserrat Medium" w:cs="Arial"/>
          <w:color w:val="595959"/>
          <w:sz w:val="22"/>
          <w:szCs w:val="20"/>
          <w:lang w:eastAsia="en-US"/>
        </w:rPr>
        <w:t xml:space="preserve"> y </w:t>
      </w:r>
      <w:r w:rsidR="001A33ED">
        <w:rPr>
          <w:rFonts w:ascii="Montserrat Medium" w:eastAsia="Times New Roman" w:hAnsi="Montserrat Medium" w:cs="Arial"/>
          <w:color w:val="595959"/>
          <w:sz w:val="22"/>
          <w:szCs w:val="20"/>
          <w:lang w:eastAsia="en-US"/>
        </w:rPr>
        <w:t>ejercicio fiscal 2024</w:t>
      </w:r>
      <w:r w:rsidR="00D73B96" w:rsidRPr="00D56579">
        <w:rPr>
          <w:rFonts w:ascii="Montserrat Medium" w:eastAsia="Times New Roman" w:hAnsi="Montserrat Medium" w:cs="Arial"/>
          <w:color w:val="595959"/>
          <w:sz w:val="22"/>
          <w:szCs w:val="20"/>
          <w:lang w:eastAsia="en-US"/>
        </w:rPr>
        <w:t xml:space="preserve">, </w:t>
      </w:r>
      <w:r w:rsidR="003320F1" w:rsidRPr="00D56579">
        <w:rPr>
          <w:rFonts w:ascii="Montserrat Medium" w:eastAsia="Times New Roman" w:hAnsi="Montserrat Medium" w:cs="Arial"/>
          <w:color w:val="595959"/>
          <w:sz w:val="22"/>
          <w:szCs w:val="20"/>
          <w:lang w:eastAsia="en-US"/>
        </w:rPr>
        <w:t>es la siguiente:</w:t>
      </w:r>
    </w:p>
    <w:p w14:paraId="30CA2106" w14:textId="77777777" w:rsidR="0056239F" w:rsidRPr="00D56579" w:rsidRDefault="0056239F" w:rsidP="002F131C">
      <w:pPr>
        <w:jc w:val="both"/>
        <w:rPr>
          <w:rFonts w:ascii="Montserrat Medium" w:eastAsia="Times New Roman" w:hAnsi="Montserrat Medium" w:cs="Arial"/>
          <w:color w:val="595959"/>
          <w:sz w:val="22"/>
          <w:szCs w:val="20"/>
          <w:lang w:eastAsia="en-US"/>
        </w:rPr>
      </w:pPr>
    </w:p>
    <w:tbl>
      <w:tblPr>
        <w:tblW w:w="8052" w:type="dxa"/>
        <w:jc w:val="center"/>
        <w:tblCellMar>
          <w:left w:w="70" w:type="dxa"/>
          <w:right w:w="70" w:type="dxa"/>
        </w:tblCellMar>
        <w:tblLook w:val="04A0" w:firstRow="1" w:lastRow="0" w:firstColumn="1" w:lastColumn="0" w:noHBand="0" w:noVBand="1"/>
      </w:tblPr>
      <w:tblGrid>
        <w:gridCol w:w="4670"/>
        <w:gridCol w:w="1701"/>
        <w:gridCol w:w="1681"/>
      </w:tblGrid>
      <w:tr w:rsidR="00E242CA" w:rsidRPr="0056239F" w14:paraId="11287295" w14:textId="77777777" w:rsidTr="006015CD">
        <w:trPr>
          <w:trHeight w:val="300"/>
          <w:tblHeader/>
          <w:jc w:val="center"/>
        </w:trPr>
        <w:tc>
          <w:tcPr>
            <w:tcW w:w="805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79BDADF" w14:textId="77777777" w:rsidR="00E242CA" w:rsidRPr="0056239F" w:rsidRDefault="00E242CA" w:rsidP="002F131C">
            <w:pPr>
              <w:jc w:val="center"/>
              <w:rPr>
                <w:rFonts w:ascii="Montserrat Medium" w:eastAsia="Times New Roman" w:hAnsi="Montserrat Medium" w:cs="Calibri"/>
                <w:b/>
                <w:bCs/>
                <w:color w:val="000000"/>
                <w:sz w:val="16"/>
                <w:szCs w:val="18"/>
                <w:lang w:val="es-MX" w:eastAsia="es-MX"/>
              </w:rPr>
            </w:pPr>
            <w:r w:rsidRPr="0056239F">
              <w:rPr>
                <w:rFonts w:ascii="Montserrat Medium" w:eastAsia="Times New Roman" w:hAnsi="Montserrat Medium" w:cs="Calibri"/>
                <w:b/>
                <w:bCs/>
                <w:color w:val="000000"/>
                <w:sz w:val="16"/>
                <w:szCs w:val="18"/>
                <w:lang w:val="es-MX" w:eastAsia="es-MX"/>
              </w:rPr>
              <w:t>Efectivo y Equivalentes</w:t>
            </w:r>
          </w:p>
        </w:tc>
      </w:tr>
      <w:tr w:rsidR="00E242CA" w:rsidRPr="0056239F" w14:paraId="289F18A5" w14:textId="77777777" w:rsidTr="0035610C">
        <w:trPr>
          <w:trHeight w:val="300"/>
          <w:tblHeader/>
          <w:jc w:val="center"/>
        </w:trPr>
        <w:tc>
          <w:tcPr>
            <w:tcW w:w="4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7C0823D" w14:textId="77777777" w:rsidR="00E242CA" w:rsidRPr="0056239F" w:rsidRDefault="00E242CA" w:rsidP="002F131C">
            <w:pPr>
              <w:jc w:val="center"/>
              <w:rPr>
                <w:rFonts w:ascii="Montserrat Medium" w:eastAsia="Times New Roman" w:hAnsi="Montserrat Medium" w:cs="Calibri"/>
                <w:b/>
                <w:bCs/>
                <w:color w:val="000000"/>
                <w:sz w:val="16"/>
                <w:szCs w:val="18"/>
                <w:lang w:val="es-MX" w:eastAsia="es-MX"/>
              </w:rPr>
            </w:pPr>
            <w:r w:rsidRPr="0056239F">
              <w:rPr>
                <w:rFonts w:ascii="Montserrat Medium" w:eastAsia="Times New Roman" w:hAnsi="Montserrat Medium" w:cs="Calibri"/>
                <w:b/>
                <w:bCs/>
                <w:color w:val="000000"/>
                <w:sz w:val="16"/>
                <w:szCs w:val="18"/>
                <w:lang w:val="es-MX" w:eastAsia="es-MX"/>
              </w:rPr>
              <w:t>Concepto</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F513C46" w14:textId="49F9CC5E" w:rsidR="00E242CA" w:rsidRPr="0056239F" w:rsidRDefault="001A33ED" w:rsidP="002F131C">
            <w:pPr>
              <w:jc w:val="center"/>
              <w:rPr>
                <w:rFonts w:ascii="Montserrat Medium" w:eastAsia="Times New Roman" w:hAnsi="Montserrat Medium" w:cs="Calibri"/>
                <w:b/>
                <w:bCs/>
                <w:color w:val="000000"/>
                <w:sz w:val="16"/>
                <w:szCs w:val="18"/>
                <w:lang w:val="es-MX" w:eastAsia="es-MX"/>
              </w:rPr>
            </w:pPr>
            <w:r w:rsidRPr="0056239F">
              <w:rPr>
                <w:rFonts w:ascii="Montserrat Medium" w:eastAsia="Times New Roman" w:hAnsi="Montserrat Medium" w:cs="Calibri"/>
                <w:b/>
                <w:bCs/>
                <w:color w:val="000000"/>
                <w:sz w:val="16"/>
                <w:szCs w:val="18"/>
                <w:lang w:val="es-MX" w:eastAsia="es-MX"/>
              </w:rPr>
              <w:t>Al 3</w:t>
            </w:r>
            <w:r w:rsidR="004E3DF5" w:rsidRPr="0056239F">
              <w:rPr>
                <w:rFonts w:ascii="Montserrat Medium" w:eastAsia="Times New Roman" w:hAnsi="Montserrat Medium" w:cs="Calibri"/>
                <w:b/>
                <w:bCs/>
                <w:color w:val="000000"/>
                <w:sz w:val="16"/>
                <w:szCs w:val="18"/>
                <w:lang w:val="es-MX" w:eastAsia="es-MX"/>
              </w:rPr>
              <w:t>0</w:t>
            </w:r>
            <w:r w:rsidRPr="0056239F">
              <w:rPr>
                <w:rFonts w:ascii="Montserrat Medium" w:eastAsia="Times New Roman" w:hAnsi="Montserrat Medium" w:cs="Calibri"/>
                <w:b/>
                <w:bCs/>
                <w:color w:val="000000"/>
                <w:sz w:val="16"/>
                <w:szCs w:val="18"/>
                <w:lang w:val="es-MX" w:eastAsia="es-MX"/>
              </w:rPr>
              <w:t xml:space="preserve"> de </w:t>
            </w:r>
            <w:r w:rsidR="004E3DF5" w:rsidRPr="0056239F">
              <w:rPr>
                <w:rFonts w:ascii="Montserrat Medium" w:eastAsia="Times New Roman" w:hAnsi="Montserrat Medium" w:cs="Calibri"/>
                <w:b/>
                <w:bCs/>
                <w:color w:val="000000"/>
                <w:sz w:val="16"/>
                <w:szCs w:val="18"/>
                <w:lang w:val="es-MX" w:eastAsia="es-MX"/>
              </w:rPr>
              <w:t>junio</w:t>
            </w:r>
            <w:r w:rsidRPr="0056239F">
              <w:rPr>
                <w:rFonts w:ascii="Montserrat Medium" w:eastAsia="Times New Roman" w:hAnsi="Montserrat Medium" w:cs="Calibri"/>
                <w:b/>
                <w:bCs/>
                <w:color w:val="000000"/>
                <w:sz w:val="16"/>
                <w:szCs w:val="18"/>
                <w:lang w:val="es-MX" w:eastAsia="es-MX"/>
              </w:rPr>
              <w:t xml:space="preserve"> de </w:t>
            </w:r>
            <w:r w:rsidR="00E242CA" w:rsidRPr="0056239F">
              <w:rPr>
                <w:rFonts w:ascii="Montserrat Medium" w:eastAsia="Times New Roman" w:hAnsi="Montserrat Medium" w:cs="Calibri"/>
                <w:b/>
                <w:bCs/>
                <w:color w:val="000000"/>
                <w:sz w:val="16"/>
                <w:szCs w:val="18"/>
                <w:lang w:val="es-MX" w:eastAsia="es-MX"/>
              </w:rPr>
              <w:t>202</w:t>
            </w:r>
            <w:r w:rsidRPr="0056239F">
              <w:rPr>
                <w:rFonts w:ascii="Montserrat Medium" w:eastAsia="Times New Roman" w:hAnsi="Montserrat Medium" w:cs="Calibri"/>
                <w:b/>
                <w:bCs/>
                <w:color w:val="000000"/>
                <w:sz w:val="16"/>
                <w:szCs w:val="18"/>
                <w:lang w:val="es-MX" w:eastAsia="es-MX"/>
              </w:rPr>
              <w:t>5</w:t>
            </w:r>
          </w:p>
        </w:tc>
        <w:tc>
          <w:tcPr>
            <w:tcW w:w="168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A82024D" w14:textId="15734D8E" w:rsidR="00E242CA" w:rsidRPr="0056239F" w:rsidRDefault="001A33ED" w:rsidP="002F131C">
            <w:pPr>
              <w:jc w:val="center"/>
              <w:rPr>
                <w:rFonts w:ascii="Montserrat Medium" w:eastAsia="Times New Roman" w:hAnsi="Montserrat Medium" w:cs="Calibri"/>
                <w:b/>
                <w:bCs/>
                <w:color w:val="000000"/>
                <w:sz w:val="16"/>
                <w:szCs w:val="18"/>
                <w:lang w:val="es-MX" w:eastAsia="es-MX"/>
              </w:rPr>
            </w:pPr>
            <w:r w:rsidRPr="0056239F">
              <w:rPr>
                <w:rFonts w:ascii="Montserrat Medium" w:eastAsia="Times New Roman" w:hAnsi="Montserrat Medium" w:cs="Calibri"/>
                <w:b/>
                <w:bCs/>
                <w:color w:val="000000"/>
                <w:sz w:val="16"/>
                <w:szCs w:val="18"/>
                <w:lang w:val="es-MX" w:eastAsia="es-MX"/>
              </w:rPr>
              <w:t>2024</w:t>
            </w:r>
          </w:p>
        </w:tc>
      </w:tr>
      <w:tr w:rsidR="004E3DF5" w:rsidRPr="0056239F" w14:paraId="27E0490D" w14:textId="77777777" w:rsidTr="0056239F">
        <w:trPr>
          <w:trHeight w:hRule="exact" w:val="227"/>
          <w:jc w:val="center"/>
        </w:trPr>
        <w:tc>
          <w:tcPr>
            <w:tcW w:w="4670" w:type="dxa"/>
            <w:tcBorders>
              <w:top w:val="single" w:sz="4" w:space="0" w:color="auto"/>
              <w:left w:val="single" w:sz="4" w:space="0" w:color="auto"/>
              <w:right w:val="single" w:sz="4" w:space="0" w:color="auto"/>
            </w:tcBorders>
            <w:shd w:val="clear" w:color="auto" w:fill="auto"/>
            <w:noWrap/>
            <w:vAlign w:val="bottom"/>
            <w:hideMark/>
          </w:tcPr>
          <w:p w14:paraId="7A812F28" w14:textId="77777777" w:rsidR="004E3DF5" w:rsidRPr="0056239F" w:rsidRDefault="004E3DF5" w:rsidP="002F131C">
            <w:pPr>
              <w:rPr>
                <w:rFonts w:ascii="Montserrat Medium" w:eastAsia="Times New Roman" w:hAnsi="Montserrat Medium" w:cs="Calibri"/>
                <w:bCs/>
                <w:color w:val="000000"/>
                <w:sz w:val="16"/>
                <w:szCs w:val="18"/>
                <w:lang w:val="es-MX" w:eastAsia="es-MX"/>
              </w:rPr>
            </w:pPr>
            <w:r w:rsidRPr="0056239F">
              <w:rPr>
                <w:rFonts w:ascii="Montserrat Medium" w:eastAsia="Times New Roman" w:hAnsi="Montserrat Medium" w:cs="Calibri"/>
                <w:bCs/>
                <w:color w:val="000000"/>
                <w:sz w:val="16"/>
                <w:szCs w:val="18"/>
                <w:lang w:val="es-MX" w:eastAsia="es-MX"/>
              </w:rPr>
              <w:t>Efectivo</w:t>
            </w:r>
          </w:p>
        </w:tc>
        <w:tc>
          <w:tcPr>
            <w:tcW w:w="1701" w:type="dxa"/>
            <w:tcBorders>
              <w:top w:val="single" w:sz="4" w:space="0" w:color="auto"/>
              <w:left w:val="nil"/>
              <w:right w:val="single" w:sz="4" w:space="0" w:color="auto"/>
            </w:tcBorders>
            <w:shd w:val="clear" w:color="auto" w:fill="auto"/>
            <w:noWrap/>
            <w:vAlign w:val="center"/>
            <w:hideMark/>
          </w:tcPr>
          <w:p w14:paraId="48FAFABB" w14:textId="10260189" w:rsidR="004E3DF5" w:rsidRPr="0056239F" w:rsidRDefault="004E3DF5"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3,202,114.03</w:t>
            </w:r>
          </w:p>
        </w:tc>
        <w:tc>
          <w:tcPr>
            <w:tcW w:w="1681" w:type="dxa"/>
            <w:tcBorders>
              <w:top w:val="single" w:sz="4" w:space="0" w:color="auto"/>
              <w:left w:val="nil"/>
              <w:right w:val="single" w:sz="4" w:space="0" w:color="auto"/>
            </w:tcBorders>
            <w:shd w:val="clear" w:color="auto" w:fill="auto"/>
            <w:noWrap/>
            <w:vAlign w:val="center"/>
            <w:hideMark/>
          </w:tcPr>
          <w:p w14:paraId="5F71B2AC" w14:textId="0D01E775" w:rsidR="004E3DF5" w:rsidRPr="0056239F" w:rsidRDefault="004E3DF5"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65,348.86</w:t>
            </w:r>
          </w:p>
        </w:tc>
      </w:tr>
      <w:tr w:rsidR="004E3DF5" w:rsidRPr="0056239F" w14:paraId="378A1443" w14:textId="77777777" w:rsidTr="0056239F">
        <w:trPr>
          <w:trHeight w:hRule="exact" w:val="227"/>
          <w:jc w:val="center"/>
        </w:trPr>
        <w:tc>
          <w:tcPr>
            <w:tcW w:w="4670" w:type="dxa"/>
            <w:tcBorders>
              <w:top w:val="nil"/>
              <w:left w:val="single" w:sz="4" w:space="0" w:color="auto"/>
              <w:right w:val="single" w:sz="4" w:space="0" w:color="auto"/>
            </w:tcBorders>
            <w:shd w:val="clear" w:color="auto" w:fill="auto"/>
            <w:noWrap/>
            <w:vAlign w:val="bottom"/>
            <w:hideMark/>
          </w:tcPr>
          <w:p w14:paraId="625F4605" w14:textId="77777777" w:rsidR="004E3DF5" w:rsidRPr="0056239F" w:rsidRDefault="004E3DF5" w:rsidP="002F131C">
            <w:pPr>
              <w:rPr>
                <w:rFonts w:ascii="Montserrat Medium" w:eastAsia="Times New Roman" w:hAnsi="Montserrat Medium" w:cs="Calibri"/>
                <w:bCs/>
                <w:color w:val="000000"/>
                <w:sz w:val="16"/>
                <w:szCs w:val="18"/>
                <w:lang w:val="es-MX" w:eastAsia="es-MX"/>
              </w:rPr>
            </w:pPr>
            <w:r w:rsidRPr="0056239F">
              <w:rPr>
                <w:rFonts w:ascii="Montserrat Medium" w:eastAsia="Times New Roman" w:hAnsi="Montserrat Medium" w:cs="Calibri"/>
                <w:bCs/>
                <w:color w:val="000000"/>
                <w:sz w:val="16"/>
                <w:szCs w:val="18"/>
                <w:lang w:val="es-MX" w:eastAsia="es-MX"/>
              </w:rPr>
              <w:t>Bancos/Tesorería</w:t>
            </w:r>
          </w:p>
        </w:tc>
        <w:tc>
          <w:tcPr>
            <w:tcW w:w="1701" w:type="dxa"/>
            <w:tcBorders>
              <w:top w:val="nil"/>
              <w:left w:val="nil"/>
              <w:right w:val="single" w:sz="4" w:space="0" w:color="auto"/>
            </w:tcBorders>
            <w:shd w:val="clear" w:color="auto" w:fill="auto"/>
            <w:noWrap/>
            <w:vAlign w:val="center"/>
            <w:hideMark/>
          </w:tcPr>
          <w:p w14:paraId="7C0E26E6" w14:textId="644FCE96" w:rsidR="004E3DF5" w:rsidRPr="0056239F" w:rsidRDefault="004E3DF5"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5,366,954,479.00</w:t>
            </w:r>
          </w:p>
        </w:tc>
        <w:tc>
          <w:tcPr>
            <w:tcW w:w="1681" w:type="dxa"/>
            <w:tcBorders>
              <w:top w:val="nil"/>
              <w:left w:val="nil"/>
              <w:right w:val="single" w:sz="4" w:space="0" w:color="auto"/>
            </w:tcBorders>
            <w:shd w:val="clear" w:color="auto" w:fill="auto"/>
            <w:noWrap/>
            <w:vAlign w:val="center"/>
            <w:hideMark/>
          </w:tcPr>
          <w:p w14:paraId="45F733C6" w14:textId="7DFA3E43" w:rsidR="004E3DF5" w:rsidRPr="0056239F" w:rsidRDefault="004E3DF5"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2,957,710,509.39</w:t>
            </w:r>
          </w:p>
        </w:tc>
      </w:tr>
      <w:tr w:rsidR="004E3DF5" w:rsidRPr="0056239F" w14:paraId="0D201F6F" w14:textId="77777777" w:rsidTr="0056239F">
        <w:trPr>
          <w:trHeight w:hRule="exact" w:val="227"/>
          <w:jc w:val="center"/>
        </w:trPr>
        <w:tc>
          <w:tcPr>
            <w:tcW w:w="4670" w:type="dxa"/>
            <w:tcBorders>
              <w:left w:val="single" w:sz="4" w:space="0" w:color="auto"/>
              <w:right w:val="single" w:sz="4" w:space="0" w:color="auto"/>
            </w:tcBorders>
            <w:shd w:val="clear" w:color="auto" w:fill="auto"/>
            <w:noWrap/>
            <w:vAlign w:val="bottom"/>
            <w:hideMark/>
          </w:tcPr>
          <w:p w14:paraId="4738264E" w14:textId="77777777" w:rsidR="004E3DF5" w:rsidRPr="0056239F" w:rsidRDefault="004E3DF5" w:rsidP="002F131C">
            <w:pPr>
              <w:rPr>
                <w:rFonts w:ascii="Montserrat Medium" w:eastAsia="Times New Roman" w:hAnsi="Montserrat Medium" w:cs="Calibri"/>
                <w:bCs/>
                <w:color w:val="000000"/>
                <w:sz w:val="16"/>
                <w:szCs w:val="18"/>
                <w:lang w:val="es-MX" w:eastAsia="es-MX"/>
              </w:rPr>
            </w:pPr>
            <w:r w:rsidRPr="0056239F">
              <w:rPr>
                <w:rFonts w:ascii="Montserrat Medium" w:eastAsia="Times New Roman" w:hAnsi="Montserrat Medium" w:cs="Calibri"/>
                <w:bCs/>
                <w:color w:val="000000"/>
                <w:sz w:val="16"/>
                <w:szCs w:val="18"/>
                <w:lang w:val="es-MX" w:eastAsia="es-MX"/>
              </w:rPr>
              <w:t>Bancos/Dependencias y Otros</w:t>
            </w:r>
          </w:p>
        </w:tc>
        <w:tc>
          <w:tcPr>
            <w:tcW w:w="1701" w:type="dxa"/>
            <w:tcBorders>
              <w:left w:val="nil"/>
              <w:right w:val="single" w:sz="4" w:space="0" w:color="auto"/>
            </w:tcBorders>
            <w:shd w:val="clear" w:color="auto" w:fill="auto"/>
            <w:noWrap/>
            <w:vAlign w:val="center"/>
            <w:hideMark/>
          </w:tcPr>
          <w:p w14:paraId="5022619E" w14:textId="17D1F1C6" w:rsidR="004E3DF5" w:rsidRPr="0056239F" w:rsidRDefault="004E3DF5"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0.00</w:t>
            </w:r>
          </w:p>
        </w:tc>
        <w:tc>
          <w:tcPr>
            <w:tcW w:w="1681" w:type="dxa"/>
            <w:tcBorders>
              <w:left w:val="nil"/>
              <w:right w:val="single" w:sz="4" w:space="0" w:color="auto"/>
            </w:tcBorders>
            <w:shd w:val="clear" w:color="auto" w:fill="auto"/>
            <w:noWrap/>
            <w:vAlign w:val="center"/>
            <w:hideMark/>
          </w:tcPr>
          <w:p w14:paraId="5207B7B9" w14:textId="2EEB6AA2" w:rsidR="004E3DF5" w:rsidRPr="0056239F" w:rsidRDefault="004E3DF5"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0.00</w:t>
            </w:r>
          </w:p>
        </w:tc>
      </w:tr>
      <w:tr w:rsidR="004E3DF5" w:rsidRPr="0056239F" w14:paraId="2669C81B" w14:textId="77777777" w:rsidTr="00CF691F">
        <w:trPr>
          <w:trHeight w:hRule="exact" w:val="227"/>
          <w:jc w:val="center"/>
        </w:trPr>
        <w:tc>
          <w:tcPr>
            <w:tcW w:w="4670" w:type="dxa"/>
            <w:tcBorders>
              <w:top w:val="nil"/>
              <w:left w:val="single" w:sz="4" w:space="0" w:color="auto"/>
              <w:right w:val="single" w:sz="4" w:space="0" w:color="auto"/>
            </w:tcBorders>
            <w:shd w:val="clear" w:color="auto" w:fill="auto"/>
            <w:noWrap/>
            <w:vAlign w:val="bottom"/>
            <w:hideMark/>
          </w:tcPr>
          <w:p w14:paraId="24629608" w14:textId="77777777" w:rsidR="004E3DF5" w:rsidRPr="0056239F" w:rsidRDefault="004E3DF5" w:rsidP="002F131C">
            <w:pPr>
              <w:rPr>
                <w:rFonts w:ascii="Montserrat Medium" w:eastAsia="Times New Roman" w:hAnsi="Montserrat Medium" w:cs="Calibri"/>
                <w:bCs/>
                <w:color w:val="000000"/>
                <w:sz w:val="16"/>
                <w:szCs w:val="18"/>
                <w:lang w:val="es-MX" w:eastAsia="es-MX"/>
              </w:rPr>
            </w:pPr>
            <w:r w:rsidRPr="0056239F">
              <w:rPr>
                <w:rFonts w:ascii="Montserrat Medium" w:eastAsia="Times New Roman" w:hAnsi="Montserrat Medium" w:cs="Calibri"/>
                <w:bCs/>
                <w:color w:val="000000"/>
                <w:sz w:val="16"/>
                <w:szCs w:val="18"/>
                <w:lang w:val="es-MX" w:eastAsia="es-MX"/>
              </w:rPr>
              <w:t>Inversiones Temporales (hasta 3 meses)</w:t>
            </w:r>
          </w:p>
        </w:tc>
        <w:tc>
          <w:tcPr>
            <w:tcW w:w="1701" w:type="dxa"/>
            <w:tcBorders>
              <w:top w:val="nil"/>
              <w:left w:val="nil"/>
              <w:right w:val="single" w:sz="4" w:space="0" w:color="auto"/>
            </w:tcBorders>
            <w:shd w:val="clear" w:color="auto" w:fill="auto"/>
            <w:noWrap/>
            <w:vAlign w:val="center"/>
            <w:hideMark/>
          </w:tcPr>
          <w:p w14:paraId="752266ED" w14:textId="47CB0785" w:rsidR="004E3DF5" w:rsidRPr="0056239F" w:rsidRDefault="004E3DF5"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1,600,186,238.65</w:t>
            </w:r>
          </w:p>
        </w:tc>
        <w:tc>
          <w:tcPr>
            <w:tcW w:w="1681" w:type="dxa"/>
            <w:tcBorders>
              <w:top w:val="nil"/>
              <w:left w:val="nil"/>
              <w:right w:val="single" w:sz="4" w:space="0" w:color="auto"/>
            </w:tcBorders>
            <w:shd w:val="clear" w:color="auto" w:fill="auto"/>
            <w:noWrap/>
            <w:vAlign w:val="center"/>
            <w:hideMark/>
          </w:tcPr>
          <w:p w14:paraId="43D390E0" w14:textId="57915163" w:rsidR="004E3DF5" w:rsidRPr="0056239F" w:rsidRDefault="004E3DF5"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186,235.50</w:t>
            </w:r>
          </w:p>
        </w:tc>
      </w:tr>
      <w:tr w:rsidR="004E3DF5" w:rsidRPr="0056239F" w14:paraId="2569FB12" w14:textId="77777777" w:rsidTr="0056239F">
        <w:trPr>
          <w:trHeight w:hRule="exact" w:val="215"/>
          <w:jc w:val="center"/>
        </w:trPr>
        <w:tc>
          <w:tcPr>
            <w:tcW w:w="4670" w:type="dxa"/>
            <w:tcBorders>
              <w:top w:val="nil"/>
              <w:left w:val="single" w:sz="4" w:space="0" w:color="auto"/>
              <w:right w:val="single" w:sz="4" w:space="0" w:color="auto"/>
            </w:tcBorders>
            <w:shd w:val="clear" w:color="auto" w:fill="auto"/>
            <w:noWrap/>
            <w:vAlign w:val="bottom"/>
            <w:hideMark/>
          </w:tcPr>
          <w:p w14:paraId="432E6869" w14:textId="77777777" w:rsidR="004E3DF5" w:rsidRPr="0056239F" w:rsidRDefault="004E3DF5" w:rsidP="002F131C">
            <w:pPr>
              <w:rPr>
                <w:rFonts w:ascii="Montserrat Medium" w:eastAsia="Times New Roman" w:hAnsi="Montserrat Medium" w:cs="Calibri"/>
                <w:bCs/>
                <w:color w:val="000000"/>
                <w:sz w:val="16"/>
                <w:szCs w:val="18"/>
                <w:lang w:val="es-MX" w:eastAsia="es-MX"/>
              </w:rPr>
            </w:pPr>
            <w:r w:rsidRPr="0056239F">
              <w:rPr>
                <w:rFonts w:ascii="Montserrat Medium" w:eastAsia="Times New Roman" w:hAnsi="Montserrat Medium" w:cs="Calibri"/>
                <w:bCs/>
                <w:color w:val="000000"/>
                <w:sz w:val="16"/>
                <w:szCs w:val="18"/>
                <w:lang w:val="es-MX" w:eastAsia="es-MX"/>
              </w:rPr>
              <w:t>Fondos con Afectación Específica</w:t>
            </w:r>
          </w:p>
        </w:tc>
        <w:tc>
          <w:tcPr>
            <w:tcW w:w="1701" w:type="dxa"/>
            <w:tcBorders>
              <w:top w:val="nil"/>
              <w:left w:val="nil"/>
              <w:right w:val="single" w:sz="4" w:space="0" w:color="auto"/>
            </w:tcBorders>
            <w:shd w:val="clear" w:color="auto" w:fill="auto"/>
            <w:noWrap/>
            <w:vAlign w:val="center"/>
            <w:hideMark/>
          </w:tcPr>
          <w:p w14:paraId="66684B40" w14:textId="4E08852B" w:rsidR="004E3DF5" w:rsidRPr="0056239F" w:rsidRDefault="004E3DF5"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0.00</w:t>
            </w:r>
          </w:p>
        </w:tc>
        <w:tc>
          <w:tcPr>
            <w:tcW w:w="1681" w:type="dxa"/>
            <w:tcBorders>
              <w:top w:val="nil"/>
              <w:left w:val="nil"/>
              <w:right w:val="single" w:sz="4" w:space="0" w:color="auto"/>
            </w:tcBorders>
            <w:shd w:val="clear" w:color="auto" w:fill="auto"/>
            <w:noWrap/>
            <w:vAlign w:val="center"/>
            <w:hideMark/>
          </w:tcPr>
          <w:p w14:paraId="4A1BBE8D" w14:textId="26D60B13" w:rsidR="004E3DF5" w:rsidRPr="0056239F" w:rsidRDefault="004E3DF5"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0.00</w:t>
            </w:r>
          </w:p>
        </w:tc>
      </w:tr>
      <w:tr w:rsidR="004E3DF5" w:rsidRPr="0056239F" w14:paraId="6A0C2F1C" w14:textId="77777777" w:rsidTr="00CF691F">
        <w:trPr>
          <w:trHeight w:hRule="exact" w:val="483"/>
          <w:jc w:val="center"/>
        </w:trPr>
        <w:tc>
          <w:tcPr>
            <w:tcW w:w="4670" w:type="dxa"/>
            <w:tcBorders>
              <w:left w:val="single" w:sz="4" w:space="0" w:color="auto"/>
              <w:right w:val="single" w:sz="4" w:space="0" w:color="auto"/>
            </w:tcBorders>
            <w:shd w:val="clear" w:color="auto" w:fill="auto"/>
            <w:noWrap/>
            <w:vAlign w:val="bottom"/>
            <w:hideMark/>
          </w:tcPr>
          <w:p w14:paraId="6DD19ED4" w14:textId="77777777" w:rsidR="004E3DF5" w:rsidRPr="0056239F" w:rsidRDefault="004E3DF5" w:rsidP="002F131C">
            <w:pPr>
              <w:rPr>
                <w:rFonts w:ascii="Montserrat Medium" w:eastAsia="Times New Roman" w:hAnsi="Montserrat Medium" w:cs="Calibri"/>
                <w:bCs/>
                <w:color w:val="000000"/>
                <w:sz w:val="16"/>
                <w:szCs w:val="18"/>
                <w:lang w:val="es-MX" w:eastAsia="es-MX"/>
              </w:rPr>
            </w:pPr>
            <w:r w:rsidRPr="0056239F">
              <w:rPr>
                <w:rFonts w:ascii="Montserrat Medium" w:eastAsia="Times New Roman" w:hAnsi="Montserrat Medium" w:cs="Calibri"/>
                <w:bCs/>
                <w:color w:val="000000"/>
                <w:sz w:val="16"/>
                <w:szCs w:val="18"/>
                <w:lang w:val="es-MX" w:eastAsia="es-MX"/>
              </w:rPr>
              <w:t>Depósitos de Fondos de Terceros en Garantía y/o administración</w:t>
            </w:r>
          </w:p>
        </w:tc>
        <w:tc>
          <w:tcPr>
            <w:tcW w:w="1701" w:type="dxa"/>
            <w:tcBorders>
              <w:left w:val="nil"/>
              <w:right w:val="single" w:sz="4" w:space="0" w:color="auto"/>
            </w:tcBorders>
            <w:shd w:val="clear" w:color="auto" w:fill="auto"/>
            <w:noWrap/>
            <w:vAlign w:val="center"/>
            <w:hideMark/>
          </w:tcPr>
          <w:p w14:paraId="1DC71B30" w14:textId="1B88457C" w:rsidR="004E3DF5" w:rsidRPr="0056239F" w:rsidRDefault="004E3DF5"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0.00</w:t>
            </w:r>
          </w:p>
        </w:tc>
        <w:tc>
          <w:tcPr>
            <w:tcW w:w="1681" w:type="dxa"/>
            <w:tcBorders>
              <w:left w:val="nil"/>
              <w:right w:val="single" w:sz="4" w:space="0" w:color="auto"/>
            </w:tcBorders>
            <w:shd w:val="clear" w:color="auto" w:fill="auto"/>
            <w:noWrap/>
            <w:vAlign w:val="center"/>
            <w:hideMark/>
          </w:tcPr>
          <w:p w14:paraId="7A6AB0C3" w14:textId="77862C62" w:rsidR="004E3DF5" w:rsidRPr="0056239F" w:rsidRDefault="004E3DF5"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0.00</w:t>
            </w:r>
          </w:p>
        </w:tc>
      </w:tr>
      <w:tr w:rsidR="004E3DF5" w:rsidRPr="0056239F" w14:paraId="608F224E" w14:textId="77777777" w:rsidTr="00CF691F">
        <w:trPr>
          <w:trHeight w:hRule="exact" w:val="227"/>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14:paraId="70783231" w14:textId="77777777" w:rsidR="004E3DF5" w:rsidRPr="0056239F" w:rsidRDefault="004E3DF5" w:rsidP="002F131C">
            <w:pPr>
              <w:rPr>
                <w:rFonts w:ascii="Montserrat Medium" w:eastAsia="Times New Roman" w:hAnsi="Montserrat Medium" w:cs="Calibri"/>
                <w:bCs/>
                <w:color w:val="000000"/>
                <w:sz w:val="16"/>
                <w:szCs w:val="18"/>
                <w:lang w:val="es-MX" w:eastAsia="es-MX"/>
              </w:rPr>
            </w:pPr>
            <w:r w:rsidRPr="0056239F">
              <w:rPr>
                <w:rFonts w:ascii="Montserrat Medium" w:eastAsia="Times New Roman" w:hAnsi="Montserrat Medium" w:cs="Calibri"/>
                <w:bCs/>
                <w:color w:val="000000"/>
                <w:sz w:val="16"/>
                <w:szCs w:val="18"/>
                <w:lang w:val="es-MX" w:eastAsia="es-MX"/>
              </w:rPr>
              <w:t>Otros Efectivos y Equivalentes</w:t>
            </w:r>
          </w:p>
        </w:tc>
        <w:tc>
          <w:tcPr>
            <w:tcW w:w="1701" w:type="dxa"/>
            <w:tcBorders>
              <w:top w:val="nil"/>
              <w:left w:val="nil"/>
              <w:bottom w:val="single" w:sz="4" w:space="0" w:color="auto"/>
              <w:right w:val="single" w:sz="4" w:space="0" w:color="auto"/>
            </w:tcBorders>
            <w:shd w:val="clear" w:color="auto" w:fill="auto"/>
            <w:noWrap/>
            <w:vAlign w:val="center"/>
            <w:hideMark/>
          </w:tcPr>
          <w:p w14:paraId="4E2A66A7" w14:textId="51421724" w:rsidR="004E3DF5" w:rsidRPr="0056239F" w:rsidRDefault="004E3DF5"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0.00</w:t>
            </w:r>
          </w:p>
        </w:tc>
        <w:tc>
          <w:tcPr>
            <w:tcW w:w="1681" w:type="dxa"/>
            <w:tcBorders>
              <w:top w:val="nil"/>
              <w:left w:val="nil"/>
              <w:bottom w:val="single" w:sz="4" w:space="0" w:color="auto"/>
              <w:right w:val="single" w:sz="4" w:space="0" w:color="auto"/>
            </w:tcBorders>
            <w:shd w:val="clear" w:color="auto" w:fill="auto"/>
            <w:noWrap/>
            <w:vAlign w:val="center"/>
            <w:hideMark/>
          </w:tcPr>
          <w:p w14:paraId="4BB10163" w14:textId="32E4C663" w:rsidR="004E3DF5" w:rsidRPr="0056239F" w:rsidRDefault="004E3DF5"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0.00</w:t>
            </w:r>
          </w:p>
        </w:tc>
      </w:tr>
      <w:tr w:rsidR="004E3DF5" w:rsidRPr="0056239F" w14:paraId="425617DB" w14:textId="77777777" w:rsidTr="00CF691F">
        <w:trPr>
          <w:trHeight w:hRule="exact" w:val="227"/>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14:paraId="6E240764" w14:textId="77777777" w:rsidR="004E3DF5" w:rsidRPr="0056239F" w:rsidRDefault="004E3DF5" w:rsidP="002F131C">
            <w:pPr>
              <w:rPr>
                <w:rFonts w:ascii="Montserrat Medium" w:eastAsia="Times New Roman" w:hAnsi="Montserrat Medium" w:cs="Calibri"/>
                <w:b/>
                <w:bCs/>
                <w:color w:val="000000"/>
                <w:sz w:val="16"/>
                <w:szCs w:val="18"/>
                <w:lang w:val="es-MX" w:eastAsia="es-MX"/>
              </w:rPr>
            </w:pPr>
            <w:r w:rsidRPr="0056239F">
              <w:rPr>
                <w:rFonts w:ascii="Montserrat Medium" w:eastAsia="Times New Roman" w:hAnsi="Montserrat Medium" w:cs="Calibri"/>
                <w:b/>
                <w:bCs/>
                <w:color w:val="000000"/>
                <w:sz w:val="16"/>
                <w:szCs w:val="18"/>
                <w:lang w:val="es-MX" w:eastAsia="es-MX"/>
              </w:rPr>
              <w:t>Total </w:t>
            </w:r>
          </w:p>
        </w:tc>
        <w:tc>
          <w:tcPr>
            <w:tcW w:w="1701" w:type="dxa"/>
            <w:tcBorders>
              <w:top w:val="nil"/>
              <w:left w:val="nil"/>
              <w:bottom w:val="single" w:sz="4" w:space="0" w:color="auto"/>
              <w:right w:val="single" w:sz="4" w:space="0" w:color="auto"/>
            </w:tcBorders>
            <w:shd w:val="clear" w:color="auto" w:fill="auto"/>
            <w:noWrap/>
            <w:vAlign w:val="center"/>
            <w:hideMark/>
          </w:tcPr>
          <w:p w14:paraId="773C673C" w14:textId="665F63FD" w:rsidR="004E3DF5" w:rsidRPr="0056239F" w:rsidRDefault="004E3DF5" w:rsidP="002F131C">
            <w:pPr>
              <w:jc w:val="right"/>
              <w:rPr>
                <w:rFonts w:ascii="Montserrat Medium" w:eastAsia="Times New Roman" w:hAnsi="Montserrat Medium" w:cs="Tahoma"/>
                <w:b/>
                <w:sz w:val="16"/>
                <w:szCs w:val="18"/>
                <w:lang w:eastAsia="en-US"/>
              </w:rPr>
            </w:pPr>
            <w:r w:rsidRPr="0056239F">
              <w:rPr>
                <w:rFonts w:ascii="Montserrat Medium" w:hAnsi="Montserrat Medium" w:cs="Calibri"/>
                <w:b/>
                <w:bCs/>
                <w:color w:val="000000"/>
                <w:sz w:val="16"/>
                <w:szCs w:val="18"/>
              </w:rPr>
              <w:t>6,970,342,831.68</w:t>
            </w:r>
          </w:p>
        </w:tc>
        <w:tc>
          <w:tcPr>
            <w:tcW w:w="1681" w:type="dxa"/>
            <w:tcBorders>
              <w:top w:val="nil"/>
              <w:left w:val="nil"/>
              <w:bottom w:val="single" w:sz="4" w:space="0" w:color="auto"/>
              <w:right w:val="single" w:sz="4" w:space="0" w:color="auto"/>
            </w:tcBorders>
            <w:shd w:val="clear" w:color="auto" w:fill="auto"/>
            <w:noWrap/>
            <w:vAlign w:val="center"/>
            <w:hideMark/>
          </w:tcPr>
          <w:p w14:paraId="635155D1" w14:textId="0F49AB8A" w:rsidR="004E3DF5" w:rsidRPr="0056239F" w:rsidRDefault="004E3DF5" w:rsidP="002F131C">
            <w:pPr>
              <w:jc w:val="right"/>
              <w:rPr>
                <w:rFonts w:ascii="Montserrat Medium" w:eastAsia="Times New Roman" w:hAnsi="Montserrat Medium" w:cs="Tahoma"/>
                <w:b/>
                <w:sz w:val="16"/>
                <w:szCs w:val="18"/>
                <w:lang w:eastAsia="en-US"/>
              </w:rPr>
            </w:pPr>
            <w:r w:rsidRPr="0056239F">
              <w:rPr>
                <w:rFonts w:ascii="Montserrat Medium" w:hAnsi="Montserrat Medium" w:cs="Calibri"/>
                <w:b/>
                <w:bCs/>
                <w:color w:val="000000"/>
                <w:sz w:val="16"/>
                <w:szCs w:val="18"/>
              </w:rPr>
              <w:t>2,957,962,093.75</w:t>
            </w:r>
          </w:p>
        </w:tc>
      </w:tr>
    </w:tbl>
    <w:p w14:paraId="77ABF777" w14:textId="77777777" w:rsidR="0056239F" w:rsidRDefault="0056239F" w:rsidP="0056239F">
      <w:pPr>
        <w:pStyle w:val="Prrafodelista"/>
        <w:ind w:left="284"/>
        <w:jc w:val="both"/>
        <w:rPr>
          <w:rFonts w:ascii="Montserrat Medium" w:eastAsia="Times New Roman" w:hAnsi="Montserrat Medium" w:cs="Arial"/>
          <w:b/>
          <w:color w:val="595959"/>
          <w:sz w:val="22"/>
          <w:szCs w:val="20"/>
          <w:lang w:eastAsia="en-US"/>
        </w:rPr>
      </w:pPr>
    </w:p>
    <w:p w14:paraId="0F669522" w14:textId="0EDF1548" w:rsidR="00A350F6" w:rsidRPr="00D56579" w:rsidRDefault="00F305E6" w:rsidP="002F131C">
      <w:pPr>
        <w:pStyle w:val="Prrafodelista"/>
        <w:numPr>
          <w:ilvl w:val="0"/>
          <w:numId w:val="32"/>
        </w:numPr>
        <w:ind w:left="284" w:hanging="284"/>
        <w:jc w:val="both"/>
        <w:rPr>
          <w:rFonts w:ascii="Montserrat Medium" w:eastAsia="Times New Roman" w:hAnsi="Montserrat Medium" w:cs="Arial"/>
          <w:b/>
          <w:color w:val="595959"/>
          <w:sz w:val="22"/>
          <w:szCs w:val="20"/>
          <w:lang w:eastAsia="en-US"/>
        </w:rPr>
      </w:pPr>
      <w:r w:rsidRPr="00D56579">
        <w:rPr>
          <w:rFonts w:ascii="Montserrat Medium" w:eastAsia="Times New Roman" w:hAnsi="Montserrat Medium" w:cs="Arial"/>
          <w:b/>
          <w:color w:val="595959"/>
          <w:sz w:val="22"/>
          <w:szCs w:val="20"/>
          <w:lang w:eastAsia="en-US"/>
        </w:rPr>
        <w:t>Detallar las adquisiciones de las Actividades de Inversión efectivamente pagadas, res</w:t>
      </w:r>
      <w:r w:rsidR="00417BFB" w:rsidRPr="00D56579">
        <w:rPr>
          <w:rFonts w:ascii="Montserrat Medium" w:eastAsia="Times New Roman" w:hAnsi="Montserrat Medium" w:cs="Arial"/>
          <w:b/>
          <w:color w:val="595959"/>
          <w:sz w:val="22"/>
          <w:szCs w:val="20"/>
          <w:lang w:eastAsia="en-US"/>
        </w:rPr>
        <w:t>pecto al apartado de aplicación</w:t>
      </w:r>
      <w:r w:rsidR="00162B9A" w:rsidRPr="00D56579">
        <w:rPr>
          <w:rFonts w:ascii="Montserrat Medium" w:eastAsia="Times New Roman" w:hAnsi="Montserrat Medium" w:cs="Arial"/>
          <w:b/>
          <w:color w:val="595959"/>
          <w:sz w:val="22"/>
          <w:szCs w:val="20"/>
          <w:lang w:eastAsia="en-US"/>
        </w:rPr>
        <w:t>.</w:t>
      </w:r>
    </w:p>
    <w:p w14:paraId="0BC07086" w14:textId="77777777" w:rsidR="00D44648" w:rsidRPr="00D56579" w:rsidRDefault="00D44648" w:rsidP="002F131C">
      <w:pPr>
        <w:pStyle w:val="Prrafodelista"/>
        <w:jc w:val="both"/>
        <w:rPr>
          <w:rFonts w:ascii="Montserrat Medium" w:eastAsia="Times New Roman" w:hAnsi="Montserrat Medium" w:cs="Arial"/>
          <w:b/>
          <w:color w:val="595959"/>
          <w:sz w:val="22"/>
          <w:szCs w:val="20"/>
          <w:lang w:eastAsia="en-US"/>
        </w:rPr>
      </w:pPr>
    </w:p>
    <w:tbl>
      <w:tblPr>
        <w:tblW w:w="8789" w:type="dxa"/>
        <w:jc w:val="center"/>
        <w:tblLayout w:type="fixed"/>
        <w:tblCellMar>
          <w:left w:w="70" w:type="dxa"/>
          <w:right w:w="70" w:type="dxa"/>
        </w:tblCellMar>
        <w:tblLook w:val="04A0" w:firstRow="1" w:lastRow="0" w:firstColumn="1" w:lastColumn="0" w:noHBand="0" w:noVBand="1"/>
      </w:tblPr>
      <w:tblGrid>
        <w:gridCol w:w="5441"/>
        <w:gridCol w:w="1765"/>
        <w:gridCol w:w="1583"/>
      </w:tblGrid>
      <w:tr w:rsidR="00E242CA" w:rsidRPr="0056239F" w14:paraId="66494571" w14:textId="77777777" w:rsidTr="006015CD">
        <w:trPr>
          <w:trHeight w:val="315"/>
          <w:tblHeader/>
          <w:jc w:val="center"/>
        </w:trPr>
        <w:tc>
          <w:tcPr>
            <w:tcW w:w="8789" w:type="dxa"/>
            <w:gridSpan w:val="3"/>
            <w:tcBorders>
              <w:top w:val="single" w:sz="8" w:space="0" w:color="auto"/>
              <w:left w:val="single" w:sz="8" w:space="0" w:color="auto"/>
              <w:bottom w:val="single" w:sz="8" w:space="0" w:color="auto"/>
              <w:right w:val="single" w:sz="8" w:space="0" w:color="000000"/>
            </w:tcBorders>
            <w:shd w:val="clear" w:color="auto" w:fill="A6A6A6" w:themeFill="background1" w:themeFillShade="A6"/>
            <w:noWrap/>
            <w:vAlign w:val="center"/>
            <w:hideMark/>
          </w:tcPr>
          <w:p w14:paraId="5AB17E5B" w14:textId="77777777" w:rsidR="00E242CA" w:rsidRPr="0056239F" w:rsidRDefault="00E242CA" w:rsidP="002F131C">
            <w:pPr>
              <w:jc w:val="center"/>
              <w:rPr>
                <w:rFonts w:ascii="Montserrat Medium" w:eastAsia="Times New Roman" w:hAnsi="Montserrat Medium" w:cs="Calibri"/>
                <w:b/>
                <w:bCs/>
                <w:color w:val="000000"/>
                <w:sz w:val="16"/>
                <w:szCs w:val="18"/>
                <w:lang w:val="es-MX" w:eastAsia="es-MX"/>
              </w:rPr>
            </w:pPr>
            <w:r w:rsidRPr="0056239F">
              <w:rPr>
                <w:rFonts w:ascii="Montserrat Medium" w:eastAsia="Times New Roman" w:hAnsi="Montserrat Medium" w:cs="Calibri"/>
                <w:b/>
                <w:bCs/>
                <w:color w:val="000000"/>
                <w:sz w:val="16"/>
                <w:szCs w:val="18"/>
                <w:lang w:eastAsia="es-MX"/>
              </w:rPr>
              <w:t>Adquisiciones de Actividades de Inversión efectivamente pagadas</w:t>
            </w:r>
          </w:p>
        </w:tc>
      </w:tr>
      <w:tr w:rsidR="00CF691F" w:rsidRPr="0056239F" w14:paraId="5D2B1104" w14:textId="77777777" w:rsidTr="0056239F">
        <w:trPr>
          <w:trHeight w:val="331"/>
          <w:tblHeader/>
          <w:jc w:val="center"/>
        </w:trPr>
        <w:tc>
          <w:tcPr>
            <w:tcW w:w="5441"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23F9FED5" w14:textId="77777777" w:rsidR="00CF691F" w:rsidRPr="0056239F" w:rsidRDefault="00CF691F" w:rsidP="002F131C">
            <w:pPr>
              <w:jc w:val="center"/>
              <w:rPr>
                <w:rFonts w:ascii="Montserrat Medium" w:eastAsia="Times New Roman" w:hAnsi="Montserrat Medium" w:cs="Calibri"/>
                <w:b/>
                <w:bCs/>
                <w:color w:val="000000"/>
                <w:sz w:val="16"/>
                <w:szCs w:val="18"/>
                <w:lang w:val="es-MX" w:eastAsia="es-MX"/>
              </w:rPr>
            </w:pPr>
            <w:r w:rsidRPr="0056239F">
              <w:rPr>
                <w:rFonts w:ascii="Montserrat Medium" w:eastAsia="Times New Roman" w:hAnsi="Montserrat Medium" w:cs="Calibri"/>
                <w:b/>
                <w:bCs/>
                <w:color w:val="000000"/>
                <w:sz w:val="16"/>
                <w:szCs w:val="18"/>
                <w:lang w:eastAsia="es-MX"/>
              </w:rPr>
              <w:t>Concepto</w:t>
            </w:r>
          </w:p>
        </w:tc>
        <w:tc>
          <w:tcPr>
            <w:tcW w:w="1765" w:type="dxa"/>
            <w:tcBorders>
              <w:top w:val="nil"/>
              <w:left w:val="nil"/>
              <w:bottom w:val="single" w:sz="8" w:space="0" w:color="auto"/>
              <w:right w:val="single" w:sz="8" w:space="0" w:color="auto"/>
            </w:tcBorders>
            <w:shd w:val="clear" w:color="auto" w:fill="BFBFBF" w:themeFill="background1" w:themeFillShade="BF"/>
            <w:vAlign w:val="center"/>
            <w:hideMark/>
          </w:tcPr>
          <w:p w14:paraId="48B1F1BE" w14:textId="202079B4" w:rsidR="00CF691F" w:rsidRPr="0056239F" w:rsidRDefault="00CF691F" w:rsidP="00C00037">
            <w:pPr>
              <w:jc w:val="center"/>
              <w:rPr>
                <w:rFonts w:ascii="Montserrat Medium" w:eastAsia="Times New Roman" w:hAnsi="Montserrat Medium" w:cs="Calibri"/>
                <w:b/>
                <w:bCs/>
                <w:color w:val="000000"/>
                <w:sz w:val="16"/>
                <w:szCs w:val="18"/>
                <w:lang w:val="es-MX" w:eastAsia="es-MX"/>
              </w:rPr>
            </w:pPr>
            <w:r w:rsidRPr="0056239F">
              <w:rPr>
                <w:rFonts w:ascii="Montserrat Medium" w:hAnsi="Montserrat Medium" w:cs="Calibri"/>
                <w:b/>
                <w:bCs/>
                <w:color w:val="000000"/>
                <w:sz w:val="16"/>
                <w:szCs w:val="18"/>
              </w:rPr>
              <w:t>Al 3</w:t>
            </w:r>
            <w:r w:rsidR="00C00037">
              <w:rPr>
                <w:rFonts w:ascii="Montserrat Medium" w:hAnsi="Montserrat Medium" w:cs="Calibri"/>
                <w:b/>
                <w:bCs/>
                <w:color w:val="000000"/>
                <w:sz w:val="16"/>
                <w:szCs w:val="18"/>
              </w:rPr>
              <w:t>0</w:t>
            </w:r>
            <w:r w:rsidRPr="0056239F">
              <w:rPr>
                <w:rFonts w:ascii="Montserrat Medium" w:hAnsi="Montserrat Medium" w:cs="Calibri"/>
                <w:b/>
                <w:bCs/>
                <w:color w:val="000000"/>
                <w:sz w:val="16"/>
                <w:szCs w:val="18"/>
              </w:rPr>
              <w:t xml:space="preserve"> de </w:t>
            </w:r>
            <w:r w:rsidR="00353F53" w:rsidRPr="0056239F">
              <w:rPr>
                <w:rFonts w:ascii="Montserrat Medium" w:hAnsi="Montserrat Medium" w:cs="Calibri"/>
                <w:b/>
                <w:bCs/>
                <w:color w:val="000000"/>
                <w:sz w:val="16"/>
                <w:szCs w:val="18"/>
              </w:rPr>
              <w:t>Junio</w:t>
            </w:r>
            <w:r w:rsidRPr="0056239F">
              <w:rPr>
                <w:rFonts w:ascii="Montserrat Medium" w:hAnsi="Montserrat Medium" w:cs="Calibri"/>
                <w:b/>
                <w:bCs/>
                <w:color w:val="000000"/>
                <w:sz w:val="16"/>
                <w:szCs w:val="18"/>
              </w:rPr>
              <w:t xml:space="preserve"> de 2025</w:t>
            </w:r>
          </w:p>
        </w:tc>
        <w:tc>
          <w:tcPr>
            <w:tcW w:w="1583" w:type="dxa"/>
            <w:tcBorders>
              <w:top w:val="nil"/>
              <w:left w:val="nil"/>
              <w:bottom w:val="single" w:sz="8" w:space="0" w:color="auto"/>
              <w:right w:val="single" w:sz="8" w:space="0" w:color="auto"/>
            </w:tcBorders>
            <w:shd w:val="clear" w:color="auto" w:fill="BFBFBF" w:themeFill="background1" w:themeFillShade="BF"/>
            <w:vAlign w:val="center"/>
            <w:hideMark/>
          </w:tcPr>
          <w:p w14:paraId="6D93E0FC" w14:textId="06DBA3EB" w:rsidR="00CF691F" w:rsidRPr="0056239F" w:rsidRDefault="00CF691F" w:rsidP="002F131C">
            <w:pPr>
              <w:jc w:val="center"/>
              <w:rPr>
                <w:rFonts w:ascii="Montserrat Medium" w:eastAsia="Times New Roman" w:hAnsi="Montserrat Medium" w:cs="Calibri"/>
                <w:b/>
                <w:bCs/>
                <w:color w:val="000000"/>
                <w:sz w:val="16"/>
                <w:szCs w:val="18"/>
                <w:lang w:val="es-MX" w:eastAsia="es-MX"/>
              </w:rPr>
            </w:pPr>
            <w:r w:rsidRPr="0056239F">
              <w:rPr>
                <w:rFonts w:ascii="Montserrat Medium" w:hAnsi="Montserrat Medium" w:cs="Calibri"/>
                <w:b/>
                <w:bCs/>
                <w:color w:val="000000"/>
                <w:sz w:val="16"/>
                <w:szCs w:val="18"/>
              </w:rPr>
              <w:t>2024</w:t>
            </w:r>
          </w:p>
        </w:tc>
      </w:tr>
      <w:tr w:rsidR="00353F53" w:rsidRPr="0056239F" w14:paraId="2BD08E84" w14:textId="77777777" w:rsidTr="0056239F">
        <w:trPr>
          <w:trHeight w:hRule="exact" w:val="266"/>
          <w:jc w:val="center"/>
        </w:trPr>
        <w:tc>
          <w:tcPr>
            <w:tcW w:w="5441" w:type="dxa"/>
            <w:tcBorders>
              <w:top w:val="nil"/>
              <w:left w:val="single" w:sz="8" w:space="0" w:color="auto"/>
              <w:bottom w:val="nil"/>
              <w:right w:val="single" w:sz="8" w:space="0" w:color="auto"/>
            </w:tcBorders>
            <w:shd w:val="clear" w:color="auto" w:fill="auto"/>
            <w:noWrap/>
            <w:vAlign w:val="bottom"/>
            <w:hideMark/>
          </w:tcPr>
          <w:p w14:paraId="5838AED4" w14:textId="77777777" w:rsidR="00353F53" w:rsidRPr="0056239F" w:rsidRDefault="00353F53" w:rsidP="002F131C">
            <w:pPr>
              <w:rPr>
                <w:rFonts w:ascii="Montserrat Medium" w:eastAsia="Times New Roman" w:hAnsi="Montserrat Medium" w:cs="Calibri"/>
                <w:b/>
                <w:bCs/>
                <w:color w:val="000000"/>
                <w:sz w:val="16"/>
                <w:szCs w:val="18"/>
                <w:lang w:val="es-MX" w:eastAsia="es-MX"/>
              </w:rPr>
            </w:pPr>
            <w:r w:rsidRPr="0056239F">
              <w:rPr>
                <w:rFonts w:ascii="Montserrat Medium" w:eastAsia="Times New Roman" w:hAnsi="Montserrat Medium" w:cs="Calibri"/>
                <w:b/>
                <w:bCs/>
                <w:color w:val="000000"/>
                <w:sz w:val="16"/>
                <w:szCs w:val="18"/>
                <w:lang w:val="es-MX" w:eastAsia="es-MX"/>
              </w:rPr>
              <w:t>Bienes Inmuebles, Infraestructura y Construcciones en Proceso</w:t>
            </w:r>
          </w:p>
        </w:tc>
        <w:tc>
          <w:tcPr>
            <w:tcW w:w="1765" w:type="dxa"/>
            <w:tcBorders>
              <w:top w:val="nil"/>
              <w:left w:val="nil"/>
              <w:bottom w:val="nil"/>
              <w:right w:val="single" w:sz="8" w:space="0" w:color="auto"/>
            </w:tcBorders>
            <w:shd w:val="clear" w:color="auto" w:fill="auto"/>
            <w:vAlign w:val="center"/>
            <w:hideMark/>
          </w:tcPr>
          <w:p w14:paraId="08F3058E" w14:textId="2290BFF4" w:rsidR="00353F53" w:rsidRPr="0056239F" w:rsidRDefault="00353F53" w:rsidP="002F131C">
            <w:pPr>
              <w:jc w:val="right"/>
              <w:rPr>
                <w:rFonts w:ascii="Montserrat Medium" w:eastAsia="Times New Roman" w:hAnsi="Montserrat Medium" w:cs="Calibri"/>
                <w:b/>
                <w:bCs/>
                <w:color w:val="000000"/>
                <w:sz w:val="16"/>
                <w:szCs w:val="18"/>
                <w:lang w:val="es-MX" w:eastAsia="es-MX"/>
              </w:rPr>
            </w:pPr>
            <w:r w:rsidRPr="0056239F">
              <w:rPr>
                <w:rFonts w:ascii="Montserrat Medium" w:hAnsi="Montserrat Medium" w:cs="Calibri"/>
                <w:b/>
                <w:bCs/>
                <w:color w:val="000000"/>
                <w:sz w:val="16"/>
                <w:szCs w:val="18"/>
              </w:rPr>
              <w:t>34,091,468.57</w:t>
            </w:r>
          </w:p>
        </w:tc>
        <w:tc>
          <w:tcPr>
            <w:tcW w:w="1583" w:type="dxa"/>
            <w:tcBorders>
              <w:top w:val="nil"/>
              <w:left w:val="nil"/>
              <w:bottom w:val="nil"/>
              <w:right w:val="single" w:sz="8" w:space="0" w:color="auto"/>
            </w:tcBorders>
            <w:shd w:val="clear" w:color="auto" w:fill="auto"/>
            <w:vAlign w:val="center"/>
            <w:hideMark/>
          </w:tcPr>
          <w:p w14:paraId="6E28BC66" w14:textId="6C401859" w:rsidR="00353F53" w:rsidRPr="0056239F" w:rsidRDefault="00353F53" w:rsidP="002F131C">
            <w:pPr>
              <w:jc w:val="right"/>
              <w:rPr>
                <w:rFonts w:ascii="Montserrat Medium" w:eastAsia="Times New Roman" w:hAnsi="Montserrat Medium" w:cs="Calibri"/>
                <w:b/>
                <w:bCs/>
                <w:color w:val="000000"/>
                <w:sz w:val="16"/>
                <w:szCs w:val="18"/>
                <w:lang w:val="es-MX" w:eastAsia="es-MX"/>
              </w:rPr>
            </w:pPr>
            <w:r w:rsidRPr="0056239F">
              <w:rPr>
                <w:rFonts w:ascii="Montserrat Medium" w:hAnsi="Montserrat Medium" w:cs="Calibri"/>
                <w:b/>
                <w:bCs/>
                <w:color w:val="000000"/>
                <w:sz w:val="16"/>
                <w:szCs w:val="18"/>
              </w:rPr>
              <w:t>458,237,401.79</w:t>
            </w:r>
          </w:p>
        </w:tc>
      </w:tr>
      <w:tr w:rsidR="00353F53" w:rsidRPr="0056239F" w14:paraId="79AC5092" w14:textId="77777777" w:rsidTr="00CF691F">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7AF8225C" w14:textId="77777777" w:rsidR="00353F53" w:rsidRPr="0056239F" w:rsidRDefault="00353F53" w:rsidP="002F131C">
            <w:pPr>
              <w:rPr>
                <w:rFonts w:ascii="Montserrat Medium" w:eastAsia="Times New Roman" w:hAnsi="Montserrat Medium" w:cs="Calibri"/>
                <w:color w:val="000000"/>
                <w:sz w:val="16"/>
                <w:szCs w:val="18"/>
                <w:lang w:val="es-MX" w:eastAsia="es-MX"/>
              </w:rPr>
            </w:pPr>
            <w:r w:rsidRPr="0056239F">
              <w:rPr>
                <w:rFonts w:ascii="Montserrat Medium" w:eastAsia="Times New Roman" w:hAnsi="Montserrat Medium" w:cs="Calibri"/>
                <w:color w:val="000000"/>
                <w:sz w:val="16"/>
                <w:szCs w:val="18"/>
                <w:lang w:eastAsia="es-MX"/>
              </w:rPr>
              <w:t>Terrenos</w:t>
            </w:r>
          </w:p>
        </w:tc>
        <w:tc>
          <w:tcPr>
            <w:tcW w:w="1765" w:type="dxa"/>
            <w:tcBorders>
              <w:top w:val="nil"/>
              <w:left w:val="nil"/>
              <w:bottom w:val="nil"/>
              <w:right w:val="single" w:sz="8" w:space="0" w:color="auto"/>
            </w:tcBorders>
            <w:shd w:val="clear" w:color="auto" w:fill="auto"/>
            <w:vAlign w:val="center"/>
            <w:hideMark/>
          </w:tcPr>
          <w:p w14:paraId="1C4B1D68" w14:textId="4DE319A1" w:rsidR="00353F53" w:rsidRPr="0056239F" w:rsidRDefault="00353F53" w:rsidP="002F131C">
            <w:pPr>
              <w:jc w:val="right"/>
              <w:rPr>
                <w:rFonts w:ascii="Montserrat Medium" w:eastAsia="Times New Roman" w:hAnsi="Montserrat Medium" w:cs="Calibri"/>
                <w:color w:val="000000"/>
                <w:sz w:val="16"/>
                <w:szCs w:val="18"/>
                <w:lang w:val="es-MX" w:eastAsia="es-MX"/>
              </w:rPr>
            </w:pPr>
            <w:r w:rsidRPr="0056239F">
              <w:rPr>
                <w:rFonts w:ascii="Montserrat Medium" w:hAnsi="Montserrat Medium" w:cs="Calibri"/>
                <w:color w:val="000000"/>
                <w:sz w:val="16"/>
                <w:szCs w:val="18"/>
              </w:rPr>
              <w:t>7,639,136.96</w:t>
            </w:r>
          </w:p>
        </w:tc>
        <w:tc>
          <w:tcPr>
            <w:tcW w:w="1583" w:type="dxa"/>
            <w:tcBorders>
              <w:top w:val="nil"/>
              <w:left w:val="nil"/>
              <w:bottom w:val="nil"/>
              <w:right w:val="single" w:sz="8" w:space="0" w:color="auto"/>
            </w:tcBorders>
            <w:shd w:val="clear" w:color="auto" w:fill="auto"/>
            <w:vAlign w:val="center"/>
            <w:hideMark/>
          </w:tcPr>
          <w:p w14:paraId="08B3ED89" w14:textId="05157EC9" w:rsidR="00353F53" w:rsidRPr="0056239F" w:rsidRDefault="00353F53" w:rsidP="002F131C">
            <w:pPr>
              <w:jc w:val="right"/>
              <w:rPr>
                <w:rFonts w:ascii="Montserrat Medium" w:eastAsia="Times New Roman" w:hAnsi="Montserrat Medium" w:cs="Calibri"/>
                <w:color w:val="000000"/>
                <w:sz w:val="16"/>
                <w:szCs w:val="18"/>
                <w:lang w:val="es-MX" w:eastAsia="es-MX"/>
              </w:rPr>
            </w:pPr>
            <w:r w:rsidRPr="0056239F">
              <w:rPr>
                <w:rFonts w:ascii="Montserrat Medium" w:hAnsi="Montserrat Medium" w:cs="Calibri"/>
                <w:color w:val="000000"/>
                <w:sz w:val="16"/>
                <w:szCs w:val="18"/>
              </w:rPr>
              <w:t>0.00</w:t>
            </w:r>
          </w:p>
        </w:tc>
      </w:tr>
      <w:tr w:rsidR="00353F53" w:rsidRPr="0056239F" w14:paraId="04C79FF2" w14:textId="77777777" w:rsidTr="00CF691F">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629BECE5" w14:textId="77777777" w:rsidR="00353F53" w:rsidRPr="0056239F" w:rsidRDefault="00353F53" w:rsidP="002F131C">
            <w:pPr>
              <w:rPr>
                <w:rFonts w:ascii="Montserrat Medium" w:eastAsia="Times New Roman" w:hAnsi="Montserrat Medium" w:cs="Calibri"/>
                <w:color w:val="000000"/>
                <w:sz w:val="16"/>
                <w:szCs w:val="18"/>
                <w:lang w:val="es-MX" w:eastAsia="es-MX"/>
              </w:rPr>
            </w:pPr>
            <w:r w:rsidRPr="0056239F">
              <w:rPr>
                <w:rFonts w:ascii="Montserrat Medium" w:eastAsia="Times New Roman" w:hAnsi="Montserrat Medium" w:cs="Calibri"/>
                <w:color w:val="000000"/>
                <w:sz w:val="16"/>
                <w:szCs w:val="18"/>
                <w:lang w:val="es-MX" w:eastAsia="es-MX"/>
              </w:rPr>
              <w:t>Viviendas</w:t>
            </w:r>
          </w:p>
        </w:tc>
        <w:tc>
          <w:tcPr>
            <w:tcW w:w="1765" w:type="dxa"/>
            <w:tcBorders>
              <w:top w:val="nil"/>
              <w:left w:val="nil"/>
              <w:bottom w:val="nil"/>
              <w:right w:val="single" w:sz="8" w:space="0" w:color="auto"/>
            </w:tcBorders>
            <w:shd w:val="clear" w:color="auto" w:fill="auto"/>
            <w:vAlign w:val="center"/>
            <w:hideMark/>
          </w:tcPr>
          <w:p w14:paraId="12DBF0C6" w14:textId="6E92A23A" w:rsidR="00353F53" w:rsidRPr="0056239F" w:rsidRDefault="00353F53" w:rsidP="002F131C">
            <w:pPr>
              <w:jc w:val="right"/>
              <w:rPr>
                <w:rFonts w:ascii="Montserrat Medium" w:eastAsia="Times New Roman" w:hAnsi="Montserrat Medium" w:cs="Calibri"/>
                <w:color w:val="000000"/>
                <w:sz w:val="16"/>
                <w:szCs w:val="18"/>
                <w:lang w:val="es-MX" w:eastAsia="es-MX"/>
              </w:rPr>
            </w:pPr>
            <w:r w:rsidRPr="0056239F">
              <w:rPr>
                <w:rFonts w:ascii="Montserrat Medium" w:hAnsi="Montserrat Medium" w:cs="Calibri"/>
                <w:color w:val="000000"/>
                <w:sz w:val="16"/>
                <w:szCs w:val="18"/>
              </w:rPr>
              <w:t>0.00</w:t>
            </w:r>
          </w:p>
        </w:tc>
        <w:tc>
          <w:tcPr>
            <w:tcW w:w="1583" w:type="dxa"/>
            <w:tcBorders>
              <w:top w:val="nil"/>
              <w:left w:val="nil"/>
              <w:bottom w:val="nil"/>
              <w:right w:val="single" w:sz="8" w:space="0" w:color="auto"/>
            </w:tcBorders>
            <w:shd w:val="clear" w:color="auto" w:fill="auto"/>
            <w:vAlign w:val="center"/>
            <w:hideMark/>
          </w:tcPr>
          <w:p w14:paraId="1AB09EC5" w14:textId="020EB08E" w:rsidR="00353F53" w:rsidRPr="0056239F" w:rsidRDefault="00353F53" w:rsidP="002F131C">
            <w:pPr>
              <w:jc w:val="right"/>
              <w:rPr>
                <w:rFonts w:ascii="Montserrat Medium" w:eastAsia="Times New Roman" w:hAnsi="Montserrat Medium" w:cs="Calibri"/>
                <w:color w:val="000000"/>
                <w:sz w:val="16"/>
                <w:szCs w:val="18"/>
                <w:lang w:val="es-MX" w:eastAsia="es-MX"/>
              </w:rPr>
            </w:pPr>
            <w:r w:rsidRPr="0056239F">
              <w:rPr>
                <w:rFonts w:ascii="Montserrat Medium" w:hAnsi="Montserrat Medium" w:cs="Calibri"/>
                <w:color w:val="000000"/>
                <w:sz w:val="16"/>
                <w:szCs w:val="18"/>
              </w:rPr>
              <w:t>0.00</w:t>
            </w:r>
          </w:p>
        </w:tc>
      </w:tr>
      <w:tr w:rsidR="00353F53" w:rsidRPr="0056239F" w14:paraId="16B78BFB" w14:textId="77777777" w:rsidTr="00CF691F">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794FB91D" w14:textId="77777777" w:rsidR="00353F53" w:rsidRPr="0056239F" w:rsidRDefault="00353F53" w:rsidP="002F131C">
            <w:pPr>
              <w:rPr>
                <w:rFonts w:ascii="Montserrat Medium" w:eastAsia="Times New Roman" w:hAnsi="Montserrat Medium" w:cs="Calibri"/>
                <w:color w:val="000000"/>
                <w:sz w:val="16"/>
                <w:szCs w:val="18"/>
                <w:lang w:val="es-MX" w:eastAsia="es-MX"/>
              </w:rPr>
            </w:pPr>
            <w:r w:rsidRPr="0056239F">
              <w:rPr>
                <w:rFonts w:ascii="Montserrat Medium" w:eastAsia="Times New Roman" w:hAnsi="Montserrat Medium" w:cs="Calibri"/>
                <w:color w:val="000000"/>
                <w:sz w:val="16"/>
                <w:szCs w:val="18"/>
                <w:lang w:eastAsia="es-MX"/>
              </w:rPr>
              <w:t>Edificios no Habitacionales</w:t>
            </w:r>
          </w:p>
        </w:tc>
        <w:tc>
          <w:tcPr>
            <w:tcW w:w="1765" w:type="dxa"/>
            <w:tcBorders>
              <w:top w:val="nil"/>
              <w:left w:val="nil"/>
              <w:bottom w:val="nil"/>
              <w:right w:val="single" w:sz="8" w:space="0" w:color="auto"/>
            </w:tcBorders>
            <w:shd w:val="clear" w:color="auto" w:fill="auto"/>
            <w:vAlign w:val="center"/>
            <w:hideMark/>
          </w:tcPr>
          <w:p w14:paraId="027D8234" w14:textId="16B29F87" w:rsidR="00353F53" w:rsidRPr="0056239F" w:rsidRDefault="00353F53" w:rsidP="002F131C">
            <w:pPr>
              <w:jc w:val="right"/>
              <w:rPr>
                <w:rFonts w:ascii="Montserrat Medium" w:eastAsia="Times New Roman" w:hAnsi="Montserrat Medium" w:cs="Calibri"/>
                <w:color w:val="000000"/>
                <w:sz w:val="16"/>
                <w:szCs w:val="18"/>
                <w:lang w:val="es-MX" w:eastAsia="es-MX"/>
              </w:rPr>
            </w:pPr>
            <w:r w:rsidRPr="0056239F">
              <w:rPr>
                <w:rFonts w:ascii="Montserrat Medium" w:hAnsi="Montserrat Medium" w:cs="Calibri"/>
                <w:color w:val="000000"/>
                <w:sz w:val="16"/>
                <w:szCs w:val="18"/>
              </w:rPr>
              <w:t>143,232,222.05</w:t>
            </w:r>
          </w:p>
        </w:tc>
        <w:tc>
          <w:tcPr>
            <w:tcW w:w="1583" w:type="dxa"/>
            <w:tcBorders>
              <w:top w:val="nil"/>
              <w:left w:val="nil"/>
              <w:bottom w:val="nil"/>
              <w:right w:val="single" w:sz="8" w:space="0" w:color="auto"/>
            </w:tcBorders>
            <w:shd w:val="clear" w:color="auto" w:fill="auto"/>
            <w:vAlign w:val="center"/>
            <w:hideMark/>
          </w:tcPr>
          <w:p w14:paraId="23F8B153" w14:textId="6097D209" w:rsidR="00353F53" w:rsidRPr="0056239F" w:rsidRDefault="00353F53" w:rsidP="002F131C">
            <w:pPr>
              <w:jc w:val="right"/>
              <w:rPr>
                <w:rFonts w:ascii="Montserrat Medium" w:eastAsia="Times New Roman" w:hAnsi="Montserrat Medium" w:cs="Calibri"/>
                <w:color w:val="000000"/>
                <w:sz w:val="16"/>
                <w:szCs w:val="18"/>
                <w:lang w:val="es-MX" w:eastAsia="es-MX"/>
              </w:rPr>
            </w:pPr>
            <w:r w:rsidRPr="0056239F">
              <w:rPr>
                <w:rFonts w:ascii="Montserrat Medium" w:hAnsi="Montserrat Medium" w:cs="Calibri"/>
                <w:color w:val="000000"/>
                <w:sz w:val="16"/>
                <w:szCs w:val="18"/>
              </w:rPr>
              <w:t>0.00</w:t>
            </w:r>
          </w:p>
        </w:tc>
      </w:tr>
      <w:tr w:rsidR="00353F53" w:rsidRPr="0056239F" w14:paraId="5EDF4912" w14:textId="77777777" w:rsidTr="00CF691F">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1A81E9F6" w14:textId="77777777" w:rsidR="00353F53" w:rsidRPr="0056239F" w:rsidRDefault="00353F53" w:rsidP="002F131C">
            <w:pPr>
              <w:rPr>
                <w:rFonts w:ascii="Montserrat Medium" w:eastAsia="Times New Roman" w:hAnsi="Montserrat Medium" w:cs="Calibri"/>
                <w:color w:val="000000"/>
                <w:sz w:val="16"/>
                <w:szCs w:val="18"/>
                <w:lang w:val="es-MX" w:eastAsia="es-MX"/>
              </w:rPr>
            </w:pPr>
            <w:r w:rsidRPr="0056239F">
              <w:rPr>
                <w:rFonts w:ascii="Montserrat Medium" w:eastAsia="Times New Roman" w:hAnsi="Montserrat Medium" w:cs="Calibri"/>
                <w:color w:val="000000"/>
                <w:sz w:val="16"/>
                <w:szCs w:val="18"/>
                <w:lang w:eastAsia="es-MX"/>
              </w:rPr>
              <w:t>Infraestructura</w:t>
            </w:r>
          </w:p>
        </w:tc>
        <w:tc>
          <w:tcPr>
            <w:tcW w:w="1765" w:type="dxa"/>
            <w:tcBorders>
              <w:top w:val="nil"/>
              <w:left w:val="nil"/>
              <w:bottom w:val="nil"/>
              <w:right w:val="single" w:sz="8" w:space="0" w:color="auto"/>
            </w:tcBorders>
            <w:shd w:val="clear" w:color="auto" w:fill="auto"/>
            <w:vAlign w:val="center"/>
            <w:hideMark/>
          </w:tcPr>
          <w:p w14:paraId="04F94AAD" w14:textId="2DA81A7F" w:rsidR="00353F53" w:rsidRPr="0056239F" w:rsidRDefault="00353F53" w:rsidP="002F131C">
            <w:pPr>
              <w:jc w:val="right"/>
              <w:rPr>
                <w:rFonts w:ascii="Montserrat Medium" w:eastAsia="Times New Roman" w:hAnsi="Montserrat Medium" w:cs="Calibri"/>
                <w:color w:val="000000"/>
                <w:sz w:val="16"/>
                <w:szCs w:val="18"/>
                <w:lang w:val="es-MX" w:eastAsia="es-MX"/>
              </w:rPr>
            </w:pPr>
            <w:r w:rsidRPr="0056239F">
              <w:rPr>
                <w:rFonts w:ascii="Montserrat Medium" w:hAnsi="Montserrat Medium" w:cs="Calibri"/>
                <w:color w:val="000000"/>
                <w:sz w:val="16"/>
                <w:szCs w:val="18"/>
              </w:rPr>
              <w:t>0.00</w:t>
            </w:r>
          </w:p>
        </w:tc>
        <w:tc>
          <w:tcPr>
            <w:tcW w:w="1583" w:type="dxa"/>
            <w:tcBorders>
              <w:top w:val="nil"/>
              <w:left w:val="nil"/>
              <w:bottom w:val="nil"/>
              <w:right w:val="single" w:sz="8" w:space="0" w:color="auto"/>
            </w:tcBorders>
            <w:shd w:val="clear" w:color="auto" w:fill="auto"/>
            <w:vAlign w:val="center"/>
            <w:hideMark/>
          </w:tcPr>
          <w:p w14:paraId="6AB28D30" w14:textId="2D314DFF" w:rsidR="00353F53" w:rsidRPr="0056239F" w:rsidRDefault="00353F53" w:rsidP="002F131C">
            <w:pPr>
              <w:jc w:val="right"/>
              <w:rPr>
                <w:rFonts w:ascii="Montserrat Medium" w:eastAsia="Times New Roman" w:hAnsi="Montserrat Medium" w:cs="Calibri"/>
                <w:color w:val="000000"/>
                <w:sz w:val="16"/>
                <w:szCs w:val="18"/>
                <w:lang w:val="es-MX" w:eastAsia="es-MX"/>
              </w:rPr>
            </w:pPr>
            <w:r w:rsidRPr="0056239F">
              <w:rPr>
                <w:rFonts w:ascii="Montserrat Medium" w:hAnsi="Montserrat Medium" w:cs="Calibri"/>
                <w:color w:val="000000"/>
                <w:sz w:val="16"/>
                <w:szCs w:val="18"/>
              </w:rPr>
              <w:t>0.00</w:t>
            </w:r>
          </w:p>
        </w:tc>
      </w:tr>
      <w:tr w:rsidR="00353F53" w:rsidRPr="0056239F" w14:paraId="65A97547" w14:textId="77777777" w:rsidTr="00CF691F">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37032130" w14:textId="77777777" w:rsidR="00353F53" w:rsidRPr="0056239F" w:rsidRDefault="00353F53" w:rsidP="002F131C">
            <w:pPr>
              <w:rPr>
                <w:rFonts w:ascii="Montserrat Medium" w:eastAsia="Times New Roman" w:hAnsi="Montserrat Medium" w:cs="Calibri"/>
                <w:color w:val="000000"/>
                <w:sz w:val="16"/>
                <w:szCs w:val="18"/>
                <w:lang w:val="es-MX" w:eastAsia="es-MX"/>
              </w:rPr>
            </w:pPr>
            <w:r w:rsidRPr="0056239F">
              <w:rPr>
                <w:rFonts w:ascii="Montserrat Medium" w:eastAsia="Times New Roman" w:hAnsi="Montserrat Medium" w:cs="Calibri"/>
                <w:color w:val="000000"/>
                <w:sz w:val="16"/>
                <w:szCs w:val="18"/>
                <w:lang w:eastAsia="es-MX"/>
              </w:rPr>
              <w:t>Construcciones en Proceso en Bienes de Dominio Público</w:t>
            </w:r>
          </w:p>
        </w:tc>
        <w:tc>
          <w:tcPr>
            <w:tcW w:w="1765" w:type="dxa"/>
            <w:tcBorders>
              <w:top w:val="nil"/>
              <w:left w:val="nil"/>
              <w:bottom w:val="nil"/>
              <w:right w:val="single" w:sz="8" w:space="0" w:color="auto"/>
            </w:tcBorders>
            <w:shd w:val="clear" w:color="auto" w:fill="auto"/>
            <w:vAlign w:val="center"/>
            <w:hideMark/>
          </w:tcPr>
          <w:p w14:paraId="0E1D0CA0" w14:textId="09366832" w:rsidR="00353F53" w:rsidRPr="0056239F" w:rsidRDefault="00353F53" w:rsidP="002F131C">
            <w:pPr>
              <w:jc w:val="right"/>
              <w:rPr>
                <w:rFonts w:ascii="Montserrat Medium" w:eastAsia="Times New Roman" w:hAnsi="Montserrat Medium" w:cs="Calibri"/>
                <w:color w:val="000000"/>
                <w:sz w:val="16"/>
                <w:szCs w:val="18"/>
                <w:lang w:eastAsia="es-MX"/>
              </w:rPr>
            </w:pPr>
            <w:r w:rsidRPr="0056239F">
              <w:rPr>
                <w:rFonts w:ascii="Montserrat Medium" w:hAnsi="Montserrat Medium" w:cs="Calibri"/>
                <w:color w:val="000000"/>
                <w:sz w:val="16"/>
                <w:szCs w:val="18"/>
              </w:rPr>
              <w:t>-215,998,343.95</w:t>
            </w:r>
          </w:p>
        </w:tc>
        <w:tc>
          <w:tcPr>
            <w:tcW w:w="1583" w:type="dxa"/>
            <w:tcBorders>
              <w:top w:val="nil"/>
              <w:left w:val="nil"/>
              <w:bottom w:val="nil"/>
              <w:right w:val="single" w:sz="8" w:space="0" w:color="auto"/>
            </w:tcBorders>
            <w:shd w:val="clear" w:color="auto" w:fill="auto"/>
            <w:vAlign w:val="center"/>
            <w:hideMark/>
          </w:tcPr>
          <w:p w14:paraId="0B7A15F8" w14:textId="5876823F" w:rsidR="00353F53" w:rsidRPr="0056239F" w:rsidRDefault="00353F53" w:rsidP="002F131C">
            <w:pPr>
              <w:jc w:val="right"/>
              <w:rPr>
                <w:rFonts w:ascii="Montserrat Medium" w:eastAsia="Times New Roman" w:hAnsi="Montserrat Medium" w:cs="Calibri"/>
                <w:color w:val="000000"/>
                <w:sz w:val="16"/>
                <w:szCs w:val="18"/>
                <w:lang w:eastAsia="es-MX"/>
              </w:rPr>
            </w:pPr>
            <w:r w:rsidRPr="0056239F">
              <w:rPr>
                <w:rFonts w:ascii="Montserrat Medium" w:hAnsi="Montserrat Medium" w:cs="Calibri"/>
                <w:color w:val="000000"/>
                <w:sz w:val="16"/>
                <w:szCs w:val="18"/>
              </w:rPr>
              <w:t>318,339,921.89</w:t>
            </w:r>
          </w:p>
        </w:tc>
      </w:tr>
      <w:tr w:rsidR="00353F53" w:rsidRPr="0056239F" w14:paraId="66F91023" w14:textId="77777777" w:rsidTr="00CF691F">
        <w:trPr>
          <w:trHeight w:hRule="exact" w:val="227"/>
          <w:jc w:val="center"/>
        </w:trPr>
        <w:tc>
          <w:tcPr>
            <w:tcW w:w="5441" w:type="dxa"/>
            <w:tcBorders>
              <w:top w:val="nil"/>
              <w:left w:val="single" w:sz="8" w:space="0" w:color="auto"/>
              <w:right w:val="single" w:sz="8" w:space="0" w:color="auto"/>
            </w:tcBorders>
            <w:shd w:val="clear" w:color="auto" w:fill="auto"/>
            <w:noWrap/>
            <w:vAlign w:val="bottom"/>
            <w:hideMark/>
          </w:tcPr>
          <w:p w14:paraId="310508C0" w14:textId="77777777" w:rsidR="00353F53" w:rsidRPr="0056239F" w:rsidRDefault="00353F53" w:rsidP="002F131C">
            <w:pPr>
              <w:rPr>
                <w:rFonts w:ascii="Montserrat Medium" w:eastAsia="Times New Roman" w:hAnsi="Montserrat Medium" w:cs="Calibri"/>
                <w:color w:val="000000"/>
                <w:sz w:val="16"/>
                <w:szCs w:val="18"/>
                <w:lang w:val="es-MX" w:eastAsia="es-MX"/>
              </w:rPr>
            </w:pPr>
            <w:r w:rsidRPr="0056239F">
              <w:rPr>
                <w:rFonts w:ascii="Montserrat Medium" w:eastAsia="Times New Roman" w:hAnsi="Montserrat Medium" w:cs="Calibri"/>
                <w:color w:val="000000"/>
                <w:sz w:val="16"/>
                <w:szCs w:val="18"/>
                <w:lang w:eastAsia="es-MX"/>
              </w:rPr>
              <w:t>Construcciones en Proceso en Bienes Propios</w:t>
            </w:r>
          </w:p>
        </w:tc>
        <w:tc>
          <w:tcPr>
            <w:tcW w:w="1765" w:type="dxa"/>
            <w:tcBorders>
              <w:top w:val="nil"/>
              <w:left w:val="nil"/>
              <w:right w:val="single" w:sz="8" w:space="0" w:color="auto"/>
            </w:tcBorders>
            <w:shd w:val="clear" w:color="auto" w:fill="auto"/>
            <w:vAlign w:val="center"/>
            <w:hideMark/>
          </w:tcPr>
          <w:p w14:paraId="292D6D11" w14:textId="722958C0" w:rsidR="00353F53" w:rsidRPr="0056239F" w:rsidRDefault="00353F53" w:rsidP="002F131C">
            <w:pPr>
              <w:jc w:val="right"/>
              <w:rPr>
                <w:rFonts w:ascii="Montserrat Medium" w:eastAsia="Times New Roman" w:hAnsi="Montserrat Medium" w:cs="Calibri"/>
                <w:color w:val="000000"/>
                <w:sz w:val="16"/>
                <w:szCs w:val="18"/>
                <w:lang w:eastAsia="es-MX"/>
              </w:rPr>
            </w:pPr>
            <w:r w:rsidRPr="0056239F">
              <w:rPr>
                <w:rFonts w:ascii="Montserrat Medium" w:hAnsi="Montserrat Medium" w:cs="Calibri"/>
                <w:color w:val="000000"/>
                <w:sz w:val="16"/>
                <w:szCs w:val="18"/>
              </w:rPr>
              <w:t>99,218,453.51</w:t>
            </w:r>
          </w:p>
        </w:tc>
        <w:tc>
          <w:tcPr>
            <w:tcW w:w="1583" w:type="dxa"/>
            <w:tcBorders>
              <w:top w:val="nil"/>
              <w:left w:val="nil"/>
              <w:right w:val="single" w:sz="8" w:space="0" w:color="auto"/>
            </w:tcBorders>
            <w:shd w:val="clear" w:color="auto" w:fill="auto"/>
            <w:vAlign w:val="center"/>
            <w:hideMark/>
          </w:tcPr>
          <w:p w14:paraId="4EBDEB4F" w14:textId="22B731CC" w:rsidR="00353F53" w:rsidRPr="0056239F" w:rsidRDefault="00353F53" w:rsidP="002F131C">
            <w:pPr>
              <w:jc w:val="right"/>
              <w:rPr>
                <w:rFonts w:ascii="Montserrat Medium" w:eastAsia="Times New Roman" w:hAnsi="Montserrat Medium" w:cs="Calibri"/>
                <w:color w:val="000000"/>
                <w:sz w:val="16"/>
                <w:szCs w:val="18"/>
                <w:lang w:eastAsia="es-MX"/>
              </w:rPr>
            </w:pPr>
            <w:r w:rsidRPr="0056239F">
              <w:rPr>
                <w:rFonts w:ascii="Montserrat Medium" w:hAnsi="Montserrat Medium" w:cs="Calibri"/>
                <w:color w:val="000000"/>
                <w:sz w:val="16"/>
                <w:szCs w:val="18"/>
              </w:rPr>
              <w:t>139,897,479.90</w:t>
            </w:r>
          </w:p>
        </w:tc>
      </w:tr>
      <w:tr w:rsidR="00353F53" w:rsidRPr="0056239F" w14:paraId="42341F2F" w14:textId="77777777" w:rsidTr="00CF691F">
        <w:trPr>
          <w:trHeight w:hRule="exact" w:val="227"/>
          <w:jc w:val="center"/>
        </w:trPr>
        <w:tc>
          <w:tcPr>
            <w:tcW w:w="5441" w:type="dxa"/>
            <w:tcBorders>
              <w:top w:val="nil"/>
              <w:left w:val="single" w:sz="8" w:space="0" w:color="auto"/>
              <w:right w:val="single" w:sz="8" w:space="0" w:color="auto"/>
            </w:tcBorders>
            <w:shd w:val="clear" w:color="auto" w:fill="auto"/>
            <w:noWrap/>
            <w:vAlign w:val="bottom"/>
            <w:hideMark/>
          </w:tcPr>
          <w:p w14:paraId="7BECF1C4" w14:textId="77777777" w:rsidR="00353F53" w:rsidRPr="0056239F" w:rsidRDefault="00353F53" w:rsidP="002F131C">
            <w:pPr>
              <w:rPr>
                <w:rFonts w:ascii="Montserrat Medium" w:eastAsia="Times New Roman" w:hAnsi="Montserrat Medium" w:cs="Calibri"/>
                <w:color w:val="000000"/>
                <w:sz w:val="16"/>
                <w:szCs w:val="18"/>
                <w:lang w:val="es-MX" w:eastAsia="es-MX"/>
              </w:rPr>
            </w:pPr>
            <w:r w:rsidRPr="0056239F">
              <w:rPr>
                <w:rFonts w:ascii="Montserrat Medium" w:eastAsia="Times New Roman" w:hAnsi="Montserrat Medium" w:cs="Calibri"/>
                <w:color w:val="000000"/>
                <w:sz w:val="16"/>
                <w:szCs w:val="18"/>
                <w:lang w:eastAsia="es-MX"/>
              </w:rPr>
              <w:t>Otros Bienes Inmuebles</w:t>
            </w:r>
          </w:p>
        </w:tc>
        <w:tc>
          <w:tcPr>
            <w:tcW w:w="1765" w:type="dxa"/>
            <w:tcBorders>
              <w:top w:val="nil"/>
              <w:left w:val="nil"/>
              <w:right w:val="single" w:sz="8" w:space="0" w:color="auto"/>
            </w:tcBorders>
            <w:shd w:val="clear" w:color="auto" w:fill="auto"/>
            <w:vAlign w:val="center"/>
            <w:hideMark/>
          </w:tcPr>
          <w:p w14:paraId="4C03F15A" w14:textId="7DFE6051" w:rsidR="00353F53" w:rsidRPr="0056239F" w:rsidRDefault="00353F53" w:rsidP="002F131C">
            <w:pPr>
              <w:jc w:val="right"/>
              <w:rPr>
                <w:rFonts w:ascii="Montserrat Medium" w:eastAsia="Times New Roman" w:hAnsi="Montserrat Medium" w:cs="Calibri"/>
                <w:color w:val="000000"/>
                <w:sz w:val="16"/>
                <w:szCs w:val="18"/>
                <w:lang w:val="es-MX" w:eastAsia="es-MX"/>
              </w:rPr>
            </w:pPr>
            <w:r w:rsidRPr="0056239F">
              <w:rPr>
                <w:rFonts w:ascii="Montserrat Medium" w:hAnsi="Montserrat Medium" w:cs="Calibri"/>
                <w:color w:val="000000"/>
                <w:sz w:val="16"/>
                <w:szCs w:val="18"/>
              </w:rPr>
              <w:t>0.00</w:t>
            </w:r>
          </w:p>
        </w:tc>
        <w:tc>
          <w:tcPr>
            <w:tcW w:w="1583" w:type="dxa"/>
            <w:tcBorders>
              <w:top w:val="nil"/>
              <w:left w:val="nil"/>
              <w:right w:val="single" w:sz="8" w:space="0" w:color="auto"/>
            </w:tcBorders>
            <w:shd w:val="clear" w:color="auto" w:fill="auto"/>
            <w:vAlign w:val="center"/>
            <w:hideMark/>
          </w:tcPr>
          <w:p w14:paraId="4E4EDAFE" w14:textId="35C75F5A" w:rsidR="00353F53" w:rsidRPr="0056239F" w:rsidRDefault="00353F53" w:rsidP="002F131C">
            <w:pPr>
              <w:jc w:val="right"/>
              <w:rPr>
                <w:rFonts w:ascii="Montserrat Medium" w:eastAsia="Times New Roman" w:hAnsi="Montserrat Medium" w:cs="Calibri"/>
                <w:color w:val="000000"/>
                <w:sz w:val="16"/>
                <w:szCs w:val="18"/>
                <w:lang w:val="es-MX" w:eastAsia="es-MX"/>
              </w:rPr>
            </w:pPr>
            <w:r w:rsidRPr="0056239F">
              <w:rPr>
                <w:rFonts w:ascii="Montserrat Medium" w:hAnsi="Montserrat Medium" w:cs="Calibri"/>
                <w:color w:val="000000"/>
                <w:sz w:val="16"/>
                <w:szCs w:val="18"/>
              </w:rPr>
              <w:t>0.00</w:t>
            </w:r>
          </w:p>
        </w:tc>
      </w:tr>
      <w:tr w:rsidR="00353F53" w:rsidRPr="0056239F" w14:paraId="7E116B93" w14:textId="77777777" w:rsidTr="00CF691F">
        <w:trPr>
          <w:trHeight w:hRule="exact" w:val="227"/>
          <w:jc w:val="center"/>
        </w:trPr>
        <w:tc>
          <w:tcPr>
            <w:tcW w:w="5441" w:type="dxa"/>
            <w:tcBorders>
              <w:left w:val="single" w:sz="8" w:space="0" w:color="auto"/>
              <w:right w:val="single" w:sz="8" w:space="0" w:color="auto"/>
            </w:tcBorders>
            <w:shd w:val="clear" w:color="auto" w:fill="auto"/>
            <w:noWrap/>
            <w:vAlign w:val="bottom"/>
            <w:hideMark/>
          </w:tcPr>
          <w:p w14:paraId="649D30E7" w14:textId="77777777" w:rsidR="00353F53" w:rsidRPr="0056239F" w:rsidRDefault="00353F53" w:rsidP="002F131C">
            <w:pPr>
              <w:rPr>
                <w:rFonts w:ascii="Montserrat Medium" w:eastAsia="Times New Roman" w:hAnsi="Montserrat Medium" w:cs="Calibri"/>
                <w:b/>
                <w:bCs/>
                <w:color w:val="000000"/>
                <w:sz w:val="16"/>
                <w:szCs w:val="18"/>
                <w:lang w:val="es-MX" w:eastAsia="es-MX"/>
              </w:rPr>
            </w:pPr>
            <w:r w:rsidRPr="0056239F">
              <w:rPr>
                <w:rFonts w:ascii="Montserrat Medium" w:eastAsia="Times New Roman" w:hAnsi="Montserrat Medium" w:cs="Calibri"/>
                <w:b/>
                <w:bCs/>
                <w:color w:val="000000"/>
                <w:sz w:val="16"/>
                <w:szCs w:val="18"/>
                <w:lang w:val="es-MX" w:eastAsia="es-MX"/>
              </w:rPr>
              <w:t>Bienes Muebles</w:t>
            </w:r>
          </w:p>
        </w:tc>
        <w:tc>
          <w:tcPr>
            <w:tcW w:w="1765" w:type="dxa"/>
            <w:tcBorders>
              <w:left w:val="nil"/>
              <w:right w:val="single" w:sz="8" w:space="0" w:color="auto"/>
            </w:tcBorders>
            <w:shd w:val="clear" w:color="auto" w:fill="auto"/>
            <w:vAlign w:val="center"/>
            <w:hideMark/>
          </w:tcPr>
          <w:p w14:paraId="7D69FE28" w14:textId="074032C1" w:rsidR="00353F53" w:rsidRPr="0056239F" w:rsidRDefault="00353F53" w:rsidP="0056239F">
            <w:pPr>
              <w:ind w:firstLineChars="200" w:firstLine="321"/>
              <w:jc w:val="right"/>
              <w:rPr>
                <w:rFonts w:ascii="Montserrat Medium" w:eastAsia="Times New Roman" w:hAnsi="Montserrat Medium" w:cs="Calibri"/>
                <w:b/>
                <w:color w:val="000000"/>
                <w:sz w:val="16"/>
                <w:szCs w:val="18"/>
                <w:lang w:val="es-MX" w:eastAsia="es-MX"/>
              </w:rPr>
            </w:pPr>
            <w:r w:rsidRPr="0056239F">
              <w:rPr>
                <w:rFonts w:ascii="Montserrat Medium" w:hAnsi="Montserrat Medium" w:cs="Calibri"/>
                <w:b/>
                <w:bCs/>
                <w:color w:val="000000"/>
                <w:sz w:val="16"/>
                <w:szCs w:val="18"/>
              </w:rPr>
              <w:t>10,275,202.28</w:t>
            </w:r>
          </w:p>
        </w:tc>
        <w:tc>
          <w:tcPr>
            <w:tcW w:w="1583" w:type="dxa"/>
            <w:tcBorders>
              <w:left w:val="nil"/>
              <w:right w:val="single" w:sz="8" w:space="0" w:color="auto"/>
            </w:tcBorders>
            <w:shd w:val="clear" w:color="auto" w:fill="auto"/>
            <w:vAlign w:val="center"/>
            <w:hideMark/>
          </w:tcPr>
          <w:p w14:paraId="6648487A" w14:textId="63F98685" w:rsidR="00353F53" w:rsidRPr="0056239F" w:rsidRDefault="00353F53" w:rsidP="0056239F">
            <w:pPr>
              <w:ind w:firstLineChars="200" w:firstLine="321"/>
              <w:jc w:val="right"/>
              <w:rPr>
                <w:rFonts w:ascii="Montserrat Medium" w:eastAsia="Times New Roman" w:hAnsi="Montserrat Medium" w:cs="Calibri"/>
                <w:b/>
                <w:color w:val="000000"/>
                <w:sz w:val="16"/>
                <w:szCs w:val="18"/>
                <w:lang w:val="es-MX" w:eastAsia="es-MX"/>
              </w:rPr>
            </w:pPr>
            <w:r w:rsidRPr="0056239F">
              <w:rPr>
                <w:rFonts w:ascii="Montserrat Medium" w:hAnsi="Montserrat Medium" w:cs="Calibri"/>
                <w:b/>
                <w:bCs/>
                <w:color w:val="000000"/>
                <w:sz w:val="16"/>
                <w:szCs w:val="18"/>
              </w:rPr>
              <w:t>179,247,481.62</w:t>
            </w:r>
          </w:p>
        </w:tc>
      </w:tr>
      <w:tr w:rsidR="00353F53" w:rsidRPr="0056239F" w14:paraId="3F226F9D" w14:textId="77777777" w:rsidTr="00CF691F">
        <w:trPr>
          <w:trHeight w:hRule="exact" w:val="227"/>
          <w:jc w:val="center"/>
        </w:trPr>
        <w:tc>
          <w:tcPr>
            <w:tcW w:w="5441" w:type="dxa"/>
            <w:tcBorders>
              <w:top w:val="nil"/>
              <w:left w:val="single" w:sz="8" w:space="0" w:color="auto"/>
              <w:right w:val="single" w:sz="8" w:space="0" w:color="auto"/>
            </w:tcBorders>
            <w:shd w:val="clear" w:color="auto" w:fill="auto"/>
            <w:noWrap/>
            <w:vAlign w:val="bottom"/>
            <w:hideMark/>
          </w:tcPr>
          <w:p w14:paraId="7D58DEE2" w14:textId="77777777" w:rsidR="00353F53" w:rsidRPr="0056239F" w:rsidRDefault="00353F53" w:rsidP="002F131C">
            <w:pPr>
              <w:rPr>
                <w:rFonts w:ascii="Montserrat Medium" w:eastAsia="Times New Roman" w:hAnsi="Montserrat Medium" w:cs="Calibri"/>
                <w:color w:val="000000"/>
                <w:sz w:val="16"/>
                <w:szCs w:val="18"/>
                <w:lang w:val="es-MX" w:eastAsia="es-MX"/>
              </w:rPr>
            </w:pPr>
            <w:r w:rsidRPr="0056239F">
              <w:rPr>
                <w:rFonts w:ascii="Montserrat Medium" w:eastAsia="Times New Roman" w:hAnsi="Montserrat Medium" w:cs="Calibri"/>
                <w:color w:val="000000"/>
                <w:sz w:val="16"/>
                <w:szCs w:val="18"/>
                <w:lang w:val="es-MX" w:eastAsia="es-MX"/>
              </w:rPr>
              <w:t>Mobiliario y Equipo de Administración</w:t>
            </w:r>
          </w:p>
        </w:tc>
        <w:tc>
          <w:tcPr>
            <w:tcW w:w="1765" w:type="dxa"/>
            <w:tcBorders>
              <w:top w:val="nil"/>
              <w:left w:val="nil"/>
              <w:right w:val="single" w:sz="8" w:space="0" w:color="auto"/>
            </w:tcBorders>
            <w:shd w:val="clear" w:color="auto" w:fill="auto"/>
            <w:vAlign w:val="center"/>
            <w:hideMark/>
          </w:tcPr>
          <w:p w14:paraId="556B874D" w14:textId="0C4A0ABA" w:rsidR="00353F53" w:rsidRPr="0056239F" w:rsidRDefault="00353F53" w:rsidP="002F131C">
            <w:pPr>
              <w:jc w:val="right"/>
              <w:rPr>
                <w:rFonts w:ascii="Montserrat Medium" w:eastAsia="Times New Roman" w:hAnsi="Montserrat Medium" w:cs="Calibri"/>
                <w:color w:val="000000"/>
                <w:sz w:val="16"/>
                <w:szCs w:val="18"/>
                <w:lang w:eastAsia="es-MX"/>
              </w:rPr>
            </w:pPr>
            <w:r w:rsidRPr="0056239F">
              <w:rPr>
                <w:rFonts w:ascii="Montserrat Medium" w:hAnsi="Montserrat Medium" w:cs="Calibri"/>
                <w:color w:val="000000"/>
                <w:sz w:val="16"/>
                <w:szCs w:val="18"/>
              </w:rPr>
              <w:t>4,998,415.01</w:t>
            </w:r>
          </w:p>
        </w:tc>
        <w:tc>
          <w:tcPr>
            <w:tcW w:w="1583" w:type="dxa"/>
            <w:tcBorders>
              <w:top w:val="nil"/>
              <w:left w:val="nil"/>
              <w:right w:val="single" w:sz="8" w:space="0" w:color="auto"/>
            </w:tcBorders>
            <w:shd w:val="clear" w:color="auto" w:fill="auto"/>
            <w:vAlign w:val="center"/>
            <w:hideMark/>
          </w:tcPr>
          <w:p w14:paraId="193270EA" w14:textId="2BD8DB28" w:rsidR="00353F53" w:rsidRPr="0056239F" w:rsidRDefault="00353F53" w:rsidP="002F131C">
            <w:pPr>
              <w:jc w:val="right"/>
              <w:rPr>
                <w:rFonts w:ascii="Montserrat Medium" w:eastAsia="Times New Roman" w:hAnsi="Montserrat Medium" w:cs="Calibri"/>
                <w:color w:val="000000"/>
                <w:sz w:val="16"/>
                <w:szCs w:val="18"/>
                <w:lang w:eastAsia="es-MX"/>
              </w:rPr>
            </w:pPr>
            <w:r w:rsidRPr="0056239F">
              <w:rPr>
                <w:rFonts w:ascii="Montserrat Medium" w:hAnsi="Montserrat Medium" w:cs="Calibri"/>
                <w:color w:val="000000"/>
                <w:sz w:val="16"/>
                <w:szCs w:val="18"/>
              </w:rPr>
              <w:t>27,871,808.85</w:t>
            </w:r>
          </w:p>
        </w:tc>
      </w:tr>
      <w:tr w:rsidR="00353F53" w:rsidRPr="0056239F" w14:paraId="46FC9CF3" w14:textId="77777777" w:rsidTr="00CF691F">
        <w:trPr>
          <w:trHeight w:hRule="exact" w:val="227"/>
          <w:jc w:val="center"/>
        </w:trPr>
        <w:tc>
          <w:tcPr>
            <w:tcW w:w="5441" w:type="dxa"/>
            <w:tcBorders>
              <w:left w:val="single" w:sz="8" w:space="0" w:color="auto"/>
              <w:right w:val="single" w:sz="8" w:space="0" w:color="auto"/>
            </w:tcBorders>
            <w:shd w:val="clear" w:color="auto" w:fill="auto"/>
            <w:noWrap/>
            <w:vAlign w:val="bottom"/>
            <w:hideMark/>
          </w:tcPr>
          <w:p w14:paraId="2720B320" w14:textId="77777777" w:rsidR="00353F53" w:rsidRPr="0056239F" w:rsidRDefault="00353F53" w:rsidP="002F131C">
            <w:pPr>
              <w:rPr>
                <w:rFonts w:ascii="Montserrat Medium" w:eastAsia="Times New Roman" w:hAnsi="Montserrat Medium" w:cs="Calibri"/>
                <w:color w:val="000000"/>
                <w:sz w:val="16"/>
                <w:szCs w:val="18"/>
                <w:lang w:val="es-MX" w:eastAsia="es-MX"/>
              </w:rPr>
            </w:pPr>
            <w:r w:rsidRPr="0056239F">
              <w:rPr>
                <w:rFonts w:ascii="Montserrat Medium" w:eastAsia="Times New Roman" w:hAnsi="Montserrat Medium" w:cs="Calibri"/>
                <w:color w:val="000000"/>
                <w:sz w:val="16"/>
                <w:szCs w:val="18"/>
                <w:lang w:val="es-MX" w:eastAsia="es-MX"/>
              </w:rPr>
              <w:t>Mobiliario y Equipo Educacional y Recreativo</w:t>
            </w:r>
          </w:p>
        </w:tc>
        <w:tc>
          <w:tcPr>
            <w:tcW w:w="1765" w:type="dxa"/>
            <w:tcBorders>
              <w:left w:val="nil"/>
              <w:right w:val="single" w:sz="8" w:space="0" w:color="auto"/>
            </w:tcBorders>
            <w:shd w:val="clear" w:color="auto" w:fill="auto"/>
            <w:vAlign w:val="center"/>
            <w:hideMark/>
          </w:tcPr>
          <w:p w14:paraId="2C84AB57" w14:textId="462A27A0" w:rsidR="00353F53" w:rsidRPr="0056239F" w:rsidRDefault="00353F53" w:rsidP="002F131C">
            <w:pPr>
              <w:jc w:val="right"/>
              <w:rPr>
                <w:rFonts w:ascii="Montserrat Medium" w:eastAsia="Times New Roman" w:hAnsi="Montserrat Medium" w:cs="Calibri"/>
                <w:color w:val="000000"/>
                <w:sz w:val="16"/>
                <w:szCs w:val="18"/>
                <w:lang w:eastAsia="es-MX"/>
              </w:rPr>
            </w:pPr>
            <w:r w:rsidRPr="0056239F">
              <w:rPr>
                <w:rFonts w:ascii="Montserrat Medium" w:hAnsi="Montserrat Medium" w:cs="Calibri"/>
                <w:color w:val="000000"/>
                <w:sz w:val="16"/>
                <w:szCs w:val="18"/>
              </w:rPr>
              <w:t>214,263.48</w:t>
            </w:r>
          </w:p>
        </w:tc>
        <w:tc>
          <w:tcPr>
            <w:tcW w:w="1583" w:type="dxa"/>
            <w:tcBorders>
              <w:left w:val="nil"/>
              <w:right w:val="single" w:sz="8" w:space="0" w:color="auto"/>
            </w:tcBorders>
            <w:shd w:val="clear" w:color="auto" w:fill="auto"/>
            <w:vAlign w:val="center"/>
            <w:hideMark/>
          </w:tcPr>
          <w:p w14:paraId="78AE04D7" w14:textId="64EC1A72" w:rsidR="00353F53" w:rsidRPr="0056239F" w:rsidRDefault="00353F53" w:rsidP="002F131C">
            <w:pPr>
              <w:jc w:val="right"/>
              <w:rPr>
                <w:rFonts w:ascii="Montserrat Medium" w:eastAsia="Times New Roman" w:hAnsi="Montserrat Medium" w:cs="Calibri"/>
                <w:color w:val="000000"/>
                <w:sz w:val="16"/>
                <w:szCs w:val="18"/>
                <w:lang w:eastAsia="es-MX"/>
              </w:rPr>
            </w:pPr>
            <w:r w:rsidRPr="0056239F">
              <w:rPr>
                <w:rFonts w:ascii="Montserrat Medium" w:hAnsi="Montserrat Medium" w:cs="Calibri"/>
                <w:color w:val="000000"/>
                <w:sz w:val="16"/>
                <w:szCs w:val="18"/>
              </w:rPr>
              <w:t>2,699,841.86</w:t>
            </w:r>
          </w:p>
        </w:tc>
      </w:tr>
      <w:tr w:rsidR="00353F53" w:rsidRPr="0056239F" w14:paraId="0F1CEDF5" w14:textId="77777777" w:rsidTr="00CF691F">
        <w:trPr>
          <w:trHeight w:hRule="exact" w:val="227"/>
          <w:jc w:val="center"/>
        </w:trPr>
        <w:tc>
          <w:tcPr>
            <w:tcW w:w="5441" w:type="dxa"/>
            <w:tcBorders>
              <w:left w:val="single" w:sz="8" w:space="0" w:color="auto"/>
              <w:right w:val="single" w:sz="8" w:space="0" w:color="auto"/>
            </w:tcBorders>
            <w:shd w:val="clear" w:color="auto" w:fill="auto"/>
            <w:noWrap/>
            <w:vAlign w:val="bottom"/>
            <w:hideMark/>
          </w:tcPr>
          <w:p w14:paraId="641DDF08" w14:textId="77777777" w:rsidR="00353F53" w:rsidRPr="0056239F" w:rsidRDefault="00353F53" w:rsidP="002F131C">
            <w:pPr>
              <w:rPr>
                <w:rFonts w:ascii="Montserrat Medium" w:eastAsia="Times New Roman" w:hAnsi="Montserrat Medium" w:cs="Calibri"/>
                <w:color w:val="000000"/>
                <w:sz w:val="16"/>
                <w:szCs w:val="18"/>
                <w:lang w:val="es-MX" w:eastAsia="es-MX"/>
              </w:rPr>
            </w:pPr>
            <w:r w:rsidRPr="0056239F">
              <w:rPr>
                <w:rFonts w:ascii="Montserrat Medium" w:eastAsia="Times New Roman" w:hAnsi="Montserrat Medium" w:cs="Calibri"/>
                <w:color w:val="000000"/>
                <w:sz w:val="16"/>
                <w:szCs w:val="18"/>
                <w:lang w:val="es-MX" w:eastAsia="es-MX"/>
              </w:rPr>
              <w:t>Equipo e Instrumental Médico y de Laboratorio</w:t>
            </w:r>
          </w:p>
        </w:tc>
        <w:tc>
          <w:tcPr>
            <w:tcW w:w="1765" w:type="dxa"/>
            <w:tcBorders>
              <w:left w:val="nil"/>
              <w:right w:val="single" w:sz="8" w:space="0" w:color="auto"/>
            </w:tcBorders>
            <w:shd w:val="clear" w:color="auto" w:fill="auto"/>
            <w:vAlign w:val="center"/>
            <w:hideMark/>
          </w:tcPr>
          <w:p w14:paraId="69021E0E" w14:textId="3B2A5989" w:rsidR="00353F53" w:rsidRPr="0056239F" w:rsidRDefault="00353F53" w:rsidP="002F131C">
            <w:pPr>
              <w:jc w:val="right"/>
              <w:rPr>
                <w:rFonts w:ascii="Montserrat Medium" w:eastAsia="Times New Roman" w:hAnsi="Montserrat Medium" w:cs="Calibri"/>
                <w:color w:val="000000"/>
                <w:sz w:val="16"/>
                <w:szCs w:val="18"/>
                <w:lang w:eastAsia="es-MX"/>
              </w:rPr>
            </w:pPr>
            <w:r w:rsidRPr="0056239F">
              <w:rPr>
                <w:rFonts w:ascii="Montserrat Medium" w:hAnsi="Montserrat Medium" w:cs="Calibri"/>
                <w:color w:val="000000"/>
                <w:sz w:val="16"/>
                <w:szCs w:val="18"/>
              </w:rPr>
              <w:t>0.00</w:t>
            </w:r>
          </w:p>
        </w:tc>
        <w:tc>
          <w:tcPr>
            <w:tcW w:w="1583" w:type="dxa"/>
            <w:tcBorders>
              <w:left w:val="nil"/>
              <w:right w:val="single" w:sz="8" w:space="0" w:color="auto"/>
            </w:tcBorders>
            <w:shd w:val="clear" w:color="auto" w:fill="auto"/>
            <w:vAlign w:val="center"/>
            <w:hideMark/>
          </w:tcPr>
          <w:p w14:paraId="1147EB5C" w14:textId="13DB0095" w:rsidR="00353F53" w:rsidRPr="0056239F" w:rsidRDefault="00353F53" w:rsidP="002F131C">
            <w:pPr>
              <w:jc w:val="right"/>
              <w:rPr>
                <w:rFonts w:ascii="Montserrat Medium" w:eastAsia="Times New Roman" w:hAnsi="Montserrat Medium" w:cs="Calibri"/>
                <w:color w:val="000000"/>
                <w:sz w:val="16"/>
                <w:szCs w:val="18"/>
                <w:lang w:eastAsia="es-MX"/>
              </w:rPr>
            </w:pPr>
            <w:r w:rsidRPr="0056239F">
              <w:rPr>
                <w:rFonts w:ascii="Montserrat Medium" w:hAnsi="Montserrat Medium" w:cs="Calibri"/>
                <w:color w:val="000000"/>
                <w:sz w:val="16"/>
                <w:szCs w:val="18"/>
              </w:rPr>
              <w:t>0.00</w:t>
            </w:r>
          </w:p>
        </w:tc>
      </w:tr>
      <w:tr w:rsidR="00353F53" w:rsidRPr="0056239F" w14:paraId="50881F66" w14:textId="77777777" w:rsidTr="00CF691F">
        <w:trPr>
          <w:trHeight w:hRule="exact" w:val="227"/>
          <w:jc w:val="center"/>
        </w:trPr>
        <w:tc>
          <w:tcPr>
            <w:tcW w:w="5441" w:type="dxa"/>
            <w:tcBorders>
              <w:left w:val="single" w:sz="8" w:space="0" w:color="auto"/>
              <w:bottom w:val="nil"/>
              <w:right w:val="single" w:sz="8" w:space="0" w:color="auto"/>
            </w:tcBorders>
            <w:shd w:val="clear" w:color="auto" w:fill="auto"/>
            <w:noWrap/>
            <w:vAlign w:val="bottom"/>
            <w:hideMark/>
          </w:tcPr>
          <w:p w14:paraId="63E1990F" w14:textId="77777777" w:rsidR="00353F53" w:rsidRPr="0056239F" w:rsidRDefault="00353F53" w:rsidP="002F131C">
            <w:pPr>
              <w:rPr>
                <w:rFonts w:ascii="Montserrat Medium" w:eastAsia="Times New Roman" w:hAnsi="Montserrat Medium" w:cs="Calibri"/>
                <w:color w:val="000000"/>
                <w:sz w:val="16"/>
                <w:szCs w:val="18"/>
                <w:lang w:val="es-MX" w:eastAsia="es-MX"/>
              </w:rPr>
            </w:pPr>
            <w:r w:rsidRPr="0056239F">
              <w:rPr>
                <w:rFonts w:ascii="Montserrat Medium" w:eastAsia="Times New Roman" w:hAnsi="Montserrat Medium" w:cs="Calibri"/>
                <w:color w:val="000000"/>
                <w:sz w:val="16"/>
                <w:szCs w:val="18"/>
                <w:lang w:val="es-MX" w:eastAsia="es-MX"/>
              </w:rPr>
              <w:t>Vehículos y Equipo de Transporte</w:t>
            </w:r>
          </w:p>
        </w:tc>
        <w:tc>
          <w:tcPr>
            <w:tcW w:w="1765" w:type="dxa"/>
            <w:tcBorders>
              <w:left w:val="nil"/>
              <w:bottom w:val="nil"/>
              <w:right w:val="single" w:sz="8" w:space="0" w:color="auto"/>
            </w:tcBorders>
            <w:shd w:val="clear" w:color="auto" w:fill="auto"/>
            <w:vAlign w:val="center"/>
            <w:hideMark/>
          </w:tcPr>
          <w:p w14:paraId="60B9B21C" w14:textId="09B92F2F" w:rsidR="00353F53" w:rsidRPr="0056239F" w:rsidRDefault="00353F53" w:rsidP="002F131C">
            <w:pPr>
              <w:jc w:val="right"/>
              <w:rPr>
                <w:rFonts w:ascii="Montserrat Medium" w:eastAsia="Times New Roman" w:hAnsi="Montserrat Medium" w:cs="Calibri"/>
                <w:color w:val="000000"/>
                <w:sz w:val="16"/>
                <w:szCs w:val="18"/>
                <w:lang w:eastAsia="es-MX"/>
              </w:rPr>
            </w:pPr>
            <w:r w:rsidRPr="0056239F">
              <w:rPr>
                <w:rFonts w:ascii="Montserrat Medium" w:hAnsi="Montserrat Medium" w:cs="Calibri"/>
                <w:color w:val="000000"/>
                <w:sz w:val="16"/>
                <w:szCs w:val="18"/>
              </w:rPr>
              <w:t>7,565,775.04</w:t>
            </w:r>
          </w:p>
        </w:tc>
        <w:tc>
          <w:tcPr>
            <w:tcW w:w="1583" w:type="dxa"/>
            <w:tcBorders>
              <w:left w:val="nil"/>
              <w:bottom w:val="nil"/>
              <w:right w:val="single" w:sz="8" w:space="0" w:color="auto"/>
            </w:tcBorders>
            <w:shd w:val="clear" w:color="auto" w:fill="auto"/>
            <w:vAlign w:val="center"/>
            <w:hideMark/>
          </w:tcPr>
          <w:p w14:paraId="4EF2B7F5" w14:textId="6901DE33" w:rsidR="00353F53" w:rsidRPr="0056239F" w:rsidRDefault="00353F53" w:rsidP="002F131C">
            <w:pPr>
              <w:jc w:val="right"/>
              <w:rPr>
                <w:rFonts w:ascii="Montserrat Medium" w:eastAsia="Times New Roman" w:hAnsi="Montserrat Medium" w:cs="Calibri"/>
                <w:color w:val="000000"/>
                <w:sz w:val="16"/>
                <w:szCs w:val="18"/>
                <w:lang w:eastAsia="es-MX"/>
              </w:rPr>
            </w:pPr>
            <w:r w:rsidRPr="0056239F">
              <w:rPr>
                <w:rFonts w:ascii="Montserrat Medium" w:hAnsi="Montserrat Medium" w:cs="Calibri"/>
                <w:color w:val="000000"/>
                <w:sz w:val="16"/>
                <w:szCs w:val="18"/>
              </w:rPr>
              <w:t>79,348,541.92</w:t>
            </w:r>
          </w:p>
        </w:tc>
      </w:tr>
      <w:tr w:rsidR="00353F53" w:rsidRPr="0056239F" w14:paraId="0525756E" w14:textId="77777777" w:rsidTr="00CF691F">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11296D64" w14:textId="77777777" w:rsidR="00353F53" w:rsidRPr="0056239F" w:rsidRDefault="00353F53" w:rsidP="002F131C">
            <w:pPr>
              <w:rPr>
                <w:rFonts w:ascii="Montserrat Medium" w:eastAsia="Times New Roman" w:hAnsi="Montserrat Medium" w:cs="Calibri"/>
                <w:color w:val="000000"/>
                <w:sz w:val="16"/>
                <w:szCs w:val="18"/>
                <w:lang w:val="es-MX" w:eastAsia="es-MX"/>
              </w:rPr>
            </w:pPr>
            <w:r w:rsidRPr="0056239F">
              <w:rPr>
                <w:rFonts w:ascii="Montserrat Medium" w:eastAsia="Times New Roman" w:hAnsi="Montserrat Medium" w:cs="Calibri"/>
                <w:color w:val="000000"/>
                <w:sz w:val="16"/>
                <w:szCs w:val="18"/>
                <w:lang w:val="es-MX" w:eastAsia="es-MX"/>
              </w:rPr>
              <w:t>Equipo de Defensa y Seguridad</w:t>
            </w:r>
          </w:p>
        </w:tc>
        <w:tc>
          <w:tcPr>
            <w:tcW w:w="1765" w:type="dxa"/>
            <w:tcBorders>
              <w:top w:val="nil"/>
              <w:left w:val="nil"/>
              <w:bottom w:val="nil"/>
              <w:right w:val="single" w:sz="8" w:space="0" w:color="auto"/>
            </w:tcBorders>
            <w:shd w:val="clear" w:color="auto" w:fill="auto"/>
            <w:vAlign w:val="center"/>
            <w:hideMark/>
          </w:tcPr>
          <w:p w14:paraId="7D5646ED" w14:textId="4ABA7E79" w:rsidR="00353F53" w:rsidRPr="0056239F" w:rsidRDefault="00353F53" w:rsidP="002F131C">
            <w:pPr>
              <w:jc w:val="right"/>
              <w:rPr>
                <w:rFonts w:ascii="Montserrat Medium" w:eastAsia="Times New Roman" w:hAnsi="Montserrat Medium" w:cs="Calibri"/>
                <w:color w:val="000000"/>
                <w:sz w:val="16"/>
                <w:szCs w:val="18"/>
                <w:lang w:eastAsia="es-MX"/>
              </w:rPr>
            </w:pPr>
            <w:r w:rsidRPr="0056239F">
              <w:rPr>
                <w:rFonts w:ascii="Montserrat Medium" w:hAnsi="Montserrat Medium" w:cs="Calibri"/>
                <w:color w:val="000000"/>
                <w:sz w:val="16"/>
                <w:szCs w:val="18"/>
              </w:rPr>
              <w:t>-40,677.53</w:t>
            </w:r>
          </w:p>
        </w:tc>
        <w:tc>
          <w:tcPr>
            <w:tcW w:w="1583" w:type="dxa"/>
            <w:tcBorders>
              <w:top w:val="nil"/>
              <w:left w:val="nil"/>
              <w:bottom w:val="nil"/>
              <w:right w:val="single" w:sz="8" w:space="0" w:color="auto"/>
            </w:tcBorders>
            <w:shd w:val="clear" w:color="auto" w:fill="auto"/>
            <w:vAlign w:val="center"/>
            <w:hideMark/>
          </w:tcPr>
          <w:p w14:paraId="71EBFBBD" w14:textId="160A0FCD" w:rsidR="00353F53" w:rsidRPr="0056239F" w:rsidRDefault="00353F53" w:rsidP="002F131C">
            <w:pPr>
              <w:jc w:val="right"/>
              <w:rPr>
                <w:rFonts w:ascii="Montserrat Medium" w:eastAsia="Times New Roman" w:hAnsi="Montserrat Medium" w:cs="Calibri"/>
                <w:color w:val="000000"/>
                <w:sz w:val="16"/>
                <w:szCs w:val="18"/>
                <w:lang w:eastAsia="es-MX"/>
              </w:rPr>
            </w:pPr>
            <w:r w:rsidRPr="0056239F">
              <w:rPr>
                <w:rFonts w:ascii="Montserrat Medium" w:hAnsi="Montserrat Medium" w:cs="Calibri"/>
                <w:color w:val="000000"/>
                <w:sz w:val="16"/>
                <w:szCs w:val="18"/>
              </w:rPr>
              <w:t>1,150,348.80</w:t>
            </w:r>
          </w:p>
        </w:tc>
      </w:tr>
      <w:tr w:rsidR="00353F53" w:rsidRPr="0056239F" w14:paraId="0453E814" w14:textId="77777777" w:rsidTr="00CF691F">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0916A281" w14:textId="77777777" w:rsidR="00353F53" w:rsidRPr="0056239F" w:rsidRDefault="00353F53" w:rsidP="002F131C">
            <w:pPr>
              <w:rPr>
                <w:rFonts w:ascii="Montserrat Medium" w:eastAsia="Times New Roman" w:hAnsi="Montserrat Medium" w:cs="Calibri"/>
                <w:color w:val="000000"/>
                <w:sz w:val="16"/>
                <w:szCs w:val="18"/>
                <w:lang w:val="es-MX" w:eastAsia="es-MX"/>
              </w:rPr>
            </w:pPr>
            <w:r w:rsidRPr="0056239F">
              <w:rPr>
                <w:rFonts w:ascii="Montserrat Medium" w:eastAsia="Times New Roman" w:hAnsi="Montserrat Medium" w:cs="Calibri"/>
                <w:color w:val="000000"/>
                <w:sz w:val="16"/>
                <w:szCs w:val="18"/>
                <w:lang w:val="es-MX" w:eastAsia="es-MX"/>
              </w:rPr>
              <w:t>Maquinaria, Otros Equipos y Herramientas</w:t>
            </w:r>
          </w:p>
        </w:tc>
        <w:tc>
          <w:tcPr>
            <w:tcW w:w="1765" w:type="dxa"/>
            <w:tcBorders>
              <w:top w:val="nil"/>
              <w:left w:val="nil"/>
              <w:bottom w:val="nil"/>
              <w:right w:val="single" w:sz="8" w:space="0" w:color="auto"/>
            </w:tcBorders>
            <w:shd w:val="clear" w:color="auto" w:fill="auto"/>
            <w:vAlign w:val="center"/>
            <w:hideMark/>
          </w:tcPr>
          <w:p w14:paraId="4464E26A" w14:textId="6B04ED95" w:rsidR="00353F53" w:rsidRPr="0056239F" w:rsidRDefault="00353F53" w:rsidP="002F131C">
            <w:pPr>
              <w:jc w:val="right"/>
              <w:rPr>
                <w:rFonts w:ascii="Montserrat Medium" w:eastAsia="Times New Roman" w:hAnsi="Montserrat Medium" w:cs="Calibri"/>
                <w:color w:val="000000"/>
                <w:sz w:val="16"/>
                <w:szCs w:val="18"/>
                <w:lang w:eastAsia="es-MX"/>
              </w:rPr>
            </w:pPr>
            <w:r w:rsidRPr="0056239F">
              <w:rPr>
                <w:rFonts w:ascii="Montserrat Medium" w:hAnsi="Montserrat Medium" w:cs="Calibri"/>
                <w:color w:val="000000"/>
                <w:sz w:val="16"/>
                <w:szCs w:val="18"/>
              </w:rPr>
              <w:t>-2,462,573.72</w:t>
            </w:r>
          </w:p>
        </w:tc>
        <w:tc>
          <w:tcPr>
            <w:tcW w:w="1583" w:type="dxa"/>
            <w:tcBorders>
              <w:top w:val="nil"/>
              <w:left w:val="nil"/>
              <w:bottom w:val="nil"/>
              <w:right w:val="single" w:sz="8" w:space="0" w:color="auto"/>
            </w:tcBorders>
            <w:shd w:val="clear" w:color="auto" w:fill="auto"/>
            <w:vAlign w:val="center"/>
            <w:hideMark/>
          </w:tcPr>
          <w:p w14:paraId="6D4ED525" w14:textId="2B7B7F66" w:rsidR="00353F53" w:rsidRPr="0056239F" w:rsidRDefault="00353F53" w:rsidP="002F131C">
            <w:pPr>
              <w:jc w:val="right"/>
              <w:rPr>
                <w:rFonts w:ascii="Montserrat Medium" w:eastAsia="Times New Roman" w:hAnsi="Montserrat Medium" w:cs="Calibri"/>
                <w:color w:val="000000"/>
                <w:sz w:val="16"/>
                <w:szCs w:val="18"/>
                <w:lang w:eastAsia="es-MX"/>
              </w:rPr>
            </w:pPr>
            <w:r w:rsidRPr="0056239F">
              <w:rPr>
                <w:rFonts w:ascii="Montserrat Medium" w:hAnsi="Montserrat Medium" w:cs="Calibri"/>
                <w:color w:val="000000"/>
                <w:sz w:val="16"/>
                <w:szCs w:val="18"/>
              </w:rPr>
              <w:t>68,176,940.19</w:t>
            </w:r>
          </w:p>
        </w:tc>
      </w:tr>
      <w:tr w:rsidR="00353F53" w:rsidRPr="0056239F" w14:paraId="3E74334D" w14:textId="77777777" w:rsidTr="00CF691F">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21FAEFA7" w14:textId="77777777" w:rsidR="00353F53" w:rsidRPr="0056239F" w:rsidRDefault="00353F53" w:rsidP="002F131C">
            <w:pPr>
              <w:rPr>
                <w:rFonts w:ascii="Montserrat Medium" w:eastAsia="Times New Roman" w:hAnsi="Montserrat Medium" w:cs="Calibri"/>
                <w:color w:val="000000"/>
                <w:sz w:val="16"/>
                <w:szCs w:val="18"/>
                <w:lang w:val="es-MX" w:eastAsia="es-MX"/>
              </w:rPr>
            </w:pPr>
            <w:r w:rsidRPr="0056239F">
              <w:rPr>
                <w:rFonts w:ascii="Montserrat Medium" w:eastAsia="Times New Roman" w:hAnsi="Montserrat Medium" w:cs="Calibri"/>
                <w:color w:val="000000"/>
                <w:sz w:val="16"/>
                <w:szCs w:val="18"/>
                <w:lang w:val="es-MX" w:eastAsia="es-MX"/>
              </w:rPr>
              <w:t>Colecciones, Obras de Arte y Objetos Valiosos</w:t>
            </w:r>
          </w:p>
        </w:tc>
        <w:tc>
          <w:tcPr>
            <w:tcW w:w="1765" w:type="dxa"/>
            <w:tcBorders>
              <w:top w:val="nil"/>
              <w:left w:val="nil"/>
              <w:bottom w:val="nil"/>
              <w:right w:val="single" w:sz="8" w:space="0" w:color="auto"/>
            </w:tcBorders>
            <w:shd w:val="clear" w:color="auto" w:fill="auto"/>
            <w:vAlign w:val="center"/>
            <w:hideMark/>
          </w:tcPr>
          <w:p w14:paraId="32C8AFD6" w14:textId="30164075" w:rsidR="00353F53" w:rsidRPr="0056239F" w:rsidRDefault="00353F53" w:rsidP="002F131C">
            <w:pPr>
              <w:jc w:val="right"/>
              <w:rPr>
                <w:rFonts w:ascii="Montserrat Medium" w:eastAsia="Times New Roman" w:hAnsi="Montserrat Medium" w:cs="Calibri"/>
                <w:color w:val="000000"/>
                <w:sz w:val="16"/>
                <w:szCs w:val="18"/>
                <w:lang w:eastAsia="es-MX"/>
              </w:rPr>
            </w:pPr>
            <w:r w:rsidRPr="0056239F">
              <w:rPr>
                <w:rFonts w:ascii="Montserrat Medium" w:hAnsi="Montserrat Medium" w:cs="Calibri"/>
                <w:color w:val="000000"/>
                <w:sz w:val="16"/>
                <w:szCs w:val="18"/>
              </w:rPr>
              <w:t>0.00</w:t>
            </w:r>
          </w:p>
        </w:tc>
        <w:tc>
          <w:tcPr>
            <w:tcW w:w="1583" w:type="dxa"/>
            <w:tcBorders>
              <w:top w:val="nil"/>
              <w:left w:val="nil"/>
              <w:bottom w:val="nil"/>
              <w:right w:val="single" w:sz="8" w:space="0" w:color="auto"/>
            </w:tcBorders>
            <w:shd w:val="clear" w:color="auto" w:fill="auto"/>
            <w:vAlign w:val="center"/>
            <w:hideMark/>
          </w:tcPr>
          <w:p w14:paraId="580E7A3C" w14:textId="3A468ECE" w:rsidR="00353F53" w:rsidRPr="0056239F" w:rsidRDefault="00353F53" w:rsidP="002F131C">
            <w:pPr>
              <w:jc w:val="right"/>
              <w:rPr>
                <w:rFonts w:ascii="Montserrat Medium" w:eastAsia="Times New Roman" w:hAnsi="Montserrat Medium" w:cs="Calibri"/>
                <w:color w:val="000000"/>
                <w:sz w:val="16"/>
                <w:szCs w:val="18"/>
                <w:lang w:eastAsia="es-MX"/>
              </w:rPr>
            </w:pPr>
            <w:r w:rsidRPr="0056239F">
              <w:rPr>
                <w:rFonts w:ascii="Montserrat Medium" w:hAnsi="Montserrat Medium" w:cs="Calibri"/>
                <w:color w:val="000000"/>
                <w:sz w:val="16"/>
                <w:szCs w:val="18"/>
              </w:rPr>
              <w:t>0.00</w:t>
            </w:r>
          </w:p>
        </w:tc>
      </w:tr>
      <w:tr w:rsidR="00353F53" w:rsidRPr="0056239F" w14:paraId="7ED76872" w14:textId="77777777" w:rsidTr="00CF691F">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0AE0F335" w14:textId="77777777" w:rsidR="00353F53" w:rsidRPr="0056239F" w:rsidRDefault="00353F53" w:rsidP="002F131C">
            <w:pPr>
              <w:rPr>
                <w:rFonts w:ascii="Montserrat Medium" w:eastAsia="Times New Roman" w:hAnsi="Montserrat Medium" w:cs="Calibri"/>
                <w:color w:val="000000"/>
                <w:sz w:val="16"/>
                <w:szCs w:val="18"/>
                <w:lang w:val="es-MX" w:eastAsia="es-MX"/>
              </w:rPr>
            </w:pPr>
            <w:r w:rsidRPr="0056239F">
              <w:rPr>
                <w:rFonts w:ascii="Montserrat Medium" w:eastAsia="Times New Roman" w:hAnsi="Montserrat Medium" w:cs="Calibri"/>
                <w:color w:val="000000"/>
                <w:sz w:val="16"/>
                <w:szCs w:val="18"/>
                <w:lang w:val="es-MX" w:eastAsia="es-MX"/>
              </w:rPr>
              <w:t>Activos Biológicos</w:t>
            </w:r>
          </w:p>
        </w:tc>
        <w:tc>
          <w:tcPr>
            <w:tcW w:w="1765" w:type="dxa"/>
            <w:tcBorders>
              <w:top w:val="nil"/>
              <w:left w:val="nil"/>
              <w:bottom w:val="nil"/>
              <w:right w:val="single" w:sz="8" w:space="0" w:color="auto"/>
            </w:tcBorders>
            <w:shd w:val="clear" w:color="auto" w:fill="auto"/>
            <w:vAlign w:val="center"/>
            <w:hideMark/>
          </w:tcPr>
          <w:p w14:paraId="72DEF0BF" w14:textId="653A0938" w:rsidR="00353F53" w:rsidRPr="0056239F" w:rsidRDefault="00353F53" w:rsidP="002F131C">
            <w:pPr>
              <w:jc w:val="right"/>
              <w:rPr>
                <w:rFonts w:ascii="Montserrat Medium" w:eastAsia="Times New Roman" w:hAnsi="Montserrat Medium" w:cs="Calibri"/>
                <w:color w:val="000000"/>
                <w:sz w:val="16"/>
                <w:szCs w:val="18"/>
                <w:lang w:eastAsia="es-MX"/>
              </w:rPr>
            </w:pPr>
            <w:r w:rsidRPr="0056239F">
              <w:rPr>
                <w:rFonts w:ascii="Montserrat Medium" w:hAnsi="Montserrat Medium" w:cs="Calibri"/>
                <w:color w:val="000000"/>
                <w:sz w:val="16"/>
                <w:szCs w:val="18"/>
              </w:rPr>
              <w:t>0.00</w:t>
            </w:r>
          </w:p>
        </w:tc>
        <w:tc>
          <w:tcPr>
            <w:tcW w:w="1583" w:type="dxa"/>
            <w:tcBorders>
              <w:top w:val="nil"/>
              <w:left w:val="nil"/>
              <w:bottom w:val="nil"/>
              <w:right w:val="single" w:sz="8" w:space="0" w:color="auto"/>
            </w:tcBorders>
            <w:shd w:val="clear" w:color="auto" w:fill="auto"/>
            <w:vAlign w:val="center"/>
            <w:hideMark/>
          </w:tcPr>
          <w:p w14:paraId="6DC6CDF0" w14:textId="06FD6C31" w:rsidR="00353F53" w:rsidRPr="0056239F" w:rsidRDefault="00353F53" w:rsidP="002F131C">
            <w:pPr>
              <w:jc w:val="right"/>
              <w:rPr>
                <w:rFonts w:ascii="Montserrat Medium" w:eastAsia="Times New Roman" w:hAnsi="Montserrat Medium" w:cs="Calibri"/>
                <w:color w:val="000000"/>
                <w:sz w:val="16"/>
                <w:szCs w:val="18"/>
                <w:lang w:eastAsia="es-MX"/>
              </w:rPr>
            </w:pPr>
            <w:r w:rsidRPr="0056239F">
              <w:rPr>
                <w:rFonts w:ascii="Montserrat Medium" w:hAnsi="Montserrat Medium" w:cs="Calibri"/>
                <w:color w:val="000000"/>
                <w:sz w:val="16"/>
                <w:szCs w:val="18"/>
              </w:rPr>
              <w:t>0.00</w:t>
            </w:r>
          </w:p>
        </w:tc>
      </w:tr>
      <w:tr w:rsidR="00353F53" w:rsidRPr="0056239F" w14:paraId="2DE8D952" w14:textId="77777777" w:rsidTr="00CF691F">
        <w:trPr>
          <w:trHeight w:hRule="exact" w:val="227"/>
          <w:jc w:val="center"/>
        </w:trPr>
        <w:tc>
          <w:tcPr>
            <w:tcW w:w="5441" w:type="dxa"/>
            <w:tcBorders>
              <w:top w:val="nil"/>
              <w:left w:val="single" w:sz="8" w:space="0" w:color="auto"/>
              <w:bottom w:val="single" w:sz="4" w:space="0" w:color="auto"/>
              <w:right w:val="single" w:sz="8" w:space="0" w:color="auto"/>
            </w:tcBorders>
            <w:shd w:val="clear" w:color="auto" w:fill="auto"/>
            <w:noWrap/>
            <w:vAlign w:val="bottom"/>
            <w:hideMark/>
          </w:tcPr>
          <w:p w14:paraId="28CECBC9" w14:textId="77777777" w:rsidR="00353F53" w:rsidRPr="0056239F" w:rsidRDefault="00353F53" w:rsidP="002F131C">
            <w:pPr>
              <w:rPr>
                <w:rFonts w:ascii="Montserrat Medium" w:eastAsia="Times New Roman" w:hAnsi="Montserrat Medium" w:cs="Calibri"/>
                <w:b/>
                <w:bCs/>
                <w:color w:val="000000"/>
                <w:sz w:val="16"/>
                <w:szCs w:val="18"/>
                <w:lang w:val="es-MX" w:eastAsia="es-MX"/>
              </w:rPr>
            </w:pPr>
            <w:r w:rsidRPr="0056239F">
              <w:rPr>
                <w:rFonts w:ascii="Montserrat Medium" w:eastAsia="Times New Roman" w:hAnsi="Montserrat Medium" w:cs="Calibri"/>
                <w:b/>
                <w:bCs/>
                <w:color w:val="000000"/>
                <w:sz w:val="16"/>
                <w:szCs w:val="18"/>
                <w:lang w:val="es-MX" w:eastAsia="es-MX"/>
              </w:rPr>
              <w:t>Otras Inversiones</w:t>
            </w:r>
          </w:p>
        </w:tc>
        <w:tc>
          <w:tcPr>
            <w:tcW w:w="1765" w:type="dxa"/>
            <w:tcBorders>
              <w:top w:val="nil"/>
              <w:left w:val="nil"/>
              <w:bottom w:val="single" w:sz="4" w:space="0" w:color="auto"/>
              <w:right w:val="single" w:sz="8" w:space="0" w:color="auto"/>
            </w:tcBorders>
            <w:shd w:val="clear" w:color="auto" w:fill="auto"/>
            <w:vAlign w:val="center"/>
            <w:hideMark/>
          </w:tcPr>
          <w:p w14:paraId="206CA6ED" w14:textId="24BF4208" w:rsidR="00353F53" w:rsidRPr="0056239F" w:rsidRDefault="00353F53" w:rsidP="002F131C">
            <w:pPr>
              <w:jc w:val="right"/>
              <w:rPr>
                <w:rFonts w:ascii="Montserrat Medium" w:eastAsia="Times New Roman" w:hAnsi="Montserrat Medium" w:cs="Calibri"/>
                <w:b/>
                <w:color w:val="000000"/>
                <w:sz w:val="16"/>
                <w:szCs w:val="18"/>
                <w:lang w:eastAsia="es-MX"/>
              </w:rPr>
            </w:pPr>
            <w:r w:rsidRPr="0056239F">
              <w:rPr>
                <w:rFonts w:ascii="Montserrat Medium" w:hAnsi="Montserrat Medium" w:cs="Calibri"/>
                <w:b/>
                <w:bCs/>
                <w:color w:val="000000"/>
                <w:sz w:val="16"/>
                <w:szCs w:val="18"/>
              </w:rPr>
              <w:t>999,539,666.16</w:t>
            </w:r>
          </w:p>
        </w:tc>
        <w:tc>
          <w:tcPr>
            <w:tcW w:w="1583" w:type="dxa"/>
            <w:tcBorders>
              <w:top w:val="nil"/>
              <w:left w:val="nil"/>
              <w:bottom w:val="single" w:sz="4" w:space="0" w:color="auto"/>
              <w:right w:val="single" w:sz="8" w:space="0" w:color="auto"/>
            </w:tcBorders>
            <w:shd w:val="clear" w:color="auto" w:fill="auto"/>
            <w:vAlign w:val="center"/>
            <w:hideMark/>
          </w:tcPr>
          <w:p w14:paraId="034CA1D3" w14:textId="27CAADD5" w:rsidR="00353F53" w:rsidRPr="0056239F" w:rsidRDefault="00353F53" w:rsidP="002F131C">
            <w:pPr>
              <w:jc w:val="right"/>
              <w:rPr>
                <w:rFonts w:ascii="Montserrat Medium" w:eastAsia="Times New Roman" w:hAnsi="Montserrat Medium" w:cs="Calibri"/>
                <w:b/>
                <w:color w:val="000000"/>
                <w:sz w:val="16"/>
                <w:szCs w:val="18"/>
                <w:lang w:eastAsia="es-MX"/>
              </w:rPr>
            </w:pPr>
            <w:r w:rsidRPr="0056239F">
              <w:rPr>
                <w:rFonts w:ascii="Montserrat Medium" w:hAnsi="Montserrat Medium" w:cs="Calibri"/>
                <w:b/>
                <w:bCs/>
                <w:color w:val="000000"/>
                <w:sz w:val="16"/>
                <w:szCs w:val="18"/>
              </w:rPr>
              <w:t>306,405,405.40</w:t>
            </w:r>
          </w:p>
        </w:tc>
      </w:tr>
      <w:tr w:rsidR="00353F53" w:rsidRPr="0056239F" w14:paraId="173F1642" w14:textId="77777777" w:rsidTr="00CF691F">
        <w:trPr>
          <w:trHeight w:hRule="exact" w:val="227"/>
          <w:jc w:val="center"/>
        </w:trPr>
        <w:tc>
          <w:tcPr>
            <w:tcW w:w="5441" w:type="dxa"/>
            <w:tcBorders>
              <w:top w:val="nil"/>
              <w:left w:val="single" w:sz="4" w:space="0" w:color="auto"/>
              <w:bottom w:val="single" w:sz="4" w:space="0" w:color="auto"/>
              <w:right w:val="single" w:sz="4" w:space="0" w:color="auto"/>
            </w:tcBorders>
            <w:shd w:val="clear" w:color="auto" w:fill="auto"/>
            <w:noWrap/>
            <w:vAlign w:val="bottom"/>
            <w:hideMark/>
          </w:tcPr>
          <w:p w14:paraId="58E5E513" w14:textId="77777777" w:rsidR="00353F53" w:rsidRPr="0056239F" w:rsidRDefault="00353F53" w:rsidP="002F131C">
            <w:pPr>
              <w:rPr>
                <w:rFonts w:ascii="Montserrat Medium" w:eastAsia="Times New Roman" w:hAnsi="Montserrat Medium" w:cs="Calibri"/>
                <w:b/>
                <w:bCs/>
                <w:color w:val="000000"/>
                <w:sz w:val="16"/>
                <w:szCs w:val="18"/>
                <w:lang w:val="es-MX" w:eastAsia="es-MX"/>
              </w:rPr>
            </w:pPr>
            <w:r w:rsidRPr="0056239F">
              <w:rPr>
                <w:rFonts w:ascii="Montserrat Medium" w:eastAsia="Times New Roman" w:hAnsi="Montserrat Medium" w:cs="Calibri"/>
                <w:b/>
                <w:bCs/>
                <w:color w:val="000000"/>
                <w:sz w:val="16"/>
                <w:szCs w:val="18"/>
                <w:lang w:eastAsia="es-MX"/>
              </w:rPr>
              <w:lastRenderedPageBreak/>
              <w:t>Total</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1E2EC" w14:textId="4CC34F2B" w:rsidR="00353F53" w:rsidRPr="0056239F" w:rsidRDefault="00353F53" w:rsidP="002F131C">
            <w:pPr>
              <w:jc w:val="right"/>
              <w:rPr>
                <w:rFonts w:ascii="Montserrat Medium" w:eastAsia="Times New Roman" w:hAnsi="Montserrat Medium" w:cs="Calibri"/>
                <w:b/>
                <w:bCs/>
                <w:color w:val="000000"/>
                <w:sz w:val="16"/>
                <w:szCs w:val="18"/>
                <w:lang w:val="es-MX" w:eastAsia="es-MX"/>
              </w:rPr>
            </w:pPr>
            <w:r w:rsidRPr="0056239F">
              <w:rPr>
                <w:rFonts w:ascii="Montserrat Medium" w:hAnsi="Montserrat Medium" w:cs="Calibri"/>
                <w:b/>
                <w:bCs/>
                <w:color w:val="000000"/>
                <w:sz w:val="16"/>
                <w:szCs w:val="18"/>
              </w:rPr>
              <w:t>1,043,906,337.01</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B231F" w14:textId="362ACC27" w:rsidR="00353F53" w:rsidRPr="0056239F" w:rsidRDefault="00353F53" w:rsidP="002F131C">
            <w:pPr>
              <w:jc w:val="right"/>
              <w:rPr>
                <w:rFonts w:ascii="Montserrat Medium" w:eastAsia="Times New Roman" w:hAnsi="Montserrat Medium" w:cs="Calibri"/>
                <w:b/>
                <w:bCs/>
                <w:color w:val="000000"/>
                <w:sz w:val="16"/>
                <w:szCs w:val="18"/>
                <w:lang w:val="es-MX" w:eastAsia="es-MX"/>
              </w:rPr>
            </w:pPr>
            <w:r w:rsidRPr="0056239F">
              <w:rPr>
                <w:rFonts w:ascii="Montserrat Medium" w:hAnsi="Montserrat Medium" w:cs="Calibri"/>
                <w:b/>
                <w:bCs/>
                <w:color w:val="000000"/>
                <w:sz w:val="16"/>
                <w:szCs w:val="18"/>
              </w:rPr>
              <w:t>943,890,288.81</w:t>
            </w:r>
          </w:p>
        </w:tc>
      </w:tr>
    </w:tbl>
    <w:p w14:paraId="341E70ED" w14:textId="77777777" w:rsidR="00E242CA" w:rsidRPr="00D56579" w:rsidRDefault="00E242CA" w:rsidP="002F131C">
      <w:pPr>
        <w:ind w:left="1416" w:hanging="1416"/>
        <w:jc w:val="both"/>
        <w:rPr>
          <w:rFonts w:ascii="Montserrat Medium" w:eastAsia="Times New Roman" w:hAnsi="Montserrat Medium" w:cs="Arial"/>
          <w:b/>
          <w:color w:val="595959"/>
          <w:sz w:val="22"/>
          <w:szCs w:val="20"/>
          <w:lang w:eastAsia="en-US"/>
        </w:rPr>
      </w:pPr>
    </w:p>
    <w:p w14:paraId="4AE839C8" w14:textId="14699216" w:rsidR="001E3866" w:rsidRPr="00407330" w:rsidRDefault="002409FD" w:rsidP="002F131C">
      <w:pPr>
        <w:jc w:val="both"/>
        <w:rPr>
          <w:rFonts w:ascii="Montserrat Medium" w:eastAsia="Times New Roman" w:hAnsi="Montserrat Medium" w:cs="Arial"/>
          <w:b/>
          <w:color w:val="595959"/>
          <w:sz w:val="22"/>
          <w:lang w:eastAsia="en-US"/>
        </w:rPr>
      </w:pPr>
      <w:r w:rsidRPr="00407330">
        <w:rPr>
          <w:rFonts w:ascii="Montserrat Medium" w:eastAsia="Times New Roman" w:hAnsi="Montserrat Medium" w:cs="Arial"/>
          <w:b/>
          <w:color w:val="595959"/>
          <w:sz w:val="22"/>
          <w:lang w:eastAsia="en-US"/>
        </w:rPr>
        <w:t>3</w:t>
      </w:r>
      <w:r w:rsidR="00861788" w:rsidRPr="00407330">
        <w:rPr>
          <w:rFonts w:ascii="Montserrat Medium" w:eastAsia="Times New Roman" w:hAnsi="Montserrat Medium" w:cs="Arial"/>
          <w:b/>
          <w:color w:val="595959"/>
          <w:sz w:val="22"/>
          <w:lang w:eastAsia="en-US"/>
        </w:rPr>
        <w:t>.</w:t>
      </w:r>
      <w:r w:rsidR="001E3866" w:rsidRPr="00407330">
        <w:rPr>
          <w:rFonts w:ascii="Montserrat Medium" w:eastAsia="Times New Roman" w:hAnsi="Montserrat Medium" w:cs="Arial"/>
          <w:b/>
          <w:color w:val="595959"/>
          <w:sz w:val="22"/>
          <w:lang w:eastAsia="en-US"/>
        </w:rPr>
        <w:t xml:space="preserve"> Conciliación de los Flujos de Efectivo Netos de la</w:t>
      </w:r>
      <w:r w:rsidRPr="00407330">
        <w:rPr>
          <w:rFonts w:ascii="Montserrat Medium" w:eastAsia="Times New Roman" w:hAnsi="Montserrat Medium" w:cs="Arial"/>
          <w:b/>
          <w:color w:val="595959"/>
          <w:sz w:val="22"/>
          <w:lang w:eastAsia="en-US"/>
        </w:rPr>
        <w:t>s</w:t>
      </w:r>
      <w:r w:rsidR="001E3866" w:rsidRPr="00407330">
        <w:rPr>
          <w:rFonts w:ascii="Montserrat Medium" w:eastAsia="Times New Roman" w:hAnsi="Montserrat Medium" w:cs="Arial"/>
          <w:b/>
          <w:color w:val="595959"/>
          <w:sz w:val="22"/>
          <w:lang w:eastAsia="en-US"/>
        </w:rPr>
        <w:t xml:space="preserve"> Actividad</w:t>
      </w:r>
      <w:r w:rsidRPr="00407330">
        <w:rPr>
          <w:rFonts w:ascii="Montserrat Medium" w:eastAsia="Times New Roman" w:hAnsi="Montserrat Medium" w:cs="Arial"/>
          <w:b/>
          <w:color w:val="595959"/>
          <w:sz w:val="22"/>
          <w:lang w:eastAsia="en-US"/>
        </w:rPr>
        <w:t>es de Operación y los saldos de Resultados del Ejercicio (</w:t>
      </w:r>
      <w:r w:rsidR="001E3866" w:rsidRPr="00407330">
        <w:rPr>
          <w:rFonts w:ascii="Montserrat Medium" w:eastAsia="Times New Roman" w:hAnsi="Montserrat Medium" w:cs="Arial"/>
          <w:b/>
          <w:color w:val="595959"/>
          <w:sz w:val="22"/>
          <w:lang w:eastAsia="en-US"/>
        </w:rPr>
        <w:t>Ahorro/Desahorro</w:t>
      </w:r>
      <w:r w:rsidRPr="00407330">
        <w:rPr>
          <w:rFonts w:ascii="Montserrat Medium" w:eastAsia="Times New Roman" w:hAnsi="Montserrat Medium" w:cs="Arial"/>
          <w:b/>
          <w:color w:val="595959"/>
          <w:sz w:val="22"/>
          <w:lang w:eastAsia="en-US"/>
        </w:rPr>
        <w:t>)</w:t>
      </w:r>
    </w:p>
    <w:p w14:paraId="49FD8B04" w14:textId="77777777" w:rsidR="001E3866" w:rsidRPr="00407330" w:rsidRDefault="001E3866" w:rsidP="002F131C">
      <w:pPr>
        <w:ind w:left="708" w:hanging="424"/>
        <w:jc w:val="both"/>
        <w:rPr>
          <w:rFonts w:ascii="Montserrat Medium" w:eastAsia="Times New Roman" w:hAnsi="Montserrat Medium" w:cs="Tahoma"/>
          <w:b/>
          <w:color w:val="595959"/>
          <w:sz w:val="22"/>
          <w:lang w:eastAsia="en-US"/>
        </w:rPr>
      </w:pPr>
    </w:p>
    <w:p w14:paraId="1ECAFEBC" w14:textId="77777777" w:rsidR="002D69CA" w:rsidRPr="00407330" w:rsidRDefault="001E3866" w:rsidP="002F131C">
      <w:pPr>
        <w:jc w:val="both"/>
        <w:rPr>
          <w:rFonts w:ascii="Montserrat Medium" w:eastAsia="Times New Roman" w:hAnsi="Montserrat Medium" w:cs="Arial"/>
          <w:color w:val="595959"/>
          <w:sz w:val="22"/>
          <w:lang w:eastAsia="en-US"/>
        </w:rPr>
      </w:pPr>
      <w:r w:rsidRPr="00407330">
        <w:rPr>
          <w:rFonts w:ascii="Montserrat Medium" w:eastAsia="Times New Roman" w:hAnsi="Montserrat Medium" w:cs="Arial"/>
          <w:color w:val="595959"/>
          <w:sz w:val="22"/>
          <w:lang w:eastAsia="en-US"/>
        </w:rPr>
        <w:t xml:space="preserve">En el cuadro siguiente se muestran las operaciones que afectaron la actividad de operación, pero que no requirieron de flujo de efectivo o que no son propias de la operación: </w:t>
      </w:r>
    </w:p>
    <w:p w14:paraId="736CAB33" w14:textId="77777777" w:rsidR="00AE267F" w:rsidRPr="00407330" w:rsidRDefault="00AE267F" w:rsidP="002F131C">
      <w:pPr>
        <w:jc w:val="both"/>
        <w:rPr>
          <w:rFonts w:ascii="Montserrat Medium" w:eastAsia="Times New Roman" w:hAnsi="Montserrat Medium" w:cs="Arial"/>
          <w:color w:val="595959"/>
          <w:sz w:val="22"/>
          <w:lang w:eastAsia="en-US"/>
        </w:rPr>
      </w:pPr>
    </w:p>
    <w:tbl>
      <w:tblPr>
        <w:tblW w:w="9864" w:type="dxa"/>
        <w:jc w:val="center"/>
        <w:tblLayout w:type="fixed"/>
        <w:tblCellMar>
          <w:left w:w="70" w:type="dxa"/>
          <w:right w:w="70" w:type="dxa"/>
        </w:tblCellMar>
        <w:tblLook w:val="04A0" w:firstRow="1" w:lastRow="0" w:firstColumn="1" w:lastColumn="0" w:noHBand="0" w:noVBand="1"/>
      </w:tblPr>
      <w:tblGrid>
        <w:gridCol w:w="3584"/>
        <w:gridCol w:w="1559"/>
        <w:gridCol w:w="1559"/>
        <w:gridCol w:w="1559"/>
        <w:gridCol w:w="1603"/>
      </w:tblGrid>
      <w:tr w:rsidR="00E242CA" w:rsidRPr="00407330" w14:paraId="2A94F15E" w14:textId="77777777" w:rsidTr="006015CD">
        <w:trPr>
          <w:trHeight w:hRule="exact" w:val="430"/>
          <w:tblHeader/>
          <w:jc w:val="center"/>
        </w:trPr>
        <w:tc>
          <w:tcPr>
            <w:tcW w:w="9864" w:type="dxa"/>
            <w:gridSpan w:val="5"/>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tcPr>
          <w:p w14:paraId="2BEFD396" w14:textId="77777777" w:rsidR="00E242CA" w:rsidRPr="00407330" w:rsidRDefault="00E242CA" w:rsidP="002F131C">
            <w:pPr>
              <w:jc w:val="center"/>
              <w:rPr>
                <w:rFonts w:ascii="Montserrat Medium" w:eastAsia="Times New Roman" w:hAnsi="Montserrat Medium" w:cs="Calibri"/>
                <w:b/>
                <w:bCs/>
                <w:color w:val="000000"/>
                <w:sz w:val="16"/>
                <w:szCs w:val="16"/>
                <w:lang w:eastAsia="es-MX"/>
              </w:rPr>
            </w:pPr>
            <w:r w:rsidRPr="00407330">
              <w:rPr>
                <w:rFonts w:ascii="Montserrat Medium" w:eastAsia="Times New Roman" w:hAnsi="Montserrat Medium" w:cs="Calibri"/>
                <w:b/>
                <w:bCs/>
                <w:color w:val="000000"/>
                <w:sz w:val="16"/>
                <w:szCs w:val="16"/>
                <w:lang w:eastAsia="es-MX"/>
              </w:rPr>
              <w:t>CONCILIACIÓN DE FLUJOS DE EFECTIVO NETOS</w:t>
            </w:r>
          </w:p>
        </w:tc>
      </w:tr>
      <w:tr w:rsidR="00E242CA" w:rsidRPr="00407330" w14:paraId="70A4CE03" w14:textId="77777777" w:rsidTr="006015CD">
        <w:trPr>
          <w:trHeight w:hRule="exact" w:val="393"/>
          <w:tblHeader/>
          <w:jc w:val="center"/>
        </w:trPr>
        <w:tc>
          <w:tcPr>
            <w:tcW w:w="358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EFC6EC1" w14:textId="77777777" w:rsidR="00E242CA" w:rsidRPr="00407330" w:rsidRDefault="00E242CA" w:rsidP="002F131C">
            <w:pPr>
              <w:jc w:val="center"/>
              <w:rPr>
                <w:rFonts w:ascii="Montserrat Medium" w:eastAsia="Times New Roman" w:hAnsi="Montserrat Medium" w:cs="Calibri"/>
                <w:b/>
                <w:bCs/>
                <w:color w:val="000000"/>
                <w:sz w:val="16"/>
                <w:szCs w:val="16"/>
                <w:lang w:val="es-MX" w:eastAsia="es-MX"/>
              </w:rPr>
            </w:pPr>
            <w:r w:rsidRPr="00407330">
              <w:rPr>
                <w:rFonts w:ascii="Montserrat Medium" w:eastAsia="Times New Roman" w:hAnsi="Montserrat Medium" w:cs="Calibri"/>
                <w:b/>
                <w:bCs/>
                <w:color w:val="000000"/>
                <w:sz w:val="16"/>
                <w:szCs w:val="16"/>
                <w:lang w:eastAsia="es-MX"/>
              </w:rPr>
              <w:t>Concepto</w:t>
            </w:r>
          </w:p>
        </w:tc>
        <w:tc>
          <w:tcPr>
            <w:tcW w:w="31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531A028" w14:textId="5929AE55" w:rsidR="00E242CA" w:rsidRPr="00407330" w:rsidRDefault="00407330" w:rsidP="00C00037">
            <w:pPr>
              <w:jc w:val="center"/>
              <w:rPr>
                <w:rFonts w:ascii="Montserrat Medium" w:eastAsia="Times New Roman" w:hAnsi="Montserrat Medium" w:cs="Calibri"/>
                <w:b/>
                <w:bCs/>
                <w:color w:val="000000"/>
                <w:sz w:val="16"/>
                <w:szCs w:val="16"/>
                <w:lang w:val="es-MX" w:eastAsia="es-MX"/>
              </w:rPr>
            </w:pPr>
            <w:r w:rsidRPr="00407330">
              <w:rPr>
                <w:rFonts w:ascii="Montserrat Medium" w:eastAsia="Times New Roman" w:hAnsi="Montserrat Medium" w:cs="Calibri"/>
                <w:b/>
                <w:bCs/>
                <w:color w:val="000000"/>
                <w:sz w:val="16"/>
                <w:szCs w:val="16"/>
                <w:lang w:eastAsia="es-MX"/>
              </w:rPr>
              <w:t>Al 3</w:t>
            </w:r>
            <w:r w:rsidR="00C00037">
              <w:rPr>
                <w:rFonts w:ascii="Montserrat Medium" w:eastAsia="Times New Roman" w:hAnsi="Montserrat Medium" w:cs="Calibri"/>
                <w:b/>
                <w:bCs/>
                <w:color w:val="000000"/>
                <w:sz w:val="16"/>
                <w:szCs w:val="16"/>
                <w:lang w:eastAsia="es-MX"/>
              </w:rPr>
              <w:t>0</w:t>
            </w:r>
            <w:r w:rsidRPr="00407330">
              <w:rPr>
                <w:rFonts w:ascii="Montserrat Medium" w:eastAsia="Times New Roman" w:hAnsi="Montserrat Medium" w:cs="Calibri"/>
                <w:b/>
                <w:bCs/>
                <w:color w:val="000000"/>
                <w:sz w:val="16"/>
                <w:szCs w:val="16"/>
                <w:lang w:eastAsia="es-MX"/>
              </w:rPr>
              <w:t xml:space="preserve"> de </w:t>
            </w:r>
            <w:r w:rsidR="00353F53">
              <w:rPr>
                <w:rFonts w:ascii="Montserrat Medium" w:eastAsia="Times New Roman" w:hAnsi="Montserrat Medium" w:cs="Calibri"/>
                <w:b/>
                <w:bCs/>
                <w:color w:val="000000"/>
                <w:sz w:val="16"/>
                <w:szCs w:val="16"/>
                <w:lang w:eastAsia="es-MX"/>
              </w:rPr>
              <w:t>Junio</w:t>
            </w:r>
            <w:r w:rsidRPr="00407330">
              <w:rPr>
                <w:rFonts w:ascii="Montserrat Medium" w:eastAsia="Times New Roman" w:hAnsi="Montserrat Medium" w:cs="Calibri"/>
                <w:b/>
                <w:bCs/>
                <w:color w:val="000000"/>
                <w:sz w:val="16"/>
                <w:szCs w:val="16"/>
                <w:lang w:eastAsia="es-MX"/>
              </w:rPr>
              <w:t xml:space="preserve"> de </w:t>
            </w:r>
            <w:r w:rsidR="00E242CA" w:rsidRPr="00407330">
              <w:rPr>
                <w:rFonts w:ascii="Montserrat Medium" w:eastAsia="Times New Roman" w:hAnsi="Montserrat Medium" w:cs="Calibri"/>
                <w:b/>
                <w:bCs/>
                <w:color w:val="000000"/>
                <w:sz w:val="16"/>
                <w:szCs w:val="16"/>
                <w:lang w:eastAsia="es-MX"/>
              </w:rPr>
              <w:t>202</w:t>
            </w:r>
            <w:r w:rsidRPr="00407330">
              <w:rPr>
                <w:rFonts w:ascii="Montserrat Medium" w:eastAsia="Times New Roman" w:hAnsi="Montserrat Medium" w:cs="Calibri"/>
                <w:b/>
                <w:bCs/>
                <w:color w:val="000000"/>
                <w:sz w:val="16"/>
                <w:szCs w:val="16"/>
                <w:lang w:eastAsia="es-MX"/>
              </w:rPr>
              <w:t>5</w:t>
            </w:r>
          </w:p>
        </w:tc>
        <w:tc>
          <w:tcPr>
            <w:tcW w:w="31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D9E14A" w14:textId="49391029" w:rsidR="00E242CA" w:rsidRPr="00407330" w:rsidRDefault="00407330" w:rsidP="002F131C">
            <w:pPr>
              <w:jc w:val="center"/>
              <w:rPr>
                <w:rFonts w:ascii="Montserrat Medium" w:eastAsia="Times New Roman" w:hAnsi="Montserrat Medium" w:cs="Calibri"/>
                <w:b/>
                <w:bCs/>
                <w:color w:val="000000"/>
                <w:sz w:val="16"/>
                <w:szCs w:val="16"/>
                <w:lang w:val="es-MX" w:eastAsia="es-MX"/>
              </w:rPr>
            </w:pPr>
            <w:r w:rsidRPr="00407330">
              <w:rPr>
                <w:rFonts w:ascii="Montserrat Medium" w:eastAsia="Times New Roman" w:hAnsi="Montserrat Medium" w:cs="Calibri"/>
                <w:b/>
                <w:bCs/>
                <w:color w:val="000000"/>
                <w:sz w:val="16"/>
                <w:szCs w:val="16"/>
                <w:lang w:eastAsia="es-MX"/>
              </w:rPr>
              <w:t>2024</w:t>
            </w:r>
          </w:p>
        </w:tc>
      </w:tr>
      <w:tr w:rsidR="00353F53" w:rsidRPr="00407330" w14:paraId="78DA3F01" w14:textId="77777777" w:rsidTr="00B1325C">
        <w:trPr>
          <w:trHeight w:hRule="exact" w:val="255"/>
          <w:jc w:val="center"/>
        </w:trPr>
        <w:tc>
          <w:tcPr>
            <w:tcW w:w="3584" w:type="dxa"/>
            <w:tcBorders>
              <w:top w:val="single" w:sz="4" w:space="0" w:color="auto"/>
              <w:left w:val="single" w:sz="4" w:space="0" w:color="auto"/>
              <w:right w:val="nil"/>
            </w:tcBorders>
            <w:shd w:val="clear" w:color="auto" w:fill="auto"/>
            <w:noWrap/>
            <w:vAlign w:val="bottom"/>
            <w:hideMark/>
          </w:tcPr>
          <w:p w14:paraId="7D804C49" w14:textId="77777777" w:rsidR="00353F53" w:rsidRPr="00407330" w:rsidRDefault="00353F53" w:rsidP="002F131C">
            <w:pPr>
              <w:rPr>
                <w:rFonts w:ascii="Montserrat Medium" w:eastAsia="Times New Roman" w:hAnsi="Montserrat Medium" w:cs="Calibri"/>
                <w:b/>
                <w:bCs/>
                <w:color w:val="000000"/>
                <w:sz w:val="16"/>
                <w:szCs w:val="16"/>
                <w:lang w:val="es-MX" w:eastAsia="es-MX"/>
              </w:rPr>
            </w:pPr>
            <w:r w:rsidRPr="00407330">
              <w:rPr>
                <w:rFonts w:ascii="Montserrat Medium" w:eastAsia="Times New Roman" w:hAnsi="Montserrat Medium" w:cs="Calibri"/>
                <w:b/>
                <w:bCs/>
                <w:color w:val="000000"/>
                <w:sz w:val="16"/>
                <w:szCs w:val="16"/>
                <w:lang w:eastAsia="es-MX"/>
              </w:rPr>
              <w:t>Resultados del Ejercicio Ahorro/Desahorro</w:t>
            </w:r>
          </w:p>
        </w:tc>
        <w:tc>
          <w:tcPr>
            <w:tcW w:w="1559" w:type="dxa"/>
            <w:tcBorders>
              <w:top w:val="single" w:sz="4" w:space="0" w:color="auto"/>
              <w:left w:val="single" w:sz="4" w:space="0" w:color="auto"/>
            </w:tcBorders>
            <w:shd w:val="clear" w:color="auto" w:fill="auto"/>
            <w:noWrap/>
            <w:vAlign w:val="center"/>
            <w:hideMark/>
          </w:tcPr>
          <w:p w14:paraId="3DFB8ED2" w14:textId="36D60781" w:rsidR="00353F53" w:rsidRPr="00407330" w:rsidRDefault="00353F53" w:rsidP="002F131C">
            <w:pPr>
              <w:jc w:val="right"/>
              <w:rPr>
                <w:rFonts w:ascii="Montserrat Medium" w:eastAsia="Times New Roman" w:hAnsi="Montserrat Medium" w:cs="Calibri"/>
                <w:b/>
                <w:bCs/>
                <w:color w:val="000000"/>
                <w:sz w:val="16"/>
                <w:szCs w:val="16"/>
                <w:lang w:val="es-MX" w:eastAsia="es-MX"/>
              </w:rPr>
            </w:pPr>
            <w:r>
              <w:rPr>
                <w:rFonts w:ascii="Montserrat Medium" w:hAnsi="Montserrat Medium" w:cs="Calibri"/>
                <w:b/>
                <w:bCs/>
                <w:color w:val="000000"/>
                <w:sz w:val="16"/>
                <w:szCs w:val="16"/>
              </w:rPr>
              <w:t> </w:t>
            </w:r>
          </w:p>
        </w:tc>
        <w:tc>
          <w:tcPr>
            <w:tcW w:w="1559" w:type="dxa"/>
            <w:tcBorders>
              <w:top w:val="single" w:sz="4" w:space="0" w:color="auto"/>
              <w:left w:val="nil"/>
              <w:right w:val="nil"/>
            </w:tcBorders>
            <w:shd w:val="clear" w:color="auto" w:fill="auto"/>
            <w:vAlign w:val="center"/>
          </w:tcPr>
          <w:p w14:paraId="76A2E354" w14:textId="06EE7F8D" w:rsidR="00353F53" w:rsidRPr="00407330" w:rsidRDefault="00353F53" w:rsidP="002F131C">
            <w:pPr>
              <w:jc w:val="right"/>
              <w:rPr>
                <w:rFonts w:ascii="Montserrat Medium" w:eastAsia="Times New Roman" w:hAnsi="Montserrat Medium" w:cs="Calibri"/>
                <w:b/>
                <w:bCs/>
                <w:color w:val="000000"/>
                <w:sz w:val="16"/>
                <w:szCs w:val="16"/>
                <w:lang w:eastAsia="es-MX"/>
              </w:rPr>
            </w:pPr>
            <w:r>
              <w:rPr>
                <w:rFonts w:ascii="Montserrat Medium" w:hAnsi="Montserrat Medium" w:cs="Calibri"/>
                <w:b/>
                <w:bCs/>
                <w:color w:val="000000"/>
                <w:sz w:val="16"/>
                <w:szCs w:val="16"/>
              </w:rPr>
              <w:t>5,685,915,085.66</w:t>
            </w:r>
          </w:p>
        </w:tc>
        <w:tc>
          <w:tcPr>
            <w:tcW w:w="1559" w:type="dxa"/>
            <w:tcBorders>
              <w:top w:val="single" w:sz="4" w:space="0" w:color="auto"/>
              <w:left w:val="single" w:sz="4" w:space="0" w:color="auto"/>
            </w:tcBorders>
            <w:shd w:val="clear" w:color="auto" w:fill="auto"/>
            <w:vAlign w:val="bottom"/>
            <w:hideMark/>
          </w:tcPr>
          <w:p w14:paraId="61F813EF" w14:textId="0DE2C693" w:rsidR="00353F53" w:rsidRPr="00407330" w:rsidRDefault="00353F53" w:rsidP="002F131C">
            <w:pPr>
              <w:jc w:val="right"/>
              <w:rPr>
                <w:rFonts w:ascii="Montserrat Medium" w:eastAsia="Times New Roman" w:hAnsi="Montserrat Medium" w:cs="Calibri"/>
                <w:b/>
                <w:bCs/>
                <w:color w:val="000000"/>
                <w:sz w:val="16"/>
                <w:szCs w:val="16"/>
                <w:lang w:val="es-MX" w:eastAsia="es-MX"/>
              </w:rPr>
            </w:pPr>
          </w:p>
        </w:tc>
        <w:tc>
          <w:tcPr>
            <w:tcW w:w="1603" w:type="dxa"/>
            <w:tcBorders>
              <w:top w:val="single" w:sz="4" w:space="0" w:color="auto"/>
              <w:left w:val="nil"/>
              <w:right w:val="single" w:sz="4" w:space="0" w:color="auto"/>
            </w:tcBorders>
            <w:shd w:val="clear" w:color="auto" w:fill="auto"/>
            <w:vAlign w:val="bottom"/>
            <w:hideMark/>
          </w:tcPr>
          <w:p w14:paraId="0521B2EF" w14:textId="2BD18F58" w:rsidR="00353F53" w:rsidRPr="00407330" w:rsidRDefault="00353F53" w:rsidP="002F131C">
            <w:pPr>
              <w:jc w:val="right"/>
              <w:rPr>
                <w:rFonts w:ascii="Montserrat Medium" w:eastAsia="Times New Roman" w:hAnsi="Montserrat Medium" w:cs="Calibri"/>
                <w:b/>
                <w:bCs/>
                <w:color w:val="000000"/>
                <w:sz w:val="16"/>
                <w:szCs w:val="16"/>
                <w:lang w:val="es-MX" w:eastAsia="es-MX"/>
              </w:rPr>
            </w:pPr>
            <w:r w:rsidRPr="00407330">
              <w:rPr>
                <w:rFonts w:ascii="Montserrat Medium" w:hAnsi="Montserrat Medium" w:cs="Calibri"/>
                <w:b/>
                <w:color w:val="000000"/>
                <w:sz w:val="16"/>
                <w:szCs w:val="16"/>
              </w:rPr>
              <w:t>1,866,455,753.26</w:t>
            </w:r>
          </w:p>
        </w:tc>
      </w:tr>
      <w:tr w:rsidR="00353F53" w:rsidRPr="00407330" w14:paraId="667557BA" w14:textId="77777777" w:rsidTr="00B1325C">
        <w:trPr>
          <w:trHeight w:hRule="exact" w:val="379"/>
          <w:jc w:val="center"/>
        </w:trPr>
        <w:tc>
          <w:tcPr>
            <w:tcW w:w="3584" w:type="dxa"/>
            <w:tcBorders>
              <w:left w:val="single" w:sz="4" w:space="0" w:color="auto"/>
              <w:bottom w:val="nil"/>
              <w:right w:val="nil"/>
            </w:tcBorders>
            <w:shd w:val="clear" w:color="auto" w:fill="auto"/>
            <w:noWrap/>
            <w:vAlign w:val="bottom"/>
            <w:hideMark/>
          </w:tcPr>
          <w:p w14:paraId="67B014CE" w14:textId="77777777" w:rsidR="00353F53" w:rsidRPr="00407330" w:rsidRDefault="00353F53" w:rsidP="002F131C">
            <w:pPr>
              <w:rPr>
                <w:rFonts w:ascii="Montserrat Medium" w:eastAsia="Times New Roman" w:hAnsi="Montserrat Medium" w:cs="Calibri"/>
                <w:b/>
                <w:bCs/>
                <w:color w:val="000000"/>
                <w:sz w:val="16"/>
                <w:szCs w:val="16"/>
                <w:lang w:val="es-MX" w:eastAsia="es-MX"/>
              </w:rPr>
            </w:pPr>
            <w:r w:rsidRPr="00407330">
              <w:rPr>
                <w:rFonts w:ascii="Montserrat Medium" w:eastAsia="Times New Roman" w:hAnsi="Montserrat Medium" w:cs="Calibri"/>
                <w:b/>
                <w:bCs/>
                <w:color w:val="000000"/>
                <w:sz w:val="16"/>
                <w:szCs w:val="16"/>
                <w:lang w:eastAsia="es-MX"/>
              </w:rPr>
              <w:t>Movimientos de partidas (o rubros) que no afectan al efectivo</w:t>
            </w:r>
          </w:p>
        </w:tc>
        <w:tc>
          <w:tcPr>
            <w:tcW w:w="1559" w:type="dxa"/>
            <w:tcBorders>
              <w:left w:val="single" w:sz="4" w:space="0" w:color="auto"/>
              <w:bottom w:val="nil"/>
            </w:tcBorders>
            <w:shd w:val="clear" w:color="auto" w:fill="auto"/>
            <w:noWrap/>
            <w:vAlign w:val="center"/>
            <w:hideMark/>
          </w:tcPr>
          <w:p w14:paraId="691AFE06" w14:textId="3F64BCED" w:rsidR="00353F53" w:rsidRPr="00407330" w:rsidRDefault="00353F53" w:rsidP="002F131C">
            <w:pPr>
              <w:jc w:val="right"/>
              <w:rPr>
                <w:rFonts w:ascii="Montserrat Medium" w:eastAsia="Times New Roman" w:hAnsi="Montserrat Medium" w:cs="Calibri"/>
                <w:color w:val="000000"/>
                <w:sz w:val="16"/>
                <w:szCs w:val="16"/>
                <w:lang w:val="es-MX" w:eastAsia="es-MX"/>
              </w:rPr>
            </w:pPr>
            <w:r>
              <w:rPr>
                <w:rFonts w:ascii="Montserrat Medium" w:hAnsi="Montserrat Medium" w:cs="Calibri"/>
                <w:color w:val="000000"/>
                <w:sz w:val="16"/>
                <w:szCs w:val="16"/>
              </w:rPr>
              <w:t> </w:t>
            </w:r>
          </w:p>
        </w:tc>
        <w:tc>
          <w:tcPr>
            <w:tcW w:w="1559" w:type="dxa"/>
            <w:tcBorders>
              <w:left w:val="nil"/>
              <w:bottom w:val="nil"/>
              <w:right w:val="nil"/>
            </w:tcBorders>
            <w:shd w:val="clear" w:color="auto" w:fill="auto"/>
            <w:vAlign w:val="center"/>
          </w:tcPr>
          <w:p w14:paraId="4B900831" w14:textId="13FB1C46" w:rsidR="00353F53" w:rsidRPr="00407330" w:rsidRDefault="00353F53" w:rsidP="002F131C">
            <w:pPr>
              <w:jc w:val="right"/>
              <w:rPr>
                <w:rFonts w:ascii="Montserrat Medium" w:eastAsia="Times New Roman" w:hAnsi="Montserrat Medium" w:cs="Calibri"/>
                <w:b/>
                <w:bCs/>
                <w:color w:val="000000"/>
                <w:sz w:val="16"/>
                <w:szCs w:val="16"/>
                <w:lang w:val="es-MX" w:eastAsia="es-MX"/>
              </w:rPr>
            </w:pPr>
            <w:r>
              <w:rPr>
                <w:rFonts w:ascii="Montserrat Medium" w:hAnsi="Montserrat Medium" w:cs="Calibri"/>
                <w:b/>
                <w:bCs/>
                <w:color w:val="000000"/>
                <w:sz w:val="16"/>
                <w:szCs w:val="16"/>
              </w:rPr>
              <w:t>1,031,617,788.19</w:t>
            </w:r>
          </w:p>
        </w:tc>
        <w:tc>
          <w:tcPr>
            <w:tcW w:w="1559" w:type="dxa"/>
            <w:tcBorders>
              <w:left w:val="single" w:sz="4" w:space="0" w:color="auto"/>
              <w:bottom w:val="nil"/>
            </w:tcBorders>
            <w:shd w:val="clear" w:color="auto" w:fill="auto"/>
            <w:vAlign w:val="bottom"/>
            <w:hideMark/>
          </w:tcPr>
          <w:p w14:paraId="6F971BBC" w14:textId="2174E0C9" w:rsidR="00353F53" w:rsidRPr="00407330" w:rsidRDefault="00353F53" w:rsidP="002F131C">
            <w:pPr>
              <w:jc w:val="right"/>
              <w:rPr>
                <w:rFonts w:ascii="Montserrat Medium" w:eastAsia="Times New Roman" w:hAnsi="Montserrat Medium" w:cs="Calibri"/>
                <w:b/>
                <w:bCs/>
                <w:color w:val="000000"/>
                <w:sz w:val="16"/>
                <w:szCs w:val="16"/>
                <w:lang w:val="es-MX" w:eastAsia="es-MX"/>
              </w:rPr>
            </w:pPr>
          </w:p>
        </w:tc>
        <w:tc>
          <w:tcPr>
            <w:tcW w:w="1603" w:type="dxa"/>
            <w:tcBorders>
              <w:left w:val="nil"/>
              <w:bottom w:val="nil"/>
              <w:right w:val="single" w:sz="4" w:space="0" w:color="auto"/>
            </w:tcBorders>
            <w:shd w:val="clear" w:color="auto" w:fill="auto"/>
            <w:vAlign w:val="bottom"/>
            <w:hideMark/>
          </w:tcPr>
          <w:p w14:paraId="130FF6A2" w14:textId="07E62B4C" w:rsidR="00353F53" w:rsidRPr="00407330" w:rsidRDefault="00353F53" w:rsidP="002F131C">
            <w:pPr>
              <w:jc w:val="right"/>
              <w:rPr>
                <w:rFonts w:ascii="Montserrat Medium" w:eastAsia="Times New Roman" w:hAnsi="Montserrat Medium" w:cs="Calibri"/>
                <w:b/>
                <w:bCs/>
                <w:color w:val="000000"/>
                <w:sz w:val="16"/>
                <w:szCs w:val="16"/>
                <w:lang w:val="es-MX" w:eastAsia="es-MX"/>
              </w:rPr>
            </w:pPr>
            <w:r w:rsidRPr="00407330">
              <w:rPr>
                <w:rFonts w:ascii="Montserrat Medium" w:hAnsi="Montserrat Medium" w:cs="Calibri"/>
                <w:b/>
                <w:color w:val="000000"/>
                <w:sz w:val="16"/>
                <w:szCs w:val="16"/>
              </w:rPr>
              <w:t>2,222,364,008.13</w:t>
            </w:r>
          </w:p>
        </w:tc>
      </w:tr>
      <w:tr w:rsidR="00353F53" w:rsidRPr="00407330" w14:paraId="7BC5ED58" w14:textId="77777777" w:rsidTr="00B1325C">
        <w:trPr>
          <w:trHeight w:hRule="exact" w:val="227"/>
          <w:jc w:val="center"/>
        </w:trPr>
        <w:tc>
          <w:tcPr>
            <w:tcW w:w="3584" w:type="dxa"/>
            <w:tcBorders>
              <w:top w:val="nil"/>
              <w:left w:val="single" w:sz="4" w:space="0" w:color="auto"/>
              <w:right w:val="nil"/>
            </w:tcBorders>
            <w:shd w:val="clear" w:color="auto" w:fill="auto"/>
            <w:noWrap/>
            <w:vAlign w:val="bottom"/>
            <w:hideMark/>
          </w:tcPr>
          <w:p w14:paraId="3EB36139" w14:textId="77777777" w:rsidR="00353F53" w:rsidRPr="00407330" w:rsidRDefault="00353F53" w:rsidP="002F131C">
            <w:pPr>
              <w:rPr>
                <w:rFonts w:ascii="Montserrat Medium" w:eastAsia="Times New Roman" w:hAnsi="Montserrat Medium" w:cs="Calibri"/>
                <w:color w:val="000000"/>
                <w:sz w:val="16"/>
                <w:szCs w:val="16"/>
                <w:lang w:val="es-MX" w:eastAsia="es-MX"/>
              </w:rPr>
            </w:pPr>
            <w:r w:rsidRPr="00407330">
              <w:rPr>
                <w:rFonts w:ascii="Montserrat Medium" w:eastAsia="Times New Roman" w:hAnsi="Montserrat Medium" w:cs="Calibri"/>
                <w:color w:val="000000"/>
                <w:sz w:val="16"/>
                <w:szCs w:val="16"/>
                <w:lang w:eastAsia="es-MX"/>
              </w:rPr>
              <w:t>Otros ingresos que no generaron efectivo</w:t>
            </w:r>
          </w:p>
        </w:tc>
        <w:tc>
          <w:tcPr>
            <w:tcW w:w="1559" w:type="dxa"/>
            <w:tcBorders>
              <w:top w:val="nil"/>
              <w:left w:val="single" w:sz="4" w:space="0" w:color="auto"/>
            </w:tcBorders>
            <w:shd w:val="clear" w:color="auto" w:fill="auto"/>
            <w:noWrap/>
            <w:vAlign w:val="center"/>
          </w:tcPr>
          <w:p w14:paraId="2653139F" w14:textId="5DBEA8DD" w:rsidR="00353F53" w:rsidRPr="00407330" w:rsidRDefault="00353F53" w:rsidP="002F131C">
            <w:pPr>
              <w:jc w:val="right"/>
              <w:rPr>
                <w:rFonts w:ascii="Montserrat Medium" w:eastAsia="Times New Roman" w:hAnsi="Montserrat Medium" w:cs="Calibri"/>
                <w:color w:val="000000"/>
                <w:sz w:val="16"/>
                <w:szCs w:val="16"/>
                <w:lang w:val="es-MX" w:eastAsia="es-MX"/>
              </w:rPr>
            </w:pPr>
            <w:r>
              <w:rPr>
                <w:rFonts w:ascii="Montserrat Medium" w:hAnsi="Montserrat Medium" w:cs="Calibri"/>
                <w:color w:val="000000"/>
                <w:sz w:val="16"/>
                <w:szCs w:val="16"/>
              </w:rPr>
              <w:t>6,711,721.00</w:t>
            </w:r>
          </w:p>
        </w:tc>
        <w:tc>
          <w:tcPr>
            <w:tcW w:w="1559" w:type="dxa"/>
            <w:tcBorders>
              <w:top w:val="nil"/>
              <w:left w:val="nil"/>
              <w:right w:val="nil"/>
            </w:tcBorders>
            <w:shd w:val="clear" w:color="auto" w:fill="auto"/>
            <w:vAlign w:val="center"/>
          </w:tcPr>
          <w:p w14:paraId="5C247C53" w14:textId="03291379" w:rsidR="00353F53" w:rsidRPr="00407330" w:rsidRDefault="00353F53" w:rsidP="002F131C">
            <w:pPr>
              <w:jc w:val="right"/>
              <w:rPr>
                <w:rFonts w:ascii="Montserrat Medium" w:eastAsia="Times New Roman" w:hAnsi="Montserrat Medium" w:cs="Calibri"/>
                <w:color w:val="000000"/>
                <w:sz w:val="16"/>
                <w:szCs w:val="16"/>
                <w:lang w:val="es-MX" w:eastAsia="es-MX"/>
              </w:rPr>
            </w:pPr>
            <w:r>
              <w:rPr>
                <w:rFonts w:ascii="Montserrat Medium" w:hAnsi="Montserrat Medium" w:cs="Calibri"/>
                <w:color w:val="000000"/>
                <w:sz w:val="16"/>
                <w:szCs w:val="16"/>
              </w:rPr>
              <w:t> </w:t>
            </w:r>
          </w:p>
        </w:tc>
        <w:tc>
          <w:tcPr>
            <w:tcW w:w="1559" w:type="dxa"/>
            <w:tcBorders>
              <w:top w:val="nil"/>
              <w:left w:val="single" w:sz="4" w:space="0" w:color="auto"/>
            </w:tcBorders>
            <w:shd w:val="clear" w:color="auto" w:fill="auto"/>
            <w:vAlign w:val="bottom"/>
            <w:hideMark/>
          </w:tcPr>
          <w:p w14:paraId="7EC26A85" w14:textId="3CF358B1" w:rsidR="00353F53" w:rsidRPr="00407330" w:rsidRDefault="00353F53" w:rsidP="002F131C">
            <w:pPr>
              <w:jc w:val="right"/>
              <w:rPr>
                <w:rFonts w:ascii="Montserrat Medium" w:eastAsia="Times New Roman" w:hAnsi="Montserrat Medium" w:cs="Calibri"/>
                <w:color w:val="000000"/>
                <w:sz w:val="16"/>
                <w:szCs w:val="16"/>
                <w:lang w:val="es-MX" w:eastAsia="es-MX"/>
              </w:rPr>
            </w:pPr>
            <w:r w:rsidRPr="00407330">
              <w:rPr>
                <w:rFonts w:ascii="Montserrat Medium" w:hAnsi="Montserrat Medium" w:cs="Calibri"/>
                <w:color w:val="000000"/>
                <w:sz w:val="16"/>
                <w:szCs w:val="16"/>
              </w:rPr>
              <w:t>615,549.69</w:t>
            </w:r>
          </w:p>
        </w:tc>
        <w:tc>
          <w:tcPr>
            <w:tcW w:w="1603" w:type="dxa"/>
            <w:tcBorders>
              <w:top w:val="nil"/>
              <w:left w:val="nil"/>
              <w:right w:val="single" w:sz="4" w:space="0" w:color="auto"/>
            </w:tcBorders>
            <w:shd w:val="clear" w:color="auto" w:fill="auto"/>
            <w:vAlign w:val="bottom"/>
            <w:hideMark/>
          </w:tcPr>
          <w:p w14:paraId="037D5F84" w14:textId="77777777" w:rsidR="00353F53" w:rsidRPr="00407330" w:rsidRDefault="00353F53" w:rsidP="002F131C">
            <w:pPr>
              <w:jc w:val="right"/>
              <w:rPr>
                <w:rFonts w:ascii="Montserrat Medium" w:eastAsia="Times New Roman" w:hAnsi="Montserrat Medium" w:cs="Calibri"/>
                <w:color w:val="000000"/>
                <w:sz w:val="16"/>
                <w:szCs w:val="16"/>
                <w:lang w:val="es-MX" w:eastAsia="es-MX"/>
              </w:rPr>
            </w:pPr>
          </w:p>
        </w:tc>
      </w:tr>
      <w:tr w:rsidR="00353F53" w:rsidRPr="00407330" w14:paraId="5861869A" w14:textId="77777777" w:rsidTr="00B1325C">
        <w:trPr>
          <w:trHeight w:hRule="exact" w:val="227"/>
          <w:jc w:val="center"/>
        </w:trPr>
        <w:tc>
          <w:tcPr>
            <w:tcW w:w="3584" w:type="dxa"/>
            <w:tcBorders>
              <w:top w:val="nil"/>
              <w:left w:val="single" w:sz="4" w:space="0" w:color="auto"/>
              <w:right w:val="nil"/>
            </w:tcBorders>
            <w:shd w:val="clear" w:color="auto" w:fill="auto"/>
            <w:noWrap/>
            <w:vAlign w:val="bottom"/>
            <w:hideMark/>
          </w:tcPr>
          <w:p w14:paraId="732F311E" w14:textId="77777777" w:rsidR="00353F53" w:rsidRPr="00407330" w:rsidRDefault="00353F53" w:rsidP="002F131C">
            <w:pPr>
              <w:rPr>
                <w:rFonts w:ascii="Montserrat Medium" w:eastAsia="Times New Roman" w:hAnsi="Montserrat Medium" w:cs="Calibri"/>
                <w:color w:val="000000"/>
                <w:sz w:val="16"/>
                <w:szCs w:val="16"/>
                <w:lang w:eastAsia="es-MX"/>
              </w:rPr>
            </w:pPr>
            <w:r w:rsidRPr="00407330">
              <w:rPr>
                <w:rFonts w:ascii="Montserrat Medium" w:eastAsia="Times New Roman" w:hAnsi="Montserrat Medium" w:cs="Calibri"/>
                <w:color w:val="000000"/>
                <w:sz w:val="16"/>
                <w:szCs w:val="16"/>
                <w:lang w:eastAsia="es-MX"/>
              </w:rPr>
              <w:t>Depreciación</w:t>
            </w:r>
          </w:p>
        </w:tc>
        <w:tc>
          <w:tcPr>
            <w:tcW w:w="1559" w:type="dxa"/>
            <w:tcBorders>
              <w:top w:val="nil"/>
              <w:left w:val="single" w:sz="4" w:space="0" w:color="auto"/>
            </w:tcBorders>
            <w:shd w:val="clear" w:color="auto" w:fill="auto"/>
            <w:noWrap/>
            <w:vAlign w:val="center"/>
          </w:tcPr>
          <w:p w14:paraId="747C3851" w14:textId="0338CB62" w:rsidR="00353F53" w:rsidRPr="00407330" w:rsidRDefault="00353F53" w:rsidP="002F131C">
            <w:pPr>
              <w:jc w:val="right"/>
              <w:rPr>
                <w:rFonts w:ascii="Montserrat Medium" w:eastAsia="Times New Roman" w:hAnsi="Montserrat Medium" w:cs="Calibri"/>
                <w:color w:val="000000"/>
                <w:sz w:val="16"/>
                <w:szCs w:val="16"/>
                <w:lang w:val="es-MX" w:eastAsia="es-MX"/>
              </w:rPr>
            </w:pPr>
            <w:r>
              <w:rPr>
                <w:rFonts w:ascii="Montserrat Medium" w:hAnsi="Montserrat Medium" w:cs="Calibri"/>
                <w:color w:val="000000"/>
                <w:sz w:val="16"/>
                <w:szCs w:val="16"/>
              </w:rPr>
              <w:t>20,967,931.36</w:t>
            </w:r>
          </w:p>
        </w:tc>
        <w:tc>
          <w:tcPr>
            <w:tcW w:w="1559" w:type="dxa"/>
            <w:tcBorders>
              <w:top w:val="nil"/>
              <w:left w:val="nil"/>
              <w:right w:val="nil"/>
            </w:tcBorders>
            <w:shd w:val="clear" w:color="auto" w:fill="auto"/>
            <w:vAlign w:val="center"/>
          </w:tcPr>
          <w:p w14:paraId="5C897555" w14:textId="77777777" w:rsidR="00353F53" w:rsidRPr="00407330" w:rsidRDefault="00353F53" w:rsidP="002F131C">
            <w:pPr>
              <w:jc w:val="right"/>
              <w:rPr>
                <w:rFonts w:ascii="Montserrat Medium" w:eastAsia="Times New Roman" w:hAnsi="Montserrat Medium" w:cs="Calibri"/>
                <w:color w:val="000000"/>
                <w:sz w:val="16"/>
                <w:szCs w:val="16"/>
                <w:lang w:val="es-MX" w:eastAsia="es-MX"/>
              </w:rPr>
            </w:pPr>
          </w:p>
        </w:tc>
        <w:tc>
          <w:tcPr>
            <w:tcW w:w="1559" w:type="dxa"/>
            <w:tcBorders>
              <w:top w:val="nil"/>
              <w:left w:val="single" w:sz="4" w:space="0" w:color="auto"/>
            </w:tcBorders>
            <w:shd w:val="clear" w:color="auto" w:fill="auto"/>
            <w:vAlign w:val="bottom"/>
            <w:hideMark/>
          </w:tcPr>
          <w:p w14:paraId="20672C1A" w14:textId="78E22EB1" w:rsidR="00353F53" w:rsidRPr="00407330" w:rsidRDefault="00353F53" w:rsidP="002F131C">
            <w:pPr>
              <w:jc w:val="right"/>
              <w:rPr>
                <w:rFonts w:ascii="Montserrat Medium" w:eastAsia="Times New Roman" w:hAnsi="Montserrat Medium" w:cs="Calibri"/>
                <w:color w:val="000000"/>
                <w:sz w:val="16"/>
                <w:szCs w:val="16"/>
                <w:lang w:val="es-MX" w:eastAsia="es-MX"/>
              </w:rPr>
            </w:pPr>
            <w:r w:rsidRPr="00407330">
              <w:rPr>
                <w:rFonts w:ascii="Montserrat Medium" w:hAnsi="Montserrat Medium" w:cs="Calibri"/>
                <w:color w:val="000000"/>
                <w:sz w:val="16"/>
                <w:szCs w:val="16"/>
              </w:rPr>
              <w:t>10,302,259.68</w:t>
            </w:r>
          </w:p>
        </w:tc>
        <w:tc>
          <w:tcPr>
            <w:tcW w:w="1603" w:type="dxa"/>
            <w:tcBorders>
              <w:top w:val="nil"/>
              <w:left w:val="nil"/>
              <w:right w:val="single" w:sz="4" w:space="0" w:color="auto"/>
            </w:tcBorders>
            <w:shd w:val="clear" w:color="auto" w:fill="auto"/>
            <w:vAlign w:val="bottom"/>
            <w:hideMark/>
          </w:tcPr>
          <w:p w14:paraId="31139C57" w14:textId="77777777" w:rsidR="00353F53" w:rsidRPr="00407330" w:rsidRDefault="00353F53" w:rsidP="002F131C">
            <w:pPr>
              <w:jc w:val="right"/>
              <w:rPr>
                <w:rFonts w:ascii="Montserrat Medium" w:eastAsia="Times New Roman" w:hAnsi="Montserrat Medium" w:cs="Calibri"/>
                <w:color w:val="000000"/>
                <w:sz w:val="16"/>
                <w:szCs w:val="16"/>
                <w:lang w:val="es-MX" w:eastAsia="es-MX"/>
              </w:rPr>
            </w:pPr>
          </w:p>
        </w:tc>
      </w:tr>
      <w:tr w:rsidR="00353F53" w:rsidRPr="00407330" w14:paraId="34901827" w14:textId="77777777" w:rsidTr="00B1325C">
        <w:trPr>
          <w:trHeight w:hRule="exact" w:val="227"/>
          <w:jc w:val="center"/>
        </w:trPr>
        <w:tc>
          <w:tcPr>
            <w:tcW w:w="3584" w:type="dxa"/>
            <w:tcBorders>
              <w:top w:val="nil"/>
              <w:left w:val="single" w:sz="4" w:space="0" w:color="auto"/>
              <w:right w:val="nil"/>
            </w:tcBorders>
            <w:shd w:val="clear" w:color="auto" w:fill="auto"/>
            <w:noWrap/>
            <w:vAlign w:val="bottom"/>
          </w:tcPr>
          <w:p w14:paraId="3075A959" w14:textId="77777777" w:rsidR="00353F53" w:rsidRPr="00407330" w:rsidRDefault="00353F53" w:rsidP="002F131C">
            <w:pPr>
              <w:rPr>
                <w:rFonts w:ascii="Montserrat Medium" w:eastAsia="Times New Roman" w:hAnsi="Montserrat Medium" w:cs="Calibri"/>
                <w:color w:val="000000"/>
                <w:sz w:val="16"/>
                <w:szCs w:val="16"/>
                <w:lang w:eastAsia="es-MX"/>
              </w:rPr>
            </w:pPr>
            <w:r w:rsidRPr="00407330">
              <w:rPr>
                <w:rFonts w:ascii="Montserrat Medium" w:eastAsia="Times New Roman" w:hAnsi="Montserrat Medium" w:cs="Calibri"/>
                <w:color w:val="000000"/>
                <w:sz w:val="16"/>
                <w:szCs w:val="16"/>
                <w:lang w:eastAsia="es-MX"/>
              </w:rPr>
              <w:t>Amortización</w:t>
            </w:r>
          </w:p>
        </w:tc>
        <w:tc>
          <w:tcPr>
            <w:tcW w:w="1559" w:type="dxa"/>
            <w:tcBorders>
              <w:top w:val="nil"/>
              <w:left w:val="single" w:sz="4" w:space="0" w:color="auto"/>
            </w:tcBorders>
            <w:shd w:val="clear" w:color="auto" w:fill="auto"/>
            <w:noWrap/>
            <w:vAlign w:val="center"/>
          </w:tcPr>
          <w:p w14:paraId="2CEE8849" w14:textId="6F678839" w:rsidR="00353F53" w:rsidRPr="00407330" w:rsidRDefault="00353F53" w:rsidP="002F131C">
            <w:pPr>
              <w:jc w:val="right"/>
              <w:rPr>
                <w:rFonts w:ascii="Montserrat Medium" w:eastAsia="Times New Roman" w:hAnsi="Montserrat Medium" w:cs="Calibri"/>
                <w:color w:val="000000"/>
                <w:sz w:val="16"/>
                <w:szCs w:val="16"/>
                <w:lang w:val="es-MX" w:eastAsia="es-MX"/>
              </w:rPr>
            </w:pPr>
            <w:r>
              <w:rPr>
                <w:rFonts w:ascii="Montserrat Medium" w:hAnsi="Montserrat Medium" w:cs="Calibri"/>
                <w:color w:val="000000"/>
                <w:sz w:val="16"/>
                <w:szCs w:val="16"/>
              </w:rPr>
              <w:t>2,977,035.33</w:t>
            </w:r>
          </w:p>
        </w:tc>
        <w:tc>
          <w:tcPr>
            <w:tcW w:w="1559" w:type="dxa"/>
            <w:tcBorders>
              <w:top w:val="nil"/>
              <w:left w:val="nil"/>
              <w:right w:val="nil"/>
            </w:tcBorders>
            <w:shd w:val="clear" w:color="auto" w:fill="auto"/>
            <w:vAlign w:val="center"/>
          </w:tcPr>
          <w:p w14:paraId="55EF20E6" w14:textId="77777777" w:rsidR="00353F53" w:rsidRPr="00407330" w:rsidRDefault="00353F53" w:rsidP="002F131C">
            <w:pPr>
              <w:jc w:val="right"/>
              <w:rPr>
                <w:rFonts w:ascii="Montserrat Medium" w:eastAsia="Times New Roman" w:hAnsi="Montserrat Medium" w:cs="Calibri"/>
                <w:color w:val="000000"/>
                <w:sz w:val="16"/>
                <w:szCs w:val="16"/>
                <w:lang w:val="es-MX" w:eastAsia="es-MX"/>
              </w:rPr>
            </w:pPr>
          </w:p>
        </w:tc>
        <w:tc>
          <w:tcPr>
            <w:tcW w:w="1559" w:type="dxa"/>
            <w:tcBorders>
              <w:top w:val="nil"/>
              <w:left w:val="single" w:sz="4" w:space="0" w:color="auto"/>
            </w:tcBorders>
            <w:shd w:val="clear" w:color="auto" w:fill="auto"/>
            <w:vAlign w:val="bottom"/>
          </w:tcPr>
          <w:p w14:paraId="51CE033A" w14:textId="0B2BB260" w:rsidR="00353F53" w:rsidRPr="00407330" w:rsidRDefault="00353F53" w:rsidP="002F131C">
            <w:pPr>
              <w:jc w:val="right"/>
              <w:rPr>
                <w:rFonts w:ascii="Montserrat Medium" w:eastAsia="Times New Roman" w:hAnsi="Montserrat Medium" w:cs="Calibri"/>
                <w:color w:val="000000"/>
                <w:sz w:val="16"/>
                <w:szCs w:val="16"/>
                <w:lang w:eastAsia="es-MX"/>
              </w:rPr>
            </w:pPr>
            <w:r w:rsidRPr="00407330">
              <w:rPr>
                <w:rFonts w:ascii="Montserrat Medium" w:hAnsi="Montserrat Medium" w:cs="Calibri"/>
                <w:color w:val="000000"/>
                <w:sz w:val="16"/>
                <w:szCs w:val="16"/>
              </w:rPr>
              <w:t>0.00</w:t>
            </w:r>
          </w:p>
        </w:tc>
        <w:tc>
          <w:tcPr>
            <w:tcW w:w="1603" w:type="dxa"/>
            <w:tcBorders>
              <w:top w:val="nil"/>
              <w:left w:val="nil"/>
              <w:right w:val="single" w:sz="4" w:space="0" w:color="auto"/>
            </w:tcBorders>
            <w:shd w:val="clear" w:color="auto" w:fill="auto"/>
            <w:vAlign w:val="bottom"/>
          </w:tcPr>
          <w:p w14:paraId="675EA295" w14:textId="77777777" w:rsidR="00353F53" w:rsidRPr="00407330" w:rsidRDefault="00353F53" w:rsidP="002F131C">
            <w:pPr>
              <w:jc w:val="right"/>
              <w:rPr>
                <w:rFonts w:ascii="Montserrat Medium" w:eastAsia="Times New Roman" w:hAnsi="Montserrat Medium" w:cs="Calibri"/>
                <w:color w:val="000000"/>
                <w:sz w:val="16"/>
                <w:szCs w:val="16"/>
                <w:lang w:val="es-MX" w:eastAsia="es-MX"/>
              </w:rPr>
            </w:pPr>
          </w:p>
        </w:tc>
      </w:tr>
      <w:tr w:rsidR="00353F53" w:rsidRPr="00407330" w14:paraId="71B770D3" w14:textId="77777777" w:rsidTr="00B1325C">
        <w:trPr>
          <w:trHeight w:val="197"/>
          <w:jc w:val="center"/>
        </w:trPr>
        <w:tc>
          <w:tcPr>
            <w:tcW w:w="3584" w:type="dxa"/>
            <w:tcBorders>
              <w:left w:val="single" w:sz="4" w:space="0" w:color="auto"/>
              <w:right w:val="nil"/>
            </w:tcBorders>
            <w:shd w:val="clear" w:color="auto" w:fill="auto"/>
            <w:noWrap/>
            <w:vAlign w:val="bottom"/>
          </w:tcPr>
          <w:p w14:paraId="16FB6AD6" w14:textId="77777777" w:rsidR="00353F53" w:rsidRPr="00407330" w:rsidRDefault="00353F53" w:rsidP="002F131C">
            <w:pPr>
              <w:rPr>
                <w:rFonts w:ascii="Montserrat Medium" w:eastAsia="Times New Roman" w:hAnsi="Montserrat Medium" w:cs="Calibri"/>
                <w:color w:val="000000"/>
                <w:sz w:val="16"/>
                <w:szCs w:val="16"/>
                <w:lang w:eastAsia="es-MX"/>
              </w:rPr>
            </w:pPr>
            <w:r w:rsidRPr="00407330">
              <w:rPr>
                <w:rFonts w:ascii="Montserrat Medium" w:eastAsia="Times New Roman" w:hAnsi="Montserrat Medium" w:cs="Calibri"/>
                <w:color w:val="000000"/>
                <w:sz w:val="16"/>
                <w:szCs w:val="16"/>
                <w:lang w:eastAsia="es-MX"/>
              </w:rPr>
              <w:t>Almacenes</w:t>
            </w:r>
          </w:p>
        </w:tc>
        <w:tc>
          <w:tcPr>
            <w:tcW w:w="1559" w:type="dxa"/>
            <w:tcBorders>
              <w:left w:val="single" w:sz="4" w:space="0" w:color="auto"/>
            </w:tcBorders>
            <w:shd w:val="clear" w:color="auto" w:fill="auto"/>
            <w:noWrap/>
            <w:vAlign w:val="center"/>
          </w:tcPr>
          <w:p w14:paraId="463E3EFA" w14:textId="005992A0" w:rsidR="00353F53" w:rsidRPr="00407330" w:rsidRDefault="00353F53" w:rsidP="002F131C">
            <w:pPr>
              <w:jc w:val="right"/>
              <w:rPr>
                <w:rFonts w:ascii="Montserrat Medium" w:eastAsia="Times New Roman" w:hAnsi="Montserrat Medium" w:cs="Calibri"/>
                <w:color w:val="000000"/>
                <w:sz w:val="16"/>
                <w:szCs w:val="16"/>
                <w:lang w:val="es-MX" w:eastAsia="es-MX"/>
              </w:rPr>
            </w:pPr>
            <w:r>
              <w:rPr>
                <w:rFonts w:ascii="Montserrat Medium" w:hAnsi="Montserrat Medium" w:cs="Calibri"/>
                <w:color w:val="000000"/>
                <w:sz w:val="16"/>
                <w:szCs w:val="16"/>
              </w:rPr>
              <w:t>0.00</w:t>
            </w:r>
          </w:p>
        </w:tc>
        <w:tc>
          <w:tcPr>
            <w:tcW w:w="1559" w:type="dxa"/>
            <w:tcBorders>
              <w:left w:val="nil"/>
              <w:right w:val="nil"/>
            </w:tcBorders>
            <w:shd w:val="clear" w:color="auto" w:fill="auto"/>
            <w:vAlign w:val="center"/>
          </w:tcPr>
          <w:p w14:paraId="5D02CF3D" w14:textId="77777777" w:rsidR="00353F53" w:rsidRPr="00407330" w:rsidRDefault="00353F53" w:rsidP="002F131C">
            <w:pPr>
              <w:jc w:val="right"/>
              <w:rPr>
                <w:rFonts w:ascii="Montserrat Medium" w:eastAsia="Times New Roman" w:hAnsi="Montserrat Medium" w:cs="Calibri"/>
                <w:color w:val="000000"/>
                <w:sz w:val="16"/>
                <w:szCs w:val="16"/>
                <w:lang w:val="es-MX" w:eastAsia="es-MX"/>
              </w:rPr>
            </w:pPr>
          </w:p>
        </w:tc>
        <w:tc>
          <w:tcPr>
            <w:tcW w:w="1559" w:type="dxa"/>
            <w:tcBorders>
              <w:left w:val="single" w:sz="4" w:space="0" w:color="auto"/>
            </w:tcBorders>
            <w:shd w:val="clear" w:color="auto" w:fill="auto"/>
            <w:vAlign w:val="bottom"/>
          </w:tcPr>
          <w:p w14:paraId="4FD54FDE" w14:textId="4D084439" w:rsidR="00353F53" w:rsidRPr="00407330" w:rsidRDefault="00353F53" w:rsidP="002F131C">
            <w:pPr>
              <w:jc w:val="right"/>
              <w:rPr>
                <w:rFonts w:ascii="Montserrat Medium" w:eastAsia="Times New Roman" w:hAnsi="Montserrat Medium" w:cs="Calibri"/>
                <w:color w:val="000000"/>
                <w:sz w:val="16"/>
                <w:szCs w:val="16"/>
                <w:lang w:eastAsia="es-MX"/>
              </w:rPr>
            </w:pPr>
            <w:r w:rsidRPr="00407330">
              <w:rPr>
                <w:rFonts w:ascii="Montserrat Medium" w:hAnsi="Montserrat Medium" w:cs="Calibri"/>
                <w:color w:val="000000"/>
                <w:sz w:val="16"/>
                <w:szCs w:val="16"/>
              </w:rPr>
              <w:t>-230,933,306.46</w:t>
            </w:r>
          </w:p>
        </w:tc>
        <w:tc>
          <w:tcPr>
            <w:tcW w:w="1603" w:type="dxa"/>
            <w:tcBorders>
              <w:left w:val="nil"/>
              <w:right w:val="single" w:sz="4" w:space="0" w:color="auto"/>
            </w:tcBorders>
            <w:shd w:val="clear" w:color="auto" w:fill="auto"/>
            <w:vAlign w:val="bottom"/>
          </w:tcPr>
          <w:p w14:paraId="4565E964" w14:textId="77777777" w:rsidR="00353F53" w:rsidRPr="00407330" w:rsidRDefault="00353F53" w:rsidP="002F131C">
            <w:pPr>
              <w:jc w:val="right"/>
              <w:rPr>
                <w:rFonts w:ascii="Montserrat Medium" w:eastAsia="Times New Roman" w:hAnsi="Montserrat Medium" w:cs="Calibri"/>
                <w:color w:val="000000"/>
                <w:sz w:val="16"/>
                <w:szCs w:val="16"/>
                <w:lang w:val="es-MX" w:eastAsia="es-MX"/>
              </w:rPr>
            </w:pPr>
          </w:p>
        </w:tc>
      </w:tr>
      <w:tr w:rsidR="00353F53" w:rsidRPr="00407330" w14:paraId="42F86A21" w14:textId="77777777" w:rsidTr="00B1325C">
        <w:trPr>
          <w:trHeight w:hRule="exact" w:val="227"/>
          <w:jc w:val="center"/>
        </w:trPr>
        <w:tc>
          <w:tcPr>
            <w:tcW w:w="3584" w:type="dxa"/>
            <w:tcBorders>
              <w:left w:val="single" w:sz="4" w:space="0" w:color="auto"/>
              <w:right w:val="nil"/>
            </w:tcBorders>
            <w:shd w:val="clear" w:color="auto" w:fill="auto"/>
            <w:noWrap/>
            <w:vAlign w:val="bottom"/>
            <w:hideMark/>
          </w:tcPr>
          <w:p w14:paraId="25704424" w14:textId="77777777" w:rsidR="00353F53" w:rsidRPr="00407330" w:rsidRDefault="00353F53" w:rsidP="002F131C">
            <w:pPr>
              <w:rPr>
                <w:rFonts w:ascii="Montserrat Medium" w:eastAsia="Times New Roman" w:hAnsi="Montserrat Medium" w:cs="Calibri"/>
                <w:color w:val="000000"/>
                <w:sz w:val="16"/>
                <w:szCs w:val="16"/>
                <w:lang w:val="es-MX" w:eastAsia="es-MX"/>
              </w:rPr>
            </w:pPr>
            <w:r w:rsidRPr="00407330">
              <w:rPr>
                <w:rFonts w:ascii="Montserrat Medium" w:eastAsia="Times New Roman" w:hAnsi="Montserrat Medium" w:cs="Calibri"/>
                <w:color w:val="000000"/>
                <w:sz w:val="16"/>
                <w:szCs w:val="16"/>
                <w:lang w:eastAsia="es-MX"/>
              </w:rPr>
              <w:t>Diversos</w:t>
            </w:r>
          </w:p>
        </w:tc>
        <w:tc>
          <w:tcPr>
            <w:tcW w:w="1559" w:type="dxa"/>
            <w:tcBorders>
              <w:left w:val="single" w:sz="4" w:space="0" w:color="auto"/>
            </w:tcBorders>
            <w:shd w:val="clear" w:color="auto" w:fill="auto"/>
            <w:noWrap/>
            <w:vAlign w:val="center"/>
          </w:tcPr>
          <w:p w14:paraId="5EF2EBB9" w14:textId="3DBE2691" w:rsidR="00353F53" w:rsidRPr="00407330" w:rsidRDefault="00353F53" w:rsidP="002F131C">
            <w:pPr>
              <w:jc w:val="right"/>
              <w:rPr>
                <w:rFonts w:ascii="Montserrat Medium" w:eastAsia="Times New Roman" w:hAnsi="Montserrat Medium" w:cs="Calibri"/>
                <w:color w:val="000000"/>
                <w:sz w:val="16"/>
                <w:szCs w:val="16"/>
                <w:lang w:val="es-MX" w:eastAsia="es-MX"/>
              </w:rPr>
            </w:pPr>
            <w:r>
              <w:rPr>
                <w:rFonts w:ascii="Montserrat Medium" w:hAnsi="Montserrat Medium" w:cs="Calibri"/>
                <w:color w:val="000000"/>
                <w:sz w:val="16"/>
                <w:szCs w:val="16"/>
              </w:rPr>
              <w:t>0.00</w:t>
            </w:r>
          </w:p>
        </w:tc>
        <w:tc>
          <w:tcPr>
            <w:tcW w:w="1559" w:type="dxa"/>
            <w:tcBorders>
              <w:left w:val="nil"/>
              <w:right w:val="nil"/>
            </w:tcBorders>
            <w:shd w:val="clear" w:color="auto" w:fill="auto"/>
            <w:vAlign w:val="center"/>
          </w:tcPr>
          <w:p w14:paraId="2849FF76" w14:textId="77777777" w:rsidR="00353F53" w:rsidRPr="00407330" w:rsidRDefault="00353F53" w:rsidP="002F131C">
            <w:pPr>
              <w:jc w:val="right"/>
              <w:rPr>
                <w:rFonts w:ascii="Montserrat Medium" w:eastAsia="Times New Roman" w:hAnsi="Montserrat Medium" w:cs="Calibri"/>
                <w:color w:val="000000"/>
                <w:sz w:val="16"/>
                <w:szCs w:val="16"/>
                <w:lang w:val="es-MX" w:eastAsia="es-MX"/>
              </w:rPr>
            </w:pPr>
          </w:p>
        </w:tc>
        <w:tc>
          <w:tcPr>
            <w:tcW w:w="1559" w:type="dxa"/>
            <w:tcBorders>
              <w:left w:val="single" w:sz="4" w:space="0" w:color="auto"/>
            </w:tcBorders>
            <w:shd w:val="clear" w:color="auto" w:fill="auto"/>
            <w:vAlign w:val="bottom"/>
            <w:hideMark/>
          </w:tcPr>
          <w:p w14:paraId="39DA10E2" w14:textId="71425B16" w:rsidR="00353F53" w:rsidRPr="00407330" w:rsidRDefault="00353F53" w:rsidP="002F131C">
            <w:pPr>
              <w:jc w:val="right"/>
              <w:rPr>
                <w:rFonts w:ascii="Montserrat Medium" w:eastAsia="Times New Roman" w:hAnsi="Montserrat Medium" w:cs="Calibri"/>
                <w:color w:val="000000"/>
                <w:sz w:val="16"/>
                <w:szCs w:val="16"/>
                <w:lang w:val="es-MX" w:eastAsia="es-MX"/>
              </w:rPr>
            </w:pPr>
            <w:r w:rsidRPr="00407330">
              <w:rPr>
                <w:rFonts w:ascii="Montserrat Medium" w:hAnsi="Montserrat Medium" w:cs="Calibri"/>
                <w:color w:val="000000"/>
                <w:sz w:val="16"/>
                <w:szCs w:val="16"/>
              </w:rPr>
              <w:t>82,251.00</w:t>
            </w:r>
          </w:p>
        </w:tc>
        <w:tc>
          <w:tcPr>
            <w:tcW w:w="1603" w:type="dxa"/>
            <w:tcBorders>
              <w:left w:val="nil"/>
              <w:right w:val="single" w:sz="4" w:space="0" w:color="auto"/>
            </w:tcBorders>
            <w:shd w:val="clear" w:color="auto" w:fill="auto"/>
            <w:vAlign w:val="bottom"/>
            <w:hideMark/>
          </w:tcPr>
          <w:p w14:paraId="7DC67EB9" w14:textId="77777777" w:rsidR="00353F53" w:rsidRPr="00407330" w:rsidRDefault="00353F53" w:rsidP="002F131C">
            <w:pPr>
              <w:jc w:val="right"/>
              <w:rPr>
                <w:rFonts w:ascii="Montserrat Medium" w:eastAsia="Times New Roman" w:hAnsi="Montserrat Medium" w:cs="Calibri"/>
                <w:color w:val="000000"/>
                <w:sz w:val="16"/>
                <w:szCs w:val="16"/>
                <w:lang w:val="es-MX" w:eastAsia="es-MX"/>
              </w:rPr>
            </w:pPr>
          </w:p>
        </w:tc>
      </w:tr>
      <w:tr w:rsidR="00353F53" w:rsidRPr="00407330" w14:paraId="388AE09E" w14:textId="77777777" w:rsidTr="00407330">
        <w:trPr>
          <w:trHeight w:hRule="exact" w:val="227"/>
          <w:jc w:val="center"/>
        </w:trPr>
        <w:tc>
          <w:tcPr>
            <w:tcW w:w="3584" w:type="dxa"/>
            <w:tcBorders>
              <w:left w:val="single" w:sz="4" w:space="0" w:color="auto"/>
              <w:right w:val="nil"/>
            </w:tcBorders>
            <w:shd w:val="clear" w:color="auto" w:fill="auto"/>
            <w:noWrap/>
            <w:vAlign w:val="bottom"/>
            <w:hideMark/>
          </w:tcPr>
          <w:p w14:paraId="4F0C559F" w14:textId="77777777" w:rsidR="00353F53" w:rsidRPr="00407330" w:rsidRDefault="00353F53" w:rsidP="002F131C">
            <w:pPr>
              <w:rPr>
                <w:rFonts w:ascii="Montserrat Medium" w:eastAsia="Times New Roman" w:hAnsi="Montserrat Medium" w:cs="Calibri"/>
                <w:color w:val="000000"/>
                <w:sz w:val="16"/>
                <w:szCs w:val="16"/>
                <w:lang w:val="es-MX" w:eastAsia="es-MX"/>
              </w:rPr>
            </w:pPr>
            <w:r w:rsidRPr="00407330">
              <w:rPr>
                <w:rFonts w:ascii="Montserrat Medium" w:eastAsia="Times New Roman" w:hAnsi="Montserrat Medium" w:cs="Calibri"/>
                <w:color w:val="000000"/>
                <w:sz w:val="16"/>
                <w:szCs w:val="16"/>
                <w:lang w:eastAsia="es-MX"/>
              </w:rPr>
              <w:t>Otras actividades de operación</w:t>
            </w:r>
          </w:p>
        </w:tc>
        <w:tc>
          <w:tcPr>
            <w:tcW w:w="1559" w:type="dxa"/>
            <w:tcBorders>
              <w:left w:val="single" w:sz="4" w:space="0" w:color="auto"/>
            </w:tcBorders>
            <w:shd w:val="clear" w:color="auto" w:fill="auto"/>
            <w:noWrap/>
            <w:vAlign w:val="center"/>
          </w:tcPr>
          <w:p w14:paraId="273D823D" w14:textId="50C24370" w:rsidR="00353F53" w:rsidRPr="00407330" w:rsidRDefault="00353F53" w:rsidP="002F131C">
            <w:pPr>
              <w:jc w:val="right"/>
              <w:rPr>
                <w:rFonts w:ascii="Montserrat Medium" w:eastAsia="Times New Roman" w:hAnsi="Montserrat Medium" w:cs="Calibri"/>
                <w:color w:val="000000"/>
                <w:sz w:val="16"/>
                <w:szCs w:val="16"/>
                <w:lang w:val="es-MX" w:eastAsia="es-MX"/>
              </w:rPr>
            </w:pPr>
            <w:r>
              <w:rPr>
                <w:rFonts w:ascii="Montserrat Medium" w:hAnsi="Montserrat Medium" w:cs="Calibri"/>
                <w:color w:val="000000"/>
                <w:sz w:val="16"/>
                <w:szCs w:val="16"/>
              </w:rPr>
              <w:t>0.00</w:t>
            </w:r>
          </w:p>
        </w:tc>
        <w:tc>
          <w:tcPr>
            <w:tcW w:w="1559" w:type="dxa"/>
            <w:tcBorders>
              <w:left w:val="nil"/>
              <w:right w:val="nil"/>
            </w:tcBorders>
            <w:shd w:val="clear" w:color="auto" w:fill="auto"/>
            <w:vAlign w:val="center"/>
          </w:tcPr>
          <w:p w14:paraId="7DBA30F4" w14:textId="77777777" w:rsidR="00353F53" w:rsidRPr="00407330" w:rsidRDefault="00353F53" w:rsidP="002F131C">
            <w:pPr>
              <w:jc w:val="right"/>
              <w:rPr>
                <w:rFonts w:ascii="Montserrat Medium" w:eastAsia="Times New Roman" w:hAnsi="Montserrat Medium" w:cs="Calibri"/>
                <w:color w:val="000000"/>
                <w:sz w:val="16"/>
                <w:szCs w:val="16"/>
                <w:lang w:val="es-MX" w:eastAsia="es-MX"/>
              </w:rPr>
            </w:pPr>
          </w:p>
        </w:tc>
        <w:tc>
          <w:tcPr>
            <w:tcW w:w="1559" w:type="dxa"/>
            <w:tcBorders>
              <w:left w:val="single" w:sz="4" w:space="0" w:color="auto"/>
            </w:tcBorders>
            <w:shd w:val="clear" w:color="auto" w:fill="auto"/>
            <w:vAlign w:val="bottom"/>
            <w:hideMark/>
          </w:tcPr>
          <w:p w14:paraId="6AF4F5D4" w14:textId="2B67F54A" w:rsidR="00353F53" w:rsidRPr="00407330" w:rsidRDefault="00353F53" w:rsidP="002F131C">
            <w:pPr>
              <w:jc w:val="right"/>
              <w:rPr>
                <w:rFonts w:ascii="Montserrat Medium" w:eastAsia="Times New Roman" w:hAnsi="Montserrat Medium" w:cs="Calibri"/>
                <w:color w:val="000000"/>
                <w:sz w:val="16"/>
                <w:szCs w:val="16"/>
                <w:lang w:val="es-MX" w:eastAsia="es-MX"/>
              </w:rPr>
            </w:pPr>
            <w:r w:rsidRPr="00407330">
              <w:rPr>
                <w:rFonts w:ascii="Montserrat Medium" w:hAnsi="Montserrat Medium" w:cs="Calibri"/>
                <w:color w:val="000000"/>
                <w:sz w:val="16"/>
                <w:szCs w:val="16"/>
              </w:rPr>
              <w:t>103,521,252.28</w:t>
            </w:r>
          </w:p>
        </w:tc>
        <w:tc>
          <w:tcPr>
            <w:tcW w:w="1603" w:type="dxa"/>
            <w:tcBorders>
              <w:left w:val="nil"/>
              <w:right w:val="single" w:sz="4" w:space="0" w:color="auto"/>
            </w:tcBorders>
            <w:shd w:val="clear" w:color="auto" w:fill="auto"/>
            <w:vAlign w:val="bottom"/>
            <w:hideMark/>
          </w:tcPr>
          <w:p w14:paraId="5287A327" w14:textId="77777777" w:rsidR="00353F53" w:rsidRPr="00407330" w:rsidRDefault="00353F53" w:rsidP="002F131C">
            <w:pPr>
              <w:jc w:val="right"/>
              <w:rPr>
                <w:rFonts w:ascii="Montserrat Medium" w:eastAsia="Times New Roman" w:hAnsi="Montserrat Medium" w:cs="Calibri"/>
                <w:color w:val="000000"/>
                <w:sz w:val="16"/>
                <w:szCs w:val="16"/>
                <w:lang w:val="es-MX" w:eastAsia="es-MX"/>
              </w:rPr>
            </w:pPr>
          </w:p>
        </w:tc>
      </w:tr>
      <w:tr w:rsidR="00353F53" w:rsidRPr="00407330" w14:paraId="5BAB5824" w14:textId="77777777" w:rsidTr="00407330">
        <w:trPr>
          <w:trHeight w:hRule="exact" w:val="473"/>
          <w:jc w:val="center"/>
        </w:trPr>
        <w:tc>
          <w:tcPr>
            <w:tcW w:w="3584" w:type="dxa"/>
            <w:tcBorders>
              <w:top w:val="nil"/>
              <w:left w:val="single" w:sz="4" w:space="0" w:color="auto"/>
              <w:right w:val="nil"/>
            </w:tcBorders>
            <w:shd w:val="clear" w:color="auto" w:fill="auto"/>
            <w:noWrap/>
            <w:vAlign w:val="bottom"/>
            <w:hideMark/>
          </w:tcPr>
          <w:p w14:paraId="42D7D1E2" w14:textId="77777777" w:rsidR="00353F53" w:rsidRPr="00407330" w:rsidRDefault="00353F53" w:rsidP="002F131C">
            <w:pPr>
              <w:rPr>
                <w:rFonts w:ascii="Montserrat Medium" w:eastAsia="Times New Roman" w:hAnsi="Montserrat Medium" w:cs="Calibri"/>
                <w:color w:val="000000"/>
                <w:sz w:val="16"/>
                <w:szCs w:val="16"/>
                <w:lang w:val="es-MX" w:eastAsia="es-MX"/>
              </w:rPr>
            </w:pPr>
            <w:r w:rsidRPr="00407330">
              <w:rPr>
                <w:rFonts w:ascii="Montserrat Medium" w:eastAsia="Times New Roman" w:hAnsi="Montserrat Medium" w:cs="Calibri"/>
                <w:color w:val="000000"/>
                <w:sz w:val="16"/>
                <w:szCs w:val="16"/>
                <w:lang w:eastAsia="es-MX"/>
              </w:rPr>
              <w:t>Intereses, comisiones y otros gastos de la deuda pública</w:t>
            </w:r>
          </w:p>
        </w:tc>
        <w:tc>
          <w:tcPr>
            <w:tcW w:w="1559" w:type="dxa"/>
            <w:tcBorders>
              <w:top w:val="nil"/>
              <w:left w:val="single" w:sz="4" w:space="0" w:color="auto"/>
            </w:tcBorders>
            <w:shd w:val="clear" w:color="auto" w:fill="auto"/>
            <w:noWrap/>
            <w:vAlign w:val="center"/>
          </w:tcPr>
          <w:p w14:paraId="6C9BA5B0" w14:textId="2CF13614" w:rsidR="00353F53" w:rsidRPr="00407330" w:rsidRDefault="00353F53" w:rsidP="002F131C">
            <w:pPr>
              <w:jc w:val="right"/>
              <w:rPr>
                <w:rFonts w:ascii="Montserrat Medium" w:eastAsia="Times New Roman" w:hAnsi="Montserrat Medium" w:cs="Calibri"/>
                <w:color w:val="000000"/>
                <w:sz w:val="16"/>
                <w:szCs w:val="16"/>
                <w:lang w:val="es-MX" w:eastAsia="es-MX"/>
              </w:rPr>
            </w:pPr>
            <w:r>
              <w:rPr>
                <w:rFonts w:ascii="Montserrat Medium" w:hAnsi="Montserrat Medium" w:cs="Calibri"/>
                <w:color w:val="000000"/>
                <w:sz w:val="16"/>
                <w:szCs w:val="16"/>
              </w:rPr>
              <w:t>1,000,961,100.50</w:t>
            </w:r>
          </w:p>
        </w:tc>
        <w:tc>
          <w:tcPr>
            <w:tcW w:w="1559" w:type="dxa"/>
            <w:tcBorders>
              <w:top w:val="nil"/>
              <w:left w:val="nil"/>
              <w:right w:val="nil"/>
            </w:tcBorders>
            <w:shd w:val="clear" w:color="auto" w:fill="auto"/>
            <w:vAlign w:val="center"/>
          </w:tcPr>
          <w:p w14:paraId="2A3041EE" w14:textId="6E61C57C" w:rsidR="00353F53" w:rsidRPr="00407330" w:rsidRDefault="00353F53" w:rsidP="002F131C">
            <w:pPr>
              <w:jc w:val="right"/>
              <w:rPr>
                <w:rFonts w:ascii="Montserrat Medium" w:eastAsia="Times New Roman" w:hAnsi="Montserrat Medium" w:cs="Calibri"/>
                <w:color w:val="000000"/>
                <w:sz w:val="16"/>
                <w:szCs w:val="16"/>
                <w:lang w:val="es-MX" w:eastAsia="es-MX"/>
              </w:rPr>
            </w:pPr>
            <w:r>
              <w:rPr>
                <w:rFonts w:ascii="Montserrat Medium" w:hAnsi="Montserrat Medium" w:cs="Calibri"/>
                <w:color w:val="000000"/>
                <w:sz w:val="16"/>
                <w:szCs w:val="16"/>
              </w:rPr>
              <w:t> </w:t>
            </w:r>
          </w:p>
        </w:tc>
        <w:tc>
          <w:tcPr>
            <w:tcW w:w="1559" w:type="dxa"/>
            <w:tcBorders>
              <w:top w:val="nil"/>
              <w:left w:val="single" w:sz="4" w:space="0" w:color="auto"/>
            </w:tcBorders>
            <w:shd w:val="clear" w:color="auto" w:fill="auto"/>
            <w:vAlign w:val="bottom"/>
            <w:hideMark/>
          </w:tcPr>
          <w:p w14:paraId="185E1E02" w14:textId="1BED6691" w:rsidR="00353F53" w:rsidRPr="00407330" w:rsidRDefault="00353F53" w:rsidP="002F131C">
            <w:pPr>
              <w:jc w:val="right"/>
              <w:rPr>
                <w:rFonts w:ascii="Montserrat Medium" w:eastAsia="Times New Roman" w:hAnsi="Montserrat Medium" w:cs="Calibri"/>
                <w:color w:val="000000"/>
                <w:sz w:val="16"/>
                <w:szCs w:val="16"/>
                <w:lang w:val="es-MX" w:eastAsia="es-MX"/>
              </w:rPr>
            </w:pPr>
            <w:r w:rsidRPr="00407330">
              <w:rPr>
                <w:rFonts w:ascii="Montserrat Medium" w:hAnsi="Montserrat Medium" w:cs="Calibri"/>
                <w:color w:val="000000"/>
                <w:sz w:val="16"/>
                <w:szCs w:val="16"/>
              </w:rPr>
              <w:t>2,337,299,352.29</w:t>
            </w:r>
          </w:p>
        </w:tc>
        <w:tc>
          <w:tcPr>
            <w:tcW w:w="1603" w:type="dxa"/>
            <w:tcBorders>
              <w:top w:val="nil"/>
              <w:left w:val="nil"/>
              <w:right w:val="single" w:sz="4" w:space="0" w:color="auto"/>
            </w:tcBorders>
            <w:shd w:val="clear" w:color="auto" w:fill="auto"/>
            <w:vAlign w:val="bottom"/>
            <w:hideMark/>
          </w:tcPr>
          <w:p w14:paraId="6DB1DE55" w14:textId="77777777" w:rsidR="00353F53" w:rsidRPr="00407330" w:rsidRDefault="00353F53" w:rsidP="002F131C">
            <w:pPr>
              <w:jc w:val="right"/>
              <w:rPr>
                <w:rFonts w:ascii="Montserrat Medium" w:eastAsia="Times New Roman" w:hAnsi="Montserrat Medium" w:cs="Calibri"/>
                <w:color w:val="000000"/>
                <w:sz w:val="16"/>
                <w:szCs w:val="16"/>
                <w:lang w:val="es-MX" w:eastAsia="es-MX"/>
              </w:rPr>
            </w:pPr>
          </w:p>
        </w:tc>
      </w:tr>
      <w:tr w:rsidR="00353F53" w:rsidRPr="00407330" w14:paraId="2C8A71A7" w14:textId="77777777" w:rsidTr="00407330">
        <w:trPr>
          <w:trHeight w:hRule="exact" w:val="436"/>
          <w:jc w:val="center"/>
        </w:trPr>
        <w:tc>
          <w:tcPr>
            <w:tcW w:w="3584" w:type="dxa"/>
            <w:tcBorders>
              <w:left w:val="single" w:sz="4" w:space="0" w:color="auto"/>
              <w:bottom w:val="single" w:sz="4" w:space="0" w:color="auto"/>
              <w:right w:val="nil"/>
            </w:tcBorders>
            <w:shd w:val="clear" w:color="auto" w:fill="auto"/>
            <w:noWrap/>
            <w:vAlign w:val="bottom"/>
          </w:tcPr>
          <w:p w14:paraId="57614142" w14:textId="77777777" w:rsidR="00353F53" w:rsidRPr="00407330" w:rsidRDefault="00353F53" w:rsidP="002F131C">
            <w:pPr>
              <w:rPr>
                <w:rFonts w:ascii="Montserrat Medium" w:eastAsia="Times New Roman" w:hAnsi="Montserrat Medium" w:cs="Calibri"/>
                <w:color w:val="000000"/>
                <w:sz w:val="16"/>
                <w:szCs w:val="16"/>
                <w:lang w:eastAsia="es-MX"/>
              </w:rPr>
            </w:pPr>
            <w:r w:rsidRPr="00407330">
              <w:rPr>
                <w:rFonts w:ascii="Montserrat Medium" w:eastAsia="Times New Roman" w:hAnsi="Montserrat Medium" w:cs="Calibri"/>
                <w:color w:val="000000"/>
                <w:sz w:val="16"/>
                <w:szCs w:val="16"/>
                <w:lang w:eastAsia="es-MX"/>
              </w:rPr>
              <w:t>Inversión pública registrada en inversión pública no capitalizable</w:t>
            </w:r>
          </w:p>
        </w:tc>
        <w:tc>
          <w:tcPr>
            <w:tcW w:w="1559" w:type="dxa"/>
            <w:tcBorders>
              <w:left w:val="single" w:sz="4" w:space="0" w:color="auto"/>
              <w:bottom w:val="single" w:sz="4" w:space="0" w:color="auto"/>
            </w:tcBorders>
            <w:shd w:val="clear" w:color="auto" w:fill="auto"/>
            <w:noWrap/>
            <w:vAlign w:val="center"/>
          </w:tcPr>
          <w:p w14:paraId="49115532" w14:textId="7644A0A3" w:rsidR="00353F53" w:rsidRPr="00407330" w:rsidRDefault="00353F53" w:rsidP="002F131C">
            <w:pPr>
              <w:jc w:val="right"/>
              <w:rPr>
                <w:rFonts w:ascii="Montserrat Medium" w:eastAsia="Times New Roman" w:hAnsi="Montserrat Medium" w:cs="Calibri"/>
                <w:color w:val="000000"/>
                <w:sz w:val="16"/>
                <w:szCs w:val="16"/>
                <w:lang w:val="es-MX" w:eastAsia="es-MX"/>
              </w:rPr>
            </w:pPr>
            <w:r>
              <w:rPr>
                <w:rFonts w:ascii="Montserrat Medium" w:hAnsi="Montserrat Medium" w:cs="Calibri"/>
                <w:color w:val="000000"/>
                <w:sz w:val="16"/>
                <w:szCs w:val="16"/>
              </w:rPr>
              <w:t>0.00</w:t>
            </w:r>
          </w:p>
        </w:tc>
        <w:tc>
          <w:tcPr>
            <w:tcW w:w="1559" w:type="dxa"/>
            <w:tcBorders>
              <w:left w:val="nil"/>
              <w:bottom w:val="single" w:sz="4" w:space="0" w:color="auto"/>
              <w:right w:val="nil"/>
            </w:tcBorders>
            <w:shd w:val="clear" w:color="auto" w:fill="auto"/>
            <w:vAlign w:val="center"/>
          </w:tcPr>
          <w:p w14:paraId="38FE3F4C" w14:textId="6A838373" w:rsidR="00353F53" w:rsidRPr="00407330" w:rsidRDefault="00353F53" w:rsidP="002F131C">
            <w:pPr>
              <w:jc w:val="right"/>
              <w:rPr>
                <w:rFonts w:ascii="Montserrat Medium" w:eastAsia="Times New Roman" w:hAnsi="Montserrat Medium" w:cs="Calibri"/>
                <w:color w:val="000000"/>
                <w:sz w:val="16"/>
                <w:szCs w:val="16"/>
                <w:lang w:eastAsia="es-MX"/>
              </w:rPr>
            </w:pPr>
            <w:r>
              <w:rPr>
                <w:rFonts w:ascii="Montserrat Medium" w:hAnsi="Montserrat Medium" w:cs="Calibri"/>
                <w:color w:val="000000"/>
                <w:sz w:val="16"/>
                <w:szCs w:val="16"/>
              </w:rPr>
              <w:t> </w:t>
            </w:r>
          </w:p>
        </w:tc>
        <w:tc>
          <w:tcPr>
            <w:tcW w:w="1559" w:type="dxa"/>
            <w:tcBorders>
              <w:left w:val="single" w:sz="4" w:space="0" w:color="auto"/>
              <w:bottom w:val="single" w:sz="4" w:space="0" w:color="auto"/>
            </w:tcBorders>
            <w:shd w:val="clear" w:color="auto" w:fill="auto"/>
            <w:vAlign w:val="bottom"/>
          </w:tcPr>
          <w:p w14:paraId="0CCF222D" w14:textId="63056303" w:rsidR="00353F53" w:rsidRPr="00407330" w:rsidRDefault="00353F53" w:rsidP="002F131C">
            <w:pPr>
              <w:jc w:val="right"/>
              <w:rPr>
                <w:rFonts w:ascii="Montserrat Medium" w:eastAsia="Times New Roman" w:hAnsi="Montserrat Medium" w:cs="Calibri"/>
                <w:color w:val="000000"/>
                <w:sz w:val="16"/>
                <w:szCs w:val="16"/>
                <w:lang w:eastAsia="es-MX"/>
              </w:rPr>
            </w:pPr>
            <w:r w:rsidRPr="00407330">
              <w:rPr>
                <w:rFonts w:ascii="Montserrat Medium" w:hAnsi="Montserrat Medium" w:cs="Calibri"/>
                <w:color w:val="000000"/>
                <w:sz w:val="16"/>
                <w:szCs w:val="16"/>
              </w:rPr>
              <w:t>1,476,649.65</w:t>
            </w:r>
          </w:p>
        </w:tc>
        <w:tc>
          <w:tcPr>
            <w:tcW w:w="1603" w:type="dxa"/>
            <w:tcBorders>
              <w:left w:val="nil"/>
              <w:bottom w:val="single" w:sz="4" w:space="0" w:color="auto"/>
              <w:right w:val="single" w:sz="4" w:space="0" w:color="auto"/>
            </w:tcBorders>
            <w:shd w:val="clear" w:color="auto" w:fill="auto"/>
            <w:vAlign w:val="bottom"/>
          </w:tcPr>
          <w:p w14:paraId="015ECA7B" w14:textId="77777777" w:rsidR="00353F53" w:rsidRPr="00407330" w:rsidRDefault="00353F53" w:rsidP="002F131C">
            <w:pPr>
              <w:jc w:val="right"/>
              <w:rPr>
                <w:rFonts w:ascii="Montserrat Medium" w:eastAsia="Times New Roman" w:hAnsi="Montserrat Medium" w:cs="Calibri"/>
                <w:color w:val="000000"/>
                <w:sz w:val="16"/>
                <w:szCs w:val="16"/>
                <w:lang w:eastAsia="es-MX"/>
              </w:rPr>
            </w:pPr>
          </w:p>
        </w:tc>
      </w:tr>
      <w:tr w:rsidR="00353F53" w:rsidRPr="00407330" w14:paraId="5CCDD523" w14:textId="77777777" w:rsidTr="00B1325C">
        <w:trPr>
          <w:trHeight w:hRule="exact" w:val="397"/>
          <w:jc w:val="center"/>
        </w:trPr>
        <w:tc>
          <w:tcPr>
            <w:tcW w:w="3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6EA83" w14:textId="77777777" w:rsidR="00353F53" w:rsidRPr="00407330" w:rsidRDefault="00353F53" w:rsidP="002F131C">
            <w:pPr>
              <w:rPr>
                <w:rFonts w:ascii="Montserrat Medium" w:eastAsia="Times New Roman" w:hAnsi="Montserrat Medium" w:cs="Calibri"/>
                <w:b/>
                <w:bCs/>
                <w:color w:val="000000"/>
                <w:sz w:val="16"/>
                <w:szCs w:val="16"/>
                <w:lang w:val="es-MX" w:eastAsia="es-MX"/>
              </w:rPr>
            </w:pPr>
            <w:r w:rsidRPr="00407330">
              <w:rPr>
                <w:rFonts w:ascii="Montserrat Medium" w:eastAsia="Times New Roman" w:hAnsi="Montserrat Medium" w:cs="Calibri"/>
                <w:b/>
                <w:bCs/>
                <w:color w:val="000000"/>
                <w:sz w:val="16"/>
                <w:szCs w:val="16"/>
                <w:lang w:eastAsia="es-MX"/>
              </w:rPr>
              <w:t>Flujos de Efectivo Netos de las Actividades de Operación</w:t>
            </w:r>
          </w:p>
        </w:tc>
        <w:tc>
          <w:tcPr>
            <w:tcW w:w="1559" w:type="dxa"/>
            <w:tcBorders>
              <w:top w:val="single" w:sz="4" w:space="0" w:color="auto"/>
              <w:left w:val="single" w:sz="4" w:space="0" w:color="auto"/>
              <w:bottom w:val="single" w:sz="4" w:space="0" w:color="auto"/>
            </w:tcBorders>
            <w:shd w:val="clear" w:color="auto" w:fill="auto"/>
            <w:noWrap/>
            <w:vAlign w:val="center"/>
          </w:tcPr>
          <w:p w14:paraId="13CF7693" w14:textId="63510DBF" w:rsidR="00353F53" w:rsidRPr="00407330" w:rsidRDefault="00353F53" w:rsidP="002F131C">
            <w:pPr>
              <w:jc w:val="right"/>
              <w:rPr>
                <w:rFonts w:ascii="Montserrat Medium" w:eastAsia="Times New Roman" w:hAnsi="Montserrat Medium" w:cs="Calibri"/>
                <w:b/>
                <w:bCs/>
                <w:color w:val="000000"/>
                <w:sz w:val="16"/>
                <w:szCs w:val="16"/>
                <w:lang w:val="es-MX" w:eastAsia="es-MX"/>
              </w:rPr>
            </w:pPr>
            <w:r>
              <w:rPr>
                <w:rFonts w:ascii="Montserrat Medium" w:hAnsi="Montserrat Medium" w:cs="Calibri"/>
                <w:b/>
                <w:bCs/>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04B26E" w14:textId="2AA84F93" w:rsidR="00353F53" w:rsidRPr="00407330" w:rsidRDefault="00353F53" w:rsidP="002F131C">
            <w:pPr>
              <w:jc w:val="right"/>
              <w:rPr>
                <w:rFonts w:ascii="Montserrat Medium" w:eastAsia="Times New Roman" w:hAnsi="Montserrat Medium" w:cs="Calibri"/>
                <w:b/>
                <w:bCs/>
                <w:color w:val="000000"/>
                <w:sz w:val="16"/>
                <w:szCs w:val="16"/>
                <w:lang w:val="es-MX" w:eastAsia="es-MX"/>
              </w:rPr>
            </w:pPr>
            <w:r>
              <w:rPr>
                <w:rFonts w:ascii="Montserrat Medium" w:hAnsi="Montserrat Medium" w:cs="Calibri"/>
                <w:b/>
                <w:bCs/>
                <w:color w:val="000000"/>
                <w:sz w:val="16"/>
                <w:szCs w:val="16"/>
              </w:rPr>
              <w:t>6,717,532,873.85</w:t>
            </w:r>
          </w:p>
        </w:tc>
        <w:tc>
          <w:tcPr>
            <w:tcW w:w="1559" w:type="dxa"/>
            <w:tcBorders>
              <w:top w:val="single" w:sz="4" w:space="0" w:color="auto"/>
              <w:left w:val="single" w:sz="4" w:space="0" w:color="auto"/>
              <w:bottom w:val="single" w:sz="4" w:space="0" w:color="auto"/>
            </w:tcBorders>
            <w:shd w:val="clear" w:color="auto" w:fill="auto"/>
            <w:vAlign w:val="bottom"/>
            <w:hideMark/>
          </w:tcPr>
          <w:p w14:paraId="643DF54F" w14:textId="77777777" w:rsidR="00353F53" w:rsidRPr="00407330" w:rsidRDefault="00353F53" w:rsidP="002F131C">
            <w:pPr>
              <w:jc w:val="right"/>
              <w:rPr>
                <w:rFonts w:ascii="Montserrat Medium" w:eastAsia="Times New Roman" w:hAnsi="Montserrat Medium" w:cs="Calibri"/>
                <w:b/>
                <w:bCs/>
                <w:color w:val="000000"/>
                <w:sz w:val="16"/>
                <w:szCs w:val="16"/>
                <w:lang w:val="es-MX" w:eastAsia="es-MX"/>
              </w:rPr>
            </w:pPr>
          </w:p>
        </w:tc>
        <w:tc>
          <w:tcPr>
            <w:tcW w:w="1603" w:type="dxa"/>
            <w:tcBorders>
              <w:top w:val="single" w:sz="4" w:space="0" w:color="auto"/>
              <w:left w:val="nil"/>
              <w:bottom w:val="single" w:sz="4" w:space="0" w:color="auto"/>
              <w:right w:val="single" w:sz="4" w:space="0" w:color="auto"/>
            </w:tcBorders>
            <w:shd w:val="clear" w:color="auto" w:fill="auto"/>
            <w:vAlign w:val="bottom"/>
            <w:hideMark/>
          </w:tcPr>
          <w:p w14:paraId="37F8BF40" w14:textId="03111FEC" w:rsidR="00353F53" w:rsidRPr="00407330" w:rsidRDefault="00353F53" w:rsidP="002F131C">
            <w:pPr>
              <w:jc w:val="right"/>
              <w:rPr>
                <w:rFonts w:ascii="Montserrat Medium" w:eastAsia="Times New Roman" w:hAnsi="Montserrat Medium" w:cs="Calibri"/>
                <w:b/>
                <w:bCs/>
                <w:color w:val="000000"/>
                <w:sz w:val="16"/>
                <w:szCs w:val="16"/>
                <w:lang w:val="es-MX" w:eastAsia="es-MX"/>
              </w:rPr>
            </w:pPr>
            <w:r w:rsidRPr="00407330">
              <w:rPr>
                <w:rFonts w:ascii="Montserrat Medium" w:hAnsi="Montserrat Medium" w:cs="Calibri"/>
                <w:b/>
                <w:color w:val="000000"/>
                <w:sz w:val="16"/>
                <w:szCs w:val="16"/>
              </w:rPr>
              <w:t>4,088,819,761.39</w:t>
            </w:r>
          </w:p>
        </w:tc>
      </w:tr>
    </w:tbl>
    <w:p w14:paraId="2D2DCE83" w14:textId="77777777" w:rsidR="00407330" w:rsidRDefault="00407330" w:rsidP="002F131C">
      <w:pPr>
        <w:tabs>
          <w:tab w:val="left" w:pos="6358"/>
        </w:tabs>
        <w:jc w:val="both"/>
        <w:rPr>
          <w:rFonts w:ascii="Montserrat Medium" w:eastAsia="Times New Roman" w:hAnsi="Montserrat Medium" w:cs="Arial"/>
          <w:b/>
          <w:i/>
          <w:color w:val="595959"/>
          <w:sz w:val="22"/>
          <w:lang w:eastAsia="en-US"/>
        </w:rPr>
      </w:pPr>
    </w:p>
    <w:p w14:paraId="01D92EB9" w14:textId="156158FD" w:rsidR="001E3866" w:rsidRPr="00D56579" w:rsidRDefault="000D5C4D" w:rsidP="002F131C">
      <w:pPr>
        <w:tabs>
          <w:tab w:val="left" w:pos="6358"/>
        </w:tabs>
        <w:jc w:val="both"/>
        <w:rPr>
          <w:rFonts w:ascii="Montserrat Medium" w:eastAsia="Times New Roman" w:hAnsi="Montserrat Medium" w:cs="Arial"/>
          <w:b/>
          <w:i/>
          <w:color w:val="595959"/>
          <w:sz w:val="22"/>
          <w:lang w:eastAsia="en-US"/>
        </w:rPr>
      </w:pPr>
      <w:r w:rsidRPr="00D56579">
        <w:rPr>
          <w:rFonts w:ascii="Montserrat Medium" w:eastAsia="Times New Roman" w:hAnsi="Montserrat Medium" w:cs="Arial"/>
          <w:b/>
          <w:i/>
          <w:color w:val="595959"/>
          <w:sz w:val="22"/>
          <w:lang w:eastAsia="en-US"/>
        </w:rPr>
        <w:t>V)</w:t>
      </w:r>
      <w:r w:rsidR="001E3866" w:rsidRPr="00D56579">
        <w:rPr>
          <w:rFonts w:ascii="Montserrat Medium" w:eastAsia="Times New Roman" w:hAnsi="Montserrat Medium" w:cs="Arial"/>
          <w:b/>
          <w:i/>
          <w:color w:val="595959"/>
          <w:sz w:val="22"/>
          <w:lang w:eastAsia="en-US"/>
        </w:rPr>
        <w:t xml:space="preserve"> CONCILIACIÓN ENTRE LOS INGRESOS PRESUPUESTARIOS Y CONTABLES, ASÍ COMO ENTRE LOS EGRESOS PRESUPUESTARIOS Y LOS GASTOS CONTABLES </w:t>
      </w:r>
    </w:p>
    <w:p w14:paraId="03E23100" w14:textId="77777777" w:rsidR="001E3866" w:rsidRPr="00D56579" w:rsidRDefault="001E3866" w:rsidP="002F131C">
      <w:pPr>
        <w:jc w:val="both"/>
        <w:rPr>
          <w:rFonts w:ascii="Montserrat Medium" w:eastAsia="Times New Roman" w:hAnsi="Montserrat Medium" w:cs="Arial"/>
          <w:color w:val="595959"/>
          <w:sz w:val="22"/>
          <w:lang w:eastAsia="en-US"/>
        </w:rPr>
      </w:pPr>
    </w:p>
    <w:p w14:paraId="177E6C8D" w14:textId="67788832" w:rsidR="001E3866" w:rsidRPr="00D56579" w:rsidRDefault="001E3866" w:rsidP="002F131C">
      <w:pPr>
        <w:autoSpaceDE w:val="0"/>
        <w:autoSpaceDN w:val="0"/>
        <w:adjustRightInd w:val="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A </w:t>
      </w:r>
      <w:r w:rsidR="00855DFD" w:rsidRPr="00D56579">
        <w:rPr>
          <w:rFonts w:ascii="Montserrat Medium" w:eastAsia="Times New Roman" w:hAnsi="Montserrat Medium" w:cs="Arial"/>
          <w:color w:val="595959"/>
          <w:sz w:val="22"/>
          <w:lang w:eastAsia="en-US"/>
        </w:rPr>
        <w:t>continuación,</w:t>
      </w:r>
      <w:r w:rsidRPr="00D56579">
        <w:rPr>
          <w:rFonts w:ascii="Montserrat Medium" w:eastAsia="Times New Roman" w:hAnsi="Montserrat Medium" w:cs="Arial"/>
          <w:color w:val="595959"/>
          <w:sz w:val="22"/>
          <w:lang w:eastAsia="en-US"/>
        </w:rPr>
        <w:t xml:space="preserve"> se muestran las partidas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w:t>
      </w:r>
      <w:r w:rsidR="000F7251">
        <w:rPr>
          <w:rFonts w:ascii="Montserrat Medium" w:eastAsia="Times New Roman" w:hAnsi="Montserrat Medium" w:cs="Arial"/>
          <w:color w:val="595959"/>
          <w:sz w:val="22"/>
          <w:lang w:eastAsia="en-US"/>
        </w:rPr>
        <w:t>0</w:t>
      </w:r>
      <w:r w:rsidR="00A4586C" w:rsidRPr="00D56579">
        <w:rPr>
          <w:rFonts w:ascii="Montserrat Medium" w:eastAsia="Times New Roman" w:hAnsi="Montserrat Medium" w:cs="Arial"/>
          <w:color w:val="595959"/>
          <w:sz w:val="22"/>
          <w:lang w:eastAsia="en-US"/>
        </w:rPr>
        <w:t xml:space="preserve"> de </w:t>
      </w:r>
      <w:r w:rsidR="000F7251">
        <w:rPr>
          <w:rFonts w:ascii="Montserrat Medium" w:eastAsia="Times New Roman" w:hAnsi="Montserrat Medium" w:cs="Arial"/>
          <w:color w:val="595959"/>
          <w:sz w:val="22"/>
          <w:lang w:eastAsia="en-US"/>
        </w:rPr>
        <w:t>junio</w:t>
      </w:r>
      <w:r w:rsidR="00A4586C" w:rsidRPr="00D56579">
        <w:rPr>
          <w:rFonts w:ascii="Montserrat Medium" w:eastAsia="Times New Roman" w:hAnsi="Montserrat Medium" w:cs="Arial"/>
          <w:color w:val="595959"/>
          <w:sz w:val="22"/>
          <w:lang w:eastAsia="en-US"/>
        </w:rPr>
        <w:t xml:space="preserve"> de 202</w:t>
      </w:r>
      <w:r w:rsidR="001767A4">
        <w:rPr>
          <w:rFonts w:ascii="Montserrat Medium" w:eastAsia="Times New Roman" w:hAnsi="Montserrat Medium" w:cs="Arial"/>
          <w:color w:val="595959"/>
          <w:sz w:val="22"/>
          <w:lang w:eastAsia="en-US"/>
        </w:rPr>
        <w:t>5</w:t>
      </w:r>
      <w:r w:rsidR="00D73B96"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 xml:space="preserve">que integran las conciliaciones siguientes: </w:t>
      </w:r>
    </w:p>
    <w:p w14:paraId="68171362" w14:textId="77777777" w:rsidR="001E3866" w:rsidRPr="00D56579" w:rsidRDefault="001E3866" w:rsidP="002F131C">
      <w:pPr>
        <w:autoSpaceDE w:val="0"/>
        <w:autoSpaceDN w:val="0"/>
        <w:adjustRightInd w:val="0"/>
        <w:jc w:val="both"/>
        <w:rPr>
          <w:rFonts w:ascii="Montserrat Medium" w:eastAsia="Times New Roman" w:hAnsi="Montserrat Medium" w:cs="Arial"/>
          <w:color w:val="595959"/>
          <w:sz w:val="22"/>
          <w:lang w:eastAsia="en-US"/>
        </w:rPr>
      </w:pPr>
    </w:p>
    <w:p w14:paraId="584F9411" w14:textId="0573B0E3" w:rsidR="001E3866" w:rsidRPr="00D56579" w:rsidRDefault="001E3866" w:rsidP="002F131C">
      <w:pPr>
        <w:numPr>
          <w:ilvl w:val="0"/>
          <w:numId w:val="20"/>
        </w:numPr>
        <w:autoSpaceDE w:val="0"/>
        <w:autoSpaceDN w:val="0"/>
        <w:adjustRightInd w:val="0"/>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Ingresos presupuestarios y contables</w:t>
      </w:r>
      <w:r w:rsidR="002255D1" w:rsidRPr="00D56579">
        <w:rPr>
          <w:rFonts w:ascii="Montserrat Medium" w:eastAsia="Times New Roman" w:hAnsi="Montserrat Medium" w:cs="Arial"/>
          <w:color w:val="595959"/>
          <w:sz w:val="22"/>
        </w:rPr>
        <w:t>.</w:t>
      </w:r>
      <w:r w:rsidRPr="00D56579">
        <w:rPr>
          <w:rFonts w:ascii="Montserrat Medium" w:eastAsia="Times New Roman" w:hAnsi="Montserrat Medium" w:cs="Arial"/>
          <w:color w:val="595959"/>
          <w:sz w:val="22"/>
        </w:rPr>
        <w:t xml:space="preserve"> </w:t>
      </w:r>
    </w:p>
    <w:p w14:paraId="3A0B87E6" w14:textId="77777777" w:rsidR="003E6F99" w:rsidRPr="00D56579" w:rsidRDefault="003E6F99" w:rsidP="002F131C">
      <w:pPr>
        <w:autoSpaceDE w:val="0"/>
        <w:autoSpaceDN w:val="0"/>
        <w:adjustRightInd w:val="0"/>
        <w:ind w:left="720"/>
        <w:contextualSpacing/>
        <w:jc w:val="both"/>
        <w:rPr>
          <w:rFonts w:ascii="Montserrat Medium" w:eastAsia="Times New Roman" w:hAnsi="Montserrat Medium" w:cs="Arial"/>
          <w:color w:val="595959"/>
        </w:rPr>
      </w:pPr>
    </w:p>
    <w:tbl>
      <w:tblPr>
        <w:tblW w:w="9018" w:type="dxa"/>
        <w:jc w:val="center"/>
        <w:tblLayout w:type="fixed"/>
        <w:tblCellMar>
          <w:left w:w="70" w:type="dxa"/>
          <w:right w:w="70" w:type="dxa"/>
        </w:tblCellMar>
        <w:tblLook w:val="04A0" w:firstRow="1" w:lastRow="0" w:firstColumn="1" w:lastColumn="0" w:noHBand="0" w:noVBand="1"/>
      </w:tblPr>
      <w:tblGrid>
        <w:gridCol w:w="5335"/>
        <w:gridCol w:w="1843"/>
        <w:gridCol w:w="1840"/>
      </w:tblGrid>
      <w:tr w:rsidR="00836EAD" w:rsidRPr="0056239F" w14:paraId="12302E62" w14:textId="77777777" w:rsidTr="006015CD">
        <w:trPr>
          <w:trHeight w:val="187"/>
          <w:tblHeader/>
          <w:jc w:val="center"/>
        </w:trPr>
        <w:tc>
          <w:tcPr>
            <w:tcW w:w="9018" w:type="dxa"/>
            <w:gridSpan w:val="3"/>
            <w:tcBorders>
              <w:top w:val="single" w:sz="4" w:space="0" w:color="auto"/>
              <w:left w:val="single" w:sz="4" w:space="0" w:color="auto"/>
              <w:right w:val="single" w:sz="4" w:space="0" w:color="auto"/>
            </w:tcBorders>
            <w:shd w:val="clear" w:color="auto" w:fill="A6A6A6" w:themeFill="background1" w:themeFillShade="A6"/>
            <w:vAlign w:val="center"/>
          </w:tcPr>
          <w:p w14:paraId="4A9BFBCC" w14:textId="08F605BA" w:rsidR="00836EAD" w:rsidRPr="0056239F" w:rsidRDefault="00836EAD" w:rsidP="002F131C">
            <w:pPr>
              <w:jc w:val="center"/>
              <w:rPr>
                <w:rFonts w:ascii="Montserrat Medium" w:eastAsia="Times New Roman" w:hAnsi="Montserrat Medium" w:cs="Tahoma"/>
                <w:b/>
                <w:bCs/>
                <w:sz w:val="16"/>
                <w:szCs w:val="18"/>
                <w:lang w:eastAsia="en-US"/>
              </w:rPr>
            </w:pPr>
            <w:r w:rsidRPr="0056239F">
              <w:rPr>
                <w:rFonts w:ascii="Montserrat Medium" w:eastAsia="Times New Roman" w:hAnsi="Montserrat Medium" w:cs="Tahoma"/>
                <w:b/>
                <w:bCs/>
                <w:sz w:val="16"/>
                <w:szCs w:val="18"/>
                <w:lang w:eastAsia="en-US"/>
              </w:rPr>
              <w:t>Gobierno del Estado Libre y Soberano de Quintana Roo</w:t>
            </w:r>
          </w:p>
        </w:tc>
      </w:tr>
      <w:tr w:rsidR="00836EAD" w:rsidRPr="0056239F" w14:paraId="16BD483B" w14:textId="77777777" w:rsidTr="006015CD">
        <w:trPr>
          <w:trHeight w:val="184"/>
          <w:tblHeader/>
          <w:jc w:val="center"/>
        </w:trPr>
        <w:tc>
          <w:tcPr>
            <w:tcW w:w="9018" w:type="dxa"/>
            <w:gridSpan w:val="3"/>
            <w:tcBorders>
              <w:left w:val="single" w:sz="4" w:space="0" w:color="auto"/>
              <w:right w:val="single" w:sz="4" w:space="0" w:color="auto"/>
            </w:tcBorders>
            <w:shd w:val="clear" w:color="auto" w:fill="A6A6A6" w:themeFill="background1" w:themeFillShade="A6"/>
            <w:vAlign w:val="center"/>
          </w:tcPr>
          <w:p w14:paraId="1AA09A06" w14:textId="3A5719AA" w:rsidR="00836EAD" w:rsidRPr="0056239F" w:rsidRDefault="00836EAD" w:rsidP="002F131C">
            <w:pPr>
              <w:jc w:val="center"/>
              <w:rPr>
                <w:rFonts w:ascii="Montserrat Medium" w:eastAsia="Times New Roman" w:hAnsi="Montserrat Medium" w:cs="Tahoma"/>
                <w:b/>
                <w:bCs/>
                <w:sz w:val="16"/>
                <w:szCs w:val="18"/>
                <w:lang w:eastAsia="en-US"/>
              </w:rPr>
            </w:pPr>
            <w:r w:rsidRPr="0056239F">
              <w:rPr>
                <w:rFonts w:ascii="Montserrat Medium" w:eastAsia="Times New Roman" w:hAnsi="Montserrat Medium" w:cs="Tahoma"/>
                <w:b/>
                <w:bCs/>
                <w:sz w:val="16"/>
                <w:szCs w:val="18"/>
                <w:lang w:eastAsia="en-US"/>
              </w:rPr>
              <w:t>Conciliación entre los Ingresos Presupuestarios y Contables</w:t>
            </w:r>
          </w:p>
        </w:tc>
      </w:tr>
      <w:tr w:rsidR="00836EAD" w:rsidRPr="0056239F" w14:paraId="75EDFEAF" w14:textId="77777777" w:rsidTr="006015CD">
        <w:trPr>
          <w:trHeight w:val="101"/>
          <w:tblHeader/>
          <w:jc w:val="center"/>
        </w:trPr>
        <w:tc>
          <w:tcPr>
            <w:tcW w:w="9018" w:type="dxa"/>
            <w:gridSpan w:val="3"/>
            <w:tcBorders>
              <w:left w:val="single" w:sz="4" w:space="0" w:color="auto"/>
              <w:right w:val="single" w:sz="4" w:space="0" w:color="auto"/>
            </w:tcBorders>
            <w:shd w:val="clear" w:color="auto" w:fill="A6A6A6" w:themeFill="background1" w:themeFillShade="A6"/>
            <w:vAlign w:val="center"/>
          </w:tcPr>
          <w:p w14:paraId="1BDCDA18" w14:textId="6F8919C6" w:rsidR="00836EAD" w:rsidRPr="0056239F" w:rsidRDefault="00836EAD" w:rsidP="002F131C">
            <w:pPr>
              <w:jc w:val="center"/>
              <w:rPr>
                <w:rFonts w:ascii="Montserrat Medium" w:eastAsia="Times New Roman" w:hAnsi="Montserrat Medium" w:cs="Tahoma"/>
                <w:b/>
                <w:bCs/>
                <w:sz w:val="16"/>
                <w:szCs w:val="18"/>
                <w:lang w:eastAsia="en-US"/>
              </w:rPr>
            </w:pPr>
            <w:r w:rsidRPr="0056239F">
              <w:rPr>
                <w:rFonts w:ascii="Montserrat Medium" w:eastAsia="Times New Roman" w:hAnsi="Montserrat Medium" w:cs="Tahoma"/>
                <w:b/>
                <w:bCs/>
                <w:sz w:val="16"/>
                <w:szCs w:val="18"/>
                <w:lang w:eastAsia="en-US"/>
              </w:rPr>
              <w:t>Del 01 de enero a</w:t>
            </w:r>
            <w:r w:rsidR="00A4586C" w:rsidRPr="0056239F">
              <w:rPr>
                <w:rFonts w:ascii="Montserrat Medium" w:eastAsia="Times New Roman" w:hAnsi="Montserrat Medium" w:cs="Tahoma"/>
                <w:b/>
                <w:bCs/>
                <w:sz w:val="16"/>
                <w:szCs w:val="18"/>
                <w:lang w:eastAsia="en-US"/>
              </w:rPr>
              <w:t>l 3</w:t>
            </w:r>
            <w:r w:rsidR="000F7251" w:rsidRPr="0056239F">
              <w:rPr>
                <w:rFonts w:ascii="Montserrat Medium" w:eastAsia="Times New Roman" w:hAnsi="Montserrat Medium" w:cs="Tahoma"/>
                <w:b/>
                <w:bCs/>
                <w:sz w:val="16"/>
                <w:szCs w:val="18"/>
                <w:lang w:eastAsia="en-US"/>
              </w:rPr>
              <w:t>0</w:t>
            </w:r>
            <w:r w:rsidR="00A4586C" w:rsidRPr="0056239F">
              <w:rPr>
                <w:rFonts w:ascii="Montserrat Medium" w:eastAsia="Times New Roman" w:hAnsi="Montserrat Medium" w:cs="Tahoma"/>
                <w:b/>
                <w:bCs/>
                <w:sz w:val="16"/>
                <w:szCs w:val="18"/>
                <w:lang w:eastAsia="en-US"/>
              </w:rPr>
              <w:t xml:space="preserve"> de </w:t>
            </w:r>
            <w:r w:rsidR="000F7251" w:rsidRPr="0056239F">
              <w:rPr>
                <w:rFonts w:ascii="Montserrat Medium" w:eastAsia="Times New Roman" w:hAnsi="Montserrat Medium" w:cs="Tahoma"/>
                <w:b/>
                <w:bCs/>
                <w:sz w:val="16"/>
                <w:szCs w:val="18"/>
                <w:lang w:eastAsia="en-US"/>
              </w:rPr>
              <w:t>junio</w:t>
            </w:r>
            <w:r w:rsidR="001767A4" w:rsidRPr="0056239F">
              <w:rPr>
                <w:rFonts w:ascii="Montserrat Medium" w:eastAsia="Times New Roman" w:hAnsi="Montserrat Medium" w:cs="Tahoma"/>
                <w:b/>
                <w:bCs/>
                <w:sz w:val="16"/>
                <w:szCs w:val="18"/>
                <w:lang w:eastAsia="en-US"/>
              </w:rPr>
              <w:t xml:space="preserve"> de 2025</w:t>
            </w:r>
          </w:p>
        </w:tc>
      </w:tr>
      <w:tr w:rsidR="005F02C8" w:rsidRPr="0056239F" w14:paraId="11FED93A" w14:textId="77777777" w:rsidTr="006015CD">
        <w:trPr>
          <w:trHeight w:val="227"/>
          <w:tblHeader/>
          <w:jc w:val="center"/>
        </w:trPr>
        <w:tc>
          <w:tcPr>
            <w:tcW w:w="9018" w:type="dxa"/>
            <w:gridSpan w:val="3"/>
            <w:tcBorders>
              <w:left w:val="single" w:sz="4" w:space="0" w:color="auto"/>
              <w:bottom w:val="single" w:sz="4" w:space="0" w:color="auto"/>
              <w:right w:val="single" w:sz="4" w:space="0" w:color="auto"/>
            </w:tcBorders>
            <w:shd w:val="clear" w:color="auto" w:fill="A6A6A6" w:themeFill="background1" w:themeFillShade="A6"/>
            <w:vAlign w:val="center"/>
          </w:tcPr>
          <w:p w14:paraId="25ADA77B" w14:textId="04BDF6A9" w:rsidR="005F02C8" w:rsidRPr="0056239F" w:rsidRDefault="005F02C8" w:rsidP="002F131C">
            <w:pPr>
              <w:jc w:val="center"/>
              <w:rPr>
                <w:rFonts w:ascii="Montserrat Medium" w:eastAsia="Times New Roman" w:hAnsi="Montserrat Medium" w:cs="Tahoma"/>
                <w:b/>
                <w:bCs/>
                <w:sz w:val="16"/>
                <w:szCs w:val="18"/>
                <w:lang w:eastAsia="en-US"/>
              </w:rPr>
            </w:pPr>
            <w:r w:rsidRPr="0056239F">
              <w:rPr>
                <w:rFonts w:ascii="Montserrat Medium" w:eastAsia="Times New Roman" w:hAnsi="Montserrat Medium" w:cs="Tahoma"/>
                <w:b/>
                <w:bCs/>
                <w:sz w:val="16"/>
                <w:szCs w:val="18"/>
                <w:lang w:eastAsia="en-US"/>
              </w:rPr>
              <w:t>(Cifras en Pesos)</w:t>
            </w:r>
          </w:p>
        </w:tc>
      </w:tr>
      <w:tr w:rsidR="00836EAD" w:rsidRPr="0056239F" w14:paraId="73E911C3" w14:textId="77777777" w:rsidTr="001767A4">
        <w:trPr>
          <w:trHeight w:val="227"/>
          <w:tblHeader/>
          <w:jc w:val="center"/>
        </w:trPr>
        <w:tc>
          <w:tcPr>
            <w:tcW w:w="53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702E0E" w14:textId="77777777" w:rsidR="00836EAD" w:rsidRPr="0056239F" w:rsidRDefault="00836EAD" w:rsidP="002F131C">
            <w:pPr>
              <w:jc w:val="center"/>
              <w:rPr>
                <w:rFonts w:ascii="Montserrat Medium" w:eastAsia="Times New Roman" w:hAnsi="Montserrat Medium" w:cs="Tahoma"/>
                <w:b/>
                <w:bCs/>
                <w:sz w:val="16"/>
                <w:szCs w:val="18"/>
                <w:lang w:eastAsia="en-US"/>
              </w:rPr>
            </w:pPr>
            <w:r w:rsidRPr="0056239F">
              <w:rPr>
                <w:rFonts w:ascii="Montserrat Medium" w:eastAsia="Times New Roman" w:hAnsi="Montserrat Medium" w:cs="Tahoma"/>
                <w:b/>
                <w:bCs/>
                <w:sz w:val="16"/>
                <w:szCs w:val="18"/>
                <w:lang w:eastAsia="en-US"/>
              </w:rPr>
              <w:t>Concepto</w:t>
            </w:r>
          </w:p>
        </w:tc>
        <w:tc>
          <w:tcPr>
            <w:tcW w:w="368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A3C1BA" w14:textId="2E3ACF68" w:rsidR="00836EAD" w:rsidRPr="0056239F" w:rsidRDefault="000F7251" w:rsidP="002F131C">
            <w:pPr>
              <w:jc w:val="center"/>
              <w:rPr>
                <w:rFonts w:ascii="Montserrat Medium" w:hAnsi="Montserrat Medium" w:cs="Calibri"/>
                <w:b/>
                <w:bCs/>
                <w:color w:val="000000"/>
                <w:sz w:val="16"/>
                <w:szCs w:val="18"/>
              </w:rPr>
            </w:pPr>
            <w:r w:rsidRPr="0056239F">
              <w:rPr>
                <w:rFonts w:ascii="Montserrat Medium" w:hAnsi="Montserrat Medium" w:cs="Calibri"/>
                <w:b/>
                <w:bCs/>
                <w:color w:val="000000"/>
                <w:sz w:val="16"/>
                <w:szCs w:val="18"/>
              </w:rPr>
              <w:t>Al 30</w:t>
            </w:r>
            <w:r w:rsidR="0017628E" w:rsidRPr="0056239F">
              <w:rPr>
                <w:rFonts w:ascii="Montserrat Medium" w:hAnsi="Montserrat Medium" w:cs="Calibri"/>
                <w:b/>
                <w:bCs/>
                <w:color w:val="000000"/>
                <w:sz w:val="16"/>
                <w:szCs w:val="18"/>
              </w:rPr>
              <w:t xml:space="preserve"> de </w:t>
            </w:r>
            <w:r w:rsidRPr="0056239F">
              <w:rPr>
                <w:rFonts w:ascii="Montserrat Medium" w:hAnsi="Montserrat Medium" w:cs="Calibri"/>
                <w:b/>
                <w:bCs/>
                <w:color w:val="000000"/>
                <w:sz w:val="16"/>
                <w:szCs w:val="18"/>
              </w:rPr>
              <w:t>Junio</w:t>
            </w:r>
            <w:r w:rsidR="0017628E" w:rsidRPr="0056239F">
              <w:rPr>
                <w:rFonts w:ascii="Montserrat Medium" w:hAnsi="Montserrat Medium" w:cs="Calibri"/>
                <w:b/>
                <w:bCs/>
                <w:color w:val="000000"/>
                <w:sz w:val="16"/>
                <w:szCs w:val="18"/>
              </w:rPr>
              <w:t xml:space="preserve"> de 2025</w:t>
            </w:r>
          </w:p>
        </w:tc>
      </w:tr>
      <w:tr w:rsidR="006114AD" w:rsidRPr="0056239F" w14:paraId="4F32A394" w14:textId="77777777" w:rsidTr="0073145B">
        <w:trPr>
          <w:trHeight w:val="227"/>
          <w:jc w:val="center"/>
        </w:trPr>
        <w:tc>
          <w:tcPr>
            <w:tcW w:w="5335" w:type="dxa"/>
            <w:tcBorders>
              <w:top w:val="single" w:sz="4" w:space="0" w:color="auto"/>
              <w:left w:val="single" w:sz="4" w:space="0" w:color="auto"/>
              <w:bottom w:val="single" w:sz="4" w:space="0" w:color="FFFFFF"/>
              <w:right w:val="single" w:sz="4" w:space="0" w:color="000000"/>
            </w:tcBorders>
            <w:shd w:val="clear" w:color="auto" w:fill="auto"/>
            <w:vAlign w:val="center"/>
            <w:hideMark/>
          </w:tcPr>
          <w:p w14:paraId="4F5B6358" w14:textId="77777777" w:rsidR="006114AD" w:rsidRPr="0056239F" w:rsidRDefault="006114AD" w:rsidP="002F131C">
            <w:pPr>
              <w:jc w:val="both"/>
              <w:rPr>
                <w:rFonts w:ascii="Montserrat Medium" w:eastAsia="Times New Roman" w:hAnsi="Montserrat Medium" w:cs="Tahoma"/>
                <w:b/>
                <w:bCs/>
                <w:sz w:val="16"/>
                <w:szCs w:val="18"/>
                <w:lang w:eastAsia="en-US"/>
              </w:rPr>
            </w:pPr>
            <w:r w:rsidRPr="0056239F">
              <w:rPr>
                <w:rFonts w:ascii="Montserrat Medium" w:eastAsia="Times New Roman" w:hAnsi="Montserrat Medium" w:cs="Tahoma"/>
                <w:b/>
                <w:bCs/>
                <w:sz w:val="16"/>
                <w:szCs w:val="18"/>
                <w:lang w:eastAsia="en-US"/>
              </w:rPr>
              <w:t>Total de Ingresos Presupuestarios</w:t>
            </w:r>
          </w:p>
        </w:tc>
        <w:tc>
          <w:tcPr>
            <w:tcW w:w="1843" w:type="dxa"/>
            <w:tcBorders>
              <w:top w:val="single" w:sz="4" w:space="0" w:color="000000"/>
              <w:left w:val="single" w:sz="4" w:space="0" w:color="000000"/>
            </w:tcBorders>
            <w:shd w:val="clear" w:color="auto" w:fill="auto"/>
            <w:vAlign w:val="center"/>
          </w:tcPr>
          <w:p w14:paraId="7FFF0A65" w14:textId="77777777" w:rsidR="006114AD" w:rsidRPr="0056239F" w:rsidRDefault="006114AD" w:rsidP="002F131C">
            <w:pPr>
              <w:jc w:val="right"/>
              <w:rPr>
                <w:rFonts w:ascii="Montserrat Medium" w:eastAsia="Times New Roman" w:hAnsi="Montserrat Medium" w:cs="Tahoma"/>
                <w:bCs/>
                <w:sz w:val="16"/>
                <w:szCs w:val="18"/>
                <w:lang w:eastAsia="en-US"/>
              </w:rPr>
            </w:pPr>
          </w:p>
        </w:tc>
        <w:tc>
          <w:tcPr>
            <w:tcW w:w="1840" w:type="dxa"/>
            <w:tcBorders>
              <w:top w:val="single" w:sz="4" w:space="0" w:color="000000"/>
              <w:left w:val="nil"/>
              <w:right w:val="single" w:sz="4" w:space="0" w:color="000000"/>
            </w:tcBorders>
            <w:shd w:val="clear" w:color="auto" w:fill="auto"/>
            <w:vAlign w:val="center"/>
          </w:tcPr>
          <w:p w14:paraId="763EC650" w14:textId="483811F6" w:rsidR="006114AD" w:rsidRPr="0056239F" w:rsidRDefault="006114AD" w:rsidP="002F131C">
            <w:pPr>
              <w:rPr>
                <w:rFonts w:ascii="Montserrat Medium" w:eastAsia="Times New Roman" w:hAnsi="Montserrat Medium" w:cs="Tahoma"/>
                <w:b/>
                <w:bCs/>
                <w:sz w:val="16"/>
                <w:szCs w:val="18"/>
                <w:lang w:val="es-MX" w:eastAsia="en-US"/>
              </w:rPr>
            </w:pPr>
            <w:r w:rsidRPr="0056239F">
              <w:rPr>
                <w:rFonts w:ascii="Montserrat Medium" w:hAnsi="Montserrat Medium" w:cs="Calibri"/>
                <w:b/>
                <w:bCs/>
                <w:color w:val="000000"/>
                <w:sz w:val="16"/>
                <w:szCs w:val="18"/>
              </w:rPr>
              <w:t>27,957,765,404.39</w:t>
            </w:r>
          </w:p>
        </w:tc>
      </w:tr>
      <w:tr w:rsidR="006114AD" w:rsidRPr="0056239F" w14:paraId="735D160A" w14:textId="77777777" w:rsidTr="0073145B">
        <w:trPr>
          <w:trHeight w:val="227"/>
          <w:jc w:val="center"/>
        </w:trPr>
        <w:tc>
          <w:tcPr>
            <w:tcW w:w="5335" w:type="dxa"/>
            <w:tcBorders>
              <w:top w:val="single" w:sz="4" w:space="0" w:color="FFFFFF"/>
              <w:left w:val="single" w:sz="4" w:space="0" w:color="auto"/>
              <w:bottom w:val="single" w:sz="4" w:space="0" w:color="FFFFFF"/>
              <w:right w:val="single" w:sz="4" w:space="0" w:color="000000"/>
            </w:tcBorders>
            <w:shd w:val="clear" w:color="auto" w:fill="auto"/>
            <w:vAlign w:val="center"/>
            <w:hideMark/>
          </w:tcPr>
          <w:p w14:paraId="64BA36F6" w14:textId="77777777" w:rsidR="006114AD" w:rsidRPr="0056239F" w:rsidRDefault="006114AD" w:rsidP="002F131C">
            <w:pPr>
              <w:jc w:val="both"/>
              <w:rPr>
                <w:rFonts w:ascii="Montserrat Medium" w:eastAsia="Times New Roman" w:hAnsi="Montserrat Medium" w:cs="Tahoma"/>
                <w:b/>
                <w:bCs/>
                <w:sz w:val="16"/>
                <w:szCs w:val="18"/>
                <w:lang w:eastAsia="en-US"/>
              </w:rPr>
            </w:pPr>
            <w:r w:rsidRPr="0056239F">
              <w:rPr>
                <w:rFonts w:ascii="Montserrat Medium" w:eastAsia="Times New Roman" w:hAnsi="Montserrat Medium" w:cs="Tahoma"/>
                <w:b/>
                <w:bCs/>
                <w:sz w:val="16"/>
                <w:szCs w:val="18"/>
                <w:lang w:eastAsia="en-US"/>
              </w:rPr>
              <w:t>Más Ingresos Contables No Presupuestarios</w:t>
            </w:r>
          </w:p>
        </w:tc>
        <w:tc>
          <w:tcPr>
            <w:tcW w:w="1843" w:type="dxa"/>
            <w:tcBorders>
              <w:left w:val="single" w:sz="4" w:space="0" w:color="000000"/>
            </w:tcBorders>
            <w:shd w:val="clear" w:color="auto" w:fill="auto"/>
            <w:vAlign w:val="center"/>
          </w:tcPr>
          <w:p w14:paraId="56DB5F2C" w14:textId="77777777" w:rsidR="006114AD" w:rsidRPr="0056239F" w:rsidRDefault="006114AD" w:rsidP="002F131C">
            <w:pPr>
              <w:jc w:val="right"/>
              <w:rPr>
                <w:rFonts w:ascii="Montserrat Medium" w:eastAsia="Times New Roman" w:hAnsi="Montserrat Medium" w:cs="Tahoma"/>
                <w:bCs/>
                <w:sz w:val="16"/>
                <w:szCs w:val="18"/>
                <w:lang w:eastAsia="en-US"/>
              </w:rPr>
            </w:pPr>
          </w:p>
        </w:tc>
        <w:tc>
          <w:tcPr>
            <w:tcW w:w="1840" w:type="dxa"/>
            <w:tcBorders>
              <w:left w:val="nil"/>
              <w:right w:val="single" w:sz="4" w:space="0" w:color="000000"/>
            </w:tcBorders>
            <w:shd w:val="clear" w:color="auto" w:fill="auto"/>
            <w:vAlign w:val="center"/>
          </w:tcPr>
          <w:p w14:paraId="38DEF2BA" w14:textId="26228871" w:rsidR="006114AD" w:rsidRPr="0056239F" w:rsidRDefault="006114AD" w:rsidP="002F131C">
            <w:pPr>
              <w:rPr>
                <w:rFonts w:ascii="Montserrat Medium" w:eastAsia="Times New Roman" w:hAnsi="Montserrat Medium" w:cs="Tahoma"/>
                <w:b/>
                <w:bCs/>
                <w:sz w:val="16"/>
                <w:szCs w:val="18"/>
                <w:lang w:eastAsia="en-US"/>
              </w:rPr>
            </w:pPr>
            <w:r w:rsidRPr="0056239F">
              <w:rPr>
                <w:rFonts w:ascii="Montserrat Medium" w:hAnsi="Montserrat Medium" w:cs="Calibri"/>
                <w:b/>
                <w:bCs/>
                <w:color w:val="000000"/>
                <w:sz w:val="16"/>
                <w:szCs w:val="18"/>
              </w:rPr>
              <w:t>0.00</w:t>
            </w:r>
          </w:p>
        </w:tc>
      </w:tr>
      <w:tr w:rsidR="006114AD" w:rsidRPr="0056239F" w14:paraId="0D40A1C4" w14:textId="77777777" w:rsidTr="0073145B">
        <w:trPr>
          <w:trHeight w:val="227"/>
          <w:jc w:val="center"/>
        </w:trPr>
        <w:tc>
          <w:tcPr>
            <w:tcW w:w="5335" w:type="dxa"/>
            <w:tcBorders>
              <w:top w:val="single" w:sz="4" w:space="0" w:color="FFFFFF"/>
              <w:left w:val="single" w:sz="4" w:space="0" w:color="auto"/>
              <w:right w:val="single" w:sz="4" w:space="0" w:color="000000"/>
            </w:tcBorders>
            <w:shd w:val="clear" w:color="auto" w:fill="auto"/>
          </w:tcPr>
          <w:p w14:paraId="552385A0" w14:textId="77777777" w:rsidR="006114AD" w:rsidRPr="0056239F" w:rsidRDefault="006114AD" w:rsidP="002F131C">
            <w:pPr>
              <w:ind w:left="356"/>
              <w:jc w:val="both"/>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Ingresos Financieros</w:t>
            </w:r>
          </w:p>
        </w:tc>
        <w:tc>
          <w:tcPr>
            <w:tcW w:w="1843" w:type="dxa"/>
            <w:tcBorders>
              <w:left w:val="single" w:sz="4" w:space="0" w:color="000000"/>
            </w:tcBorders>
            <w:shd w:val="clear" w:color="auto" w:fill="auto"/>
            <w:vAlign w:val="center"/>
          </w:tcPr>
          <w:p w14:paraId="4ECA3F0A" w14:textId="47F62F58"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0.00</w:t>
            </w:r>
          </w:p>
        </w:tc>
        <w:tc>
          <w:tcPr>
            <w:tcW w:w="1840" w:type="dxa"/>
            <w:tcBorders>
              <w:left w:val="nil"/>
              <w:right w:val="single" w:sz="4" w:space="0" w:color="000000"/>
            </w:tcBorders>
            <w:shd w:val="clear" w:color="auto" w:fill="auto"/>
            <w:vAlign w:val="center"/>
          </w:tcPr>
          <w:p w14:paraId="3FE13C66" w14:textId="24FA6B98"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5C17E76E" w14:textId="77777777" w:rsidTr="0073145B">
        <w:trPr>
          <w:trHeight w:val="227"/>
          <w:jc w:val="center"/>
        </w:trPr>
        <w:tc>
          <w:tcPr>
            <w:tcW w:w="5335" w:type="dxa"/>
            <w:tcBorders>
              <w:left w:val="single" w:sz="4" w:space="0" w:color="auto"/>
              <w:bottom w:val="single" w:sz="4" w:space="0" w:color="FFFFFF"/>
              <w:right w:val="single" w:sz="4" w:space="0" w:color="000000"/>
            </w:tcBorders>
            <w:shd w:val="clear" w:color="auto" w:fill="auto"/>
          </w:tcPr>
          <w:p w14:paraId="038A851E" w14:textId="77777777" w:rsidR="006114AD" w:rsidRPr="0056239F" w:rsidRDefault="006114AD" w:rsidP="002F131C">
            <w:pPr>
              <w:ind w:left="356"/>
              <w:jc w:val="both"/>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Incremento por Variación de Inventarios</w:t>
            </w:r>
          </w:p>
        </w:tc>
        <w:tc>
          <w:tcPr>
            <w:tcW w:w="1843" w:type="dxa"/>
            <w:tcBorders>
              <w:left w:val="single" w:sz="4" w:space="0" w:color="000000"/>
            </w:tcBorders>
            <w:shd w:val="clear" w:color="auto" w:fill="auto"/>
            <w:vAlign w:val="center"/>
          </w:tcPr>
          <w:p w14:paraId="74218A1D" w14:textId="7D83E823"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0.00</w:t>
            </w:r>
          </w:p>
        </w:tc>
        <w:tc>
          <w:tcPr>
            <w:tcW w:w="1840" w:type="dxa"/>
            <w:tcBorders>
              <w:left w:val="nil"/>
              <w:right w:val="single" w:sz="4" w:space="0" w:color="000000"/>
            </w:tcBorders>
            <w:shd w:val="clear" w:color="auto" w:fill="auto"/>
            <w:vAlign w:val="center"/>
          </w:tcPr>
          <w:p w14:paraId="45BC7FE8" w14:textId="2D7EAFE1"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2D4D1813" w14:textId="77777777" w:rsidTr="0056239F">
        <w:trPr>
          <w:trHeight w:val="227"/>
          <w:jc w:val="center"/>
        </w:trPr>
        <w:tc>
          <w:tcPr>
            <w:tcW w:w="5335" w:type="dxa"/>
            <w:tcBorders>
              <w:top w:val="single" w:sz="4" w:space="0" w:color="FFFFFF"/>
              <w:left w:val="single" w:sz="4" w:space="0" w:color="auto"/>
              <w:bottom w:val="single" w:sz="4" w:space="0" w:color="auto"/>
              <w:right w:val="single" w:sz="4" w:space="0" w:color="000000"/>
            </w:tcBorders>
            <w:shd w:val="clear" w:color="auto" w:fill="auto"/>
          </w:tcPr>
          <w:p w14:paraId="1C165A34" w14:textId="355526B7" w:rsidR="006114AD" w:rsidRPr="0056239F" w:rsidRDefault="006114AD" w:rsidP="002F131C">
            <w:pPr>
              <w:ind w:left="356"/>
              <w:jc w:val="both"/>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Disminución del Exceso de Estimaciones por   Pérdida o Deterioro u Obsolescencia</w:t>
            </w:r>
          </w:p>
        </w:tc>
        <w:tc>
          <w:tcPr>
            <w:tcW w:w="1843" w:type="dxa"/>
            <w:tcBorders>
              <w:left w:val="single" w:sz="4" w:space="0" w:color="000000"/>
              <w:bottom w:val="single" w:sz="4" w:space="0" w:color="auto"/>
            </w:tcBorders>
            <w:shd w:val="clear" w:color="auto" w:fill="auto"/>
            <w:vAlign w:val="center"/>
          </w:tcPr>
          <w:p w14:paraId="208F3E4E" w14:textId="30616B70"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0.00</w:t>
            </w:r>
          </w:p>
        </w:tc>
        <w:tc>
          <w:tcPr>
            <w:tcW w:w="1840" w:type="dxa"/>
            <w:tcBorders>
              <w:left w:val="nil"/>
              <w:bottom w:val="single" w:sz="4" w:space="0" w:color="auto"/>
              <w:right w:val="single" w:sz="4" w:space="0" w:color="000000"/>
            </w:tcBorders>
            <w:shd w:val="clear" w:color="auto" w:fill="auto"/>
            <w:vAlign w:val="center"/>
          </w:tcPr>
          <w:p w14:paraId="3255FFC4" w14:textId="1592CA91"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19823AF8" w14:textId="77777777" w:rsidTr="0056239F">
        <w:trPr>
          <w:trHeight w:val="227"/>
          <w:jc w:val="center"/>
        </w:trPr>
        <w:tc>
          <w:tcPr>
            <w:tcW w:w="5335" w:type="dxa"/>
            <w:tcBorders>
              <w:top w:val="single" w:sz="4" w:space="0" w:color="auto"/>
              <w:left w:val="single" w:sz="4" w:space="0" w:color="auto"/>
              <w:right w:val="single" w:sz="4" w:space="0" w:color="000000"/>
            </w:tcBorders>
            <w:shd w:val="clear" w:color="auto" w:fill="auto"/>
          </w:tcPr>
          <w:p w14:paraId="01A160A2" w14:textId="77777777" w:rsidR="006114AD" w:rsidRPr="0056239F" w:rsidRDefault="006114AD" w:rsidP="002F131C">
            <w:pPr>
              <w:ind w:left="356"/>
              <w:jc w:val="both"/>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lastRenderedPageBreak/>
              <w:t>Disminución del Exceso de Provisiones</w:t>
            </w:r>
          </w:p>
        </w:tc>
        <w:tc>
          <w:tcPr>
            <w:tcW w:w="1843" w:type="dxa"/>
            <w:tcBorders>
              <w:top w:val="single" w:sz="4" w:space="0" w:color="auto"/>
              <w:left w:val="single" w:sz="4" w:space="0" w:color="000000"/>
            </w:tcBorders>
            <w:shd w:val="clear" w:color="auto" w:fill="auto"/>
            <w:vAlign w:val="center"/>
          </w:tcPr>
          <w:p w14:paraId="2704D529" w14:textId="19DDA7BD"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0.00</w:t>
            </w:r>
          </w:p>
        </w:tc>
        <w:tc>
          <w:tcPr>
            <w:tcW w:w="1840" w:type="dxa"/>
            <w:tcBorders>
              <w:top w:val="single" w:sz="4" w:space="0" w:color="auto"/>
              <w:left w:val="nil"/>
              <w:right w:val="single" w:sz="4" w:space="0" w:color="000000"/>
            </w:tcBorders>
            <w:shd w:val="clear" w:color="auto" w:fill="auto"/>
            <w:vAlign w:val="center"/>
          </w:tcPr>
          <w:p w14:paraId="7F72431C" w14:textId="1BE5A0C0"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1723364C" w14:textId="77777777" w:rsidTr="00BC476E">
        <w:trPr>
          <w:trHeight w:val="227"/>
          <w:jc w:val="center"/>
        </w:trPr>
        <w:tc>
          <w:tcPr>
            <w:tcW w:w="5335" w:type="dxa"/>
            <w:tcBorders>
              <w:left w:val="single" w:sz="4" w:space="0" w:color="auto"/>
              <w:right w:val="single" w:sz="4" w:space="0" w:color="000000"/>
            </w:tcBorders>
            <w:shd w:val="clear" w:color="auto" w:fill="auto"/>
          </w:tcPr>
          <w:p w14:paraId="341D084C" w14:textId="77777777" w:rsidR="006114AD" w:rsidRPr="0056239F" w:rsidRDefault="006114AD" w:rsidP="002F131C">
            <w:pPr>
              <w:ind w:left="356"/>
              <w:jc w:val="both"/>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Otros Ingresos y Beneficios Varios</w:t>
            </w:r>
          </w:p>
        </w:tc>
        <w:tc>
          <w:tcPr>
            <w:tcW w:w="1843" w:type="dxa"/>
            <w:tcBorders>
              <w:left w:val="single" w:sz="4" w:space="0" w:color="000000"/>
            </w:tcBorders>
            <w:shd w:val="clear" w:color="auto" w:fill="auto"/>
            <w:vAlign w:val="center"/>
          </w:tcPr>
          <w:p w14:paraId="58D41B08" w14:textId="7404E402"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0.00</w:t>
            </w:r>
          </w:p>
        </w:tc>
        <w:tc>
          <w:tcPr>
            <w:tcW w:w="1840" w:type="dxa"/>
            <w:tcBorders>
              <w:left w:val="nil"/>
              <w:right w:val="single" w:sz="4" w:space="0" w:color="000000"/>
            </w:tcBorders>
            <w:shd w:val="clear" w:color="auto" w:fill="auto"/>
            <w:vAlign w:val="center"/>
          </w:tcPr>
          <w:p w14:paraId="5C1DF06D" w14:textId="3894DAEA"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41E2C5EA" w14:textId="77777777" w:rsidTr="00BC476E">
        <w:trPr>
          <w:trHeight w:val="206"/>
          <w:jc w:val="center"/>
        </w:trPr>
        <w:tc>
          <w:tcPr>
            <w:tcW w:w="5335" w:type="dxa"/>
            <w:tcBorders>
              <w:left w:val="single" w:sz="4" w:space="0" w:color="auto"/>
              <w:right w:val="single" w:sz="4" w:space="0" w:color="000000"/>
            </w:tcBorders>
            <w:shd w:val="clear" w:color="auto" w:fill="auto"/>
          </w:tcPr>
          <w:p w14:paraId="3CE6C07A" w14:textId="77777777" w:rsidR="006114AD" w:rsidRPr="0056239F" w:rsidRDefault="006114AD" w:rsidP="002F131C">
            <w:pPr>
              <w:ind w:left="356"/>
              <w:jc w:val="both"/>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Otros Ingresos Contables No Presupuestarios</w:t>
            </w:r>
          </w:p>
        </w:tc>
        <w:tc>
          <w:tcPr>
            <w:tcW w:w="1843" w:type="dxa"/>
            <w:tcBorders>
              <w:left w:val="single" w:sz="4" w:space="0" w:color="000000"/>
            </w:tcBorders>
            <w:shd w:val="clear" w:color="auto" w:fill="auto"/>
            <w:vAlign w:val="center"/>
          </w:tcPr>
          <w:p w14:paraId="7B72CB01" w14:textId="10B23C0A"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0.00</w:t>
            </w:r>
          </w:p>
        </w:tc>
        <w:tc>
          <w:tcPr>
            <w:tcW w:w="1840" w:type="dxa"/>
            <w:tcBorders>
              <w:left w:val="nil"/>
              <w:right w:val="single" w:sz="4" w:space="0" w:color="000000"/>
            </w:tcBorders>
            <w:shd w:val="clear" w:color="auto" w:fill="auto"/>
            <w:vAlign w:val="center"/>
          </w:tcPr>
          <w:p w14:paraId="7DE2D886" w14:textId="0494FDFB"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07DB58C2" w14:textId="77777777" w:rsidTr="00BC476E">
        <w:trPr>
          <w:trHeight w:val="227"/>
          <w:jc w:val="center"/>
        </w:trPr>
        <w:tc>
          <w:tcPr>
            <w:tcW w:w="5335" w:type="dxa"/>
            <w:tcBorders>
              <w:left w:val="single" w:sz="4" w:space="0" w:color="auto"/>
              <w:right w:val="single" w:sz="4" w:space="0" w:color="000000"/>
            </w:tcBorders>
            <w:shd w:val="clear" w:color="auto" w:fill="auto"/>
            <w:vAlign w:val="center"/>
            <w:hideMark/>
          </w:tcPr>
          <w:p w14:paraId="33CF7FF8" w14:textId="77777777" w:rsidR="006114AD" w:rsidRPr="0056239F" w:rsidRDefault="006114AD" w:rsidP="002F131C">
            <w:pPr>
              <w:jc w:val="both"/>
              <w:rPr>
                <w:rFonts w:ascii="Montserrat Medium" w:eastAsia="Times New Roman" w:hAnsi="Montserrat Medium" w:cs="Tahoma"/>
                <w:b/>
                <w:bCs/>
                <w:sz w:val="16"/>
                <w:szCs w:val="18"/>
                <w:lang w:eastAsia="en-US"/>
              </w:rPr>
            </w:pPr>
            <w:r w:rsidRPr="0056239F">
              <w:rPr>
                <w:rFonts w:ascii="Montserrat Medium" w:eastAsia="Times New Roman" w:hAnsi="Montserrat Medium" w:cs="Tahoma"/>
                <w:b/>
                <w:bCs/>
                <w:sz w:val="16"/>
                <w:szCs w:val="18"/>
                <w:lang w:eastAsia="en-US"/>
              </w:rPr>
              <w:t>Menos Ingresos Presupuestarios No Contables</w:t>
            </w:r>
          </w:p>
        </w:tc>
        <w:tc>
          <w:tcPr>
            <w:tcW w:w="1843" w:type="dxa"/>
            <w:tcBorders>
              <w:left w:val="single" w:sz="4" w:space="0" w:color="000000"/>
            </w:tcBorders>
            <w:shd w:val="clear" w:color="auto" w:fill="auto"/>
            <w:vAlign w:val="center"/>
          </w:tcPr>
          <w:p w14:paraId="3A6D1E64" w14:textId="77777777" w:rsidR="006114AD" w:rsidRPr="0056239F" w:rsidRDefault="006114AD" w:rsidP="002F131C">
            <w:pPr>
              <w:jc w:val="right"/>
              <w:rPr>
                <w:rFonts w:ascii="Montserrat Medium" w:eastAsia="Times New Roman" w:hAnsi="Montserrat Medium" w:cs="Tahoma"/>
                <w:bCs/>
                <w:sz w:val="16"/>
                <w:szCs w:val="18"/>
                <w:lang w:eastAsia="en-US"/>
              </w:rPr>
            </w:pPr>
          </w:p>
        </w:tc>
        <w:tc>
          <w:tcPr>
            <w:tcW w:w="1840" w:type="dxa"/>
            <w:tcBorders>
              <w:left w:val="nil"/>
              <w:right w:val="single" w:sz="4" w:space="0" w:color="000000"/>
            </w:tcBorders>
            <w:shd w:val="clear" w:color="auto" w:fill="auto"/>
            <w:vAlign w:val="center"/>
          </w:tcPr>
          <w:p w14:paraId="0733BF3E" w14:textId="4F501738" w:rsidR="006114AD" w:rsidRPr="0056239F" w:rsidRDefault="006114AD" w:rsidP="002F131C">
            <w:pPr>
              <w:jc w:val="right"/>
              <w:rPr>
                <w:rFonts w:ascii="Montserrat Medium" w:eastAsia="Times New Roman" w:hAnsi="Montserrat Medium" w:cs="Tahoma"/>
                <w:b/>
                <w:bCs/>
                <w:sz w:val="16"/>
                <w:szCs w:val="18"/>
                <w:lang w:val="es-MX" w:eastAsia="en-US"/>
              </w:rPr>
            </w:pPr>
            <w:r w:rsidRPr="0056239F">
              <w:rPr>
                <w:rFonts w:ascii="Montserrat Medium" w:hAnsi="Montserrat Medium" w:cs="Calibri"/>
                <w:b/>
                <w:bCs/>
                <w:color w:val="000000"/>
                <w:sz w:val="16"/>
                <w:szCs w:val="18"/>
              </w:rPr>
              <w:t>0.00</w:t>
            </w:r>
          </w:p>
        </w:tc>
      </w:tr>
      <w:tr w:rsidR="006114AD" w:rsidRPr="0056239F" w14:paraId="4DF450F2" w14:textId="77777777" w:rsidTr="0073145B">
        <w:trPr>
          <w:trHeight w:val="227"/>
          <w:jc w:val="center"/>
        </w:trPr>
        <w:tc>
          <w:tcPr>
            <w:tcW w:w="5335" w:type="dxa"/>
            <w:tcBorders>
              <w:left w:val="single" w:sz="4" w:space="0" w:color="auto"/>
              <w:right w:val="single" w:sz="4" w:space="0" w:color="000000"/>
            </w:tcBorders>
            <w:shd w:val="clear" w:color="auto" w:fill="auto"/>
          </w:tcPr>
          <w:p w14:paraId="04E8B8F0" w14:textId="77777777" w:rsidR="006114AD" w:rsidRPr="0056239F" w:rsidRDefault="006114AD" w:rsidP="002F131C">
            <w:pPr>
              <w:ind w:left="356"/>
              <w:jc w:val="both"/>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Aprovechamientos Patrimoniales</w:t>
            </w:r>
          </w:p>
        </w:tc>
        <w:tc>
          <w:tcPr>
            <w:tcW w:w="1843" w:type="dxa"/>
            <w:tcBorders>
              <w:left w:val="single" w:sz="4" w:space="0" w:color="000000"/>
            </w:tcBorders>
            <w:shd w:val="clear" w:color="auto" w:fill="auto"/>
            <w:vAlign w:val="center"/>
          </w:tcPr>
          <w:p w14:paraId="6F0B73FA" w14:textId="2C74485D"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0.00</w:t>
            </w:r>
          </w:p>
        </w:tc>
        <w:tc>
          <w:tcPr>
            <w:tcW w:w="1840" w:type="dxa"/>
            <w:tcBorders>
              <w:left w:val="nil"/>
              <w:right w:val="single" w:sz="4" w:space="0" w:color="000000"/>
            </w:tcBorders>
            <w:shd w:val="clear" w:color="auto" w:fill="auto"/>
            <w:vAlign w:val="center"/>
          </w:tcPr>
          <w:p w14:paraId="256D1EC8" w14:textId="63F13267"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1DBCE6F5" w14:textId="77777777" w:rsidTr="0073145B">
        <w:trPr>
          <w:trHeight w:val="227"/>
          <w:jc w:val="center"/>
        </w:trPr>
        <w:tc>
          <w:tcPr>
            <w:tcW w:w="5335" w:type="dxa"/>
            <w:tcBorders>
              <w:left w:val="single" w:sz="4" w:space="0" w:color="auto"/>
              <w:right w:val="single" w:sz="4" w:space="0" w:color="000000"/>
            </w:tcBorders>
            <w:shd w:val="clear" w:color="auto" w:fill="auto"/>
            <w:hideMark/>
          </w:tcPr>
          <w:p w14:paraId="30D22B22" w14:textId="77777777" w:rsidR="006114AD" w:rsidRPr="0056239F" w:rsidRDefault="006114AD" w:rsidP="002F131C">
            <w:pPr>
              <w:ind w:left="356"/>
              <w:jc w:val="both"/>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Ingresos Derivados de Financiamientos</w:t>
            </w:r>
          </w:p>
        </w:tc>
        <w:tc>
          <w:tcPr>
            <w:tcW w:w="1843" w:type="dxa"/>
            <w:tcBorders>
              <w:left w:val="single" w:sz="4" w:space="0" w:color="000000"/>
            </w:tcBorders>
            <w:shd w:val="clear" w:color="auto" w:fill="auto"/>
            <w:vAlign w:val="center"/>
          </w:tcPr>
          <w:p w14:paraId="09CD7B51" w14:textId="00F8EB95" w:rsidR="006114AD" w:rsidRPr="0056239F" w:rsidRDefault="006114AD" w:rsidP="002F131C">
            <w:pPr>
              <w:jc w:val="right"/>
              <w:rPr>
                <w:rFonts w:ascii="Montserrat Medium" w:eastAsia="Times New Roman" w:hAnsi="Montserrat Medium" w:cs="Tahoma"/>
                <w:sz w:val="16"/>
                <w:szCs w:val="18"/>
                <w:lang w:val="es-MX" w:eastAsia="en-US"/>
              </w:rPr>
            </w:pPr>
            <w:r w:rsidRPr="0056239F">
              <w:rPr>
                <w:rFonts w:ascii="Montserrat Medium" w:hAnsi="Montserrat Medium" w:cs="Calibri"/>
                <w:color w:val="000000"/>
                <w:sz w:val="16"/>
                <w:szCs w:val="18"/>
              </w:rPr>
              <w:t>0.00</w:t>
            </w:r>
          </w:p>
        </w:tc>
        <w:tc>
          <w:tcPr>
            <w:tcW w:w="1840" w:type="dxa"/>
            <w:tcBorders>
              <w:left w:val="nil"/>
              <w:right w:val="single" w:sz="4" w:space="0" w:color="000000"/>
            </w:tcBorders>
            <w:shd w:val="clear" w:color="auto" w:fill="auto"/>
            <w:vAlign w:val="center"/>
          </w:tcPr>
          <w:p w14:paraId="2B007C3D" w14:textId="06BD66A9"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0B982559" w14:textId="77777777" w:rsidTr="0073145B">
        <w:trPr>
          <w:trHeight w:val="227"/>
          <w:jc w:val="center"/>
        </w:trPr>
        <w:tc>
          <w:tcPr>
            <w:tcW w:w="5335" w:type="dxa"/>
            <w:tcBorders>
              <w:left w:val="single" w:sz="4" w:space="0" w:color="auto"/>
              <w:bottom w:val="single" w:sz="4" w:space="0" w:color="auto"/>
              <w:right w:val="single" w:sz="4" w:space="0" w:color="000000"/>
            </w:tcBorders>
            <w:shd w:val="clear" w:color="auto" w:fill="auto"/>
            <w:hideMark/>
          </w:tcPr>
          <w:p w14:paraId="72F50AAF" w14:textId="77777777" w:rsidR="006114AD" w:rsidRPr="0056239F" w:rsidRDefault="006114AD" w:rsidP="002F131C">
            <w:pPr>
              <w:ind w:left="356"/>
              <w:jc w:val="both"/>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Otros Ingresos Presupuestarios No Contables</w:t>
            </w:r>
          </w:p>
        </w:tc>
        <w:tc>
          <w:tcPr>
            <w:tcW w:w="1843" w:type="dxa"/>
            <w:tcBorders>
              <w:left w:val="single" w:sz="4" w:space="0" w:color="000000"/>
              <w:bottom w:val="single" w:sz="4" w:space="0" w:color="auto"/>
            </w:tcBorders>
            <w:shd w:val="clear" w:color="auto" w:fill="auto"/>
            <w:vAlign w:val="center"/>
          </w:tcPr>
          <w:p w14:paraId="3DA7D8EE" w14:textId="54D46CF8" w:rsidR="006114AD" w:rsidRPr="0056239F" w:rsidRDefault="006114AD" w:rsidP="002F131C">
            <w:pPr>
              <w:jc w:val="right"/>
              <w:rPr>
                <w:rFonts w:ascii="Montserrat Medium" w:eastAsia="Times New Roman" w:hAnsi="Montserrat Medium" w:cs="Tahoma"/>
                <w:sz w:val="16"/>
                <w:szCs w:val="18"/>
                <w:lang w:val="es-MX" w:eastAsia="en-US"/>
              </w:rPr>
            </w:pPr>
            <w:r w:rsidRPr="0056239F">
              <w:rPr>
                <w:rFonts w:ascii="Montserrat Medium" w:hAnsi="Montserrat Medium" w:cs="Calibri"/>
                <w:color w:val="000000"/>
                <w:sz w:val="16"/>
                <w:szCs w:val="18"/>
              </w:rPr>
              <w:t>0.00</w:t>
            </w:r>
          </w:p>
        </w:tc>
        <w:tc>
          <w:tcPr>
            <w:tcW w:w="1840" w:type="dxa"/>
            <w:tcBorders>
              <w:left w:val="nil"/>
              <w:bottom w:val="single" w:sz="4" w:space="0" w:color="auto"/>
              <w:right w:val="single" w:sz="4" w:space="0" w:color="000000"/>
            </w:tcBorders>
            <w:shd w:val="clear" w:color="auto" w:fill="auto"/>
            <w:vAlign w:val="center"/>
          </w:tcPr>
          <w:p w14:paraId="6B39F7F4" w14:textId="6C6F18B1"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0D7EEAB4" w14:textId="77777777" w:rsidTr="0073145B">
        <w:trPr>
          <w:trHeight w:val="227"/>
          <w:jc w:val="center"/>
        </w:trPr>
        <w:tc>
          <w:tcPr>
            <w:tcW w:w="533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6DD7928" w14:textId="77777777" w:rsidR="006114AD" w:rsidRPr="0056239F" w:rsidRDefault="006114AD" w:rsidP="002F131C">
            <w:pPr>
              <w:jc w:val="both"/>
              <w:rPr>
                <w:rFonts w:ascii="Montserrat Medium" w:eastAsia="Times New Roman" w:hAnsi="Montserrat Medium" w:cs="Tahoma"/>
                <w:b/>
                <w:bCs/>
                <w:sz w:val="16"/>
                <w:szCs w:val="18"/>
                <w:lang w:eastAsia="en-US"/>
              </w:rPr>
            </w:pPr>
            <w:r w:rsidRPr="0056239F">
              <w:rPr>
                <w:rFonts w:ascii="Montserrat Medium" w:eastAsia="Times New Roman" w:hAnsi="Montserrat Medium" w:cs="Tahoma"/>
                <w:b/>
                <w:bCs/>
                <w:sz w:val="16"/>
                <w:szCs w:val="18"/>
                <w:lang w:eastAsia="en-US"/>
              </w:rPr>
              <w:t>Total de Ingresos Contables</w:t>
            </w:r>
          </w:p>
        </w:tc>
        <w:tc>
          <w:tcPr>
            <w:tcW w:w="1843" w:type="dxa"/>
            <w:tcBorders>
              <w:top w:val="single" w:sz="4" w:space="0" w:color="auto"/>
              <w:left w:val="single" w:sz="4" w:space="0" w:color="000000"/>
              <w:bottom w:val="single" w:sz="4" w:space="0" w:color="000000"/>
            </w:tcBorders>
            <w:shd w:val="clear" w:color="auto" w:fill="auto"/>
            <w:vAlign w:val="center"/>
          </w:tcPr>
          <w:p w14:paraId="597DEBB7" w14:textId="629D1749" w:rsidR="006114AD" w:rsidRPr="0056239F" w:rsidRDefault="006114AD" w:rsidP="002F131C">
            <w:pPr>
              <w:jc w:val="right"/>
              <w:rPr>
                <w:rFonts w:ascii="Montserrat Medium" w:eastAsia="Times New Roman" w:hAnsi="Montserrat Medium" w:cs="Tahoma"/>
                <w:bCs/>
                <w:sz w:val="16"/>
                <w:szCs w:val="18"/>
                <w:lang w:eastAsia="en-US"/>
              </w:rPr>
            </w:pPr>
            <w:r w:rsidRPr="0056239F">
              <w:rPr>
                <w:rFonts w:ascii="Montserrat Medium" w:hAnsi="Montserrat Medium" w:cs="Calibri"/>
                <w:color w:val="000000"/>
                <w:sz w:val="16"/>
                <w:szCs w:val="18"/>
              </w:rPr>
              <w:t> </w:t>
            </w:r>
          </w:p>
        </w:tc>
        <w:tc>
          <w:tcPr>
            <w:tcW w:w="1840" w:type="dxa"/>
            <w:tcBorders>
              <w:top w:val="single" w:sz="4" w:space="0" w:color="auto"/>
              <w:left w:val="nil"/>
              <w:bottom w:val="single" w:sz="4" w:space="0" w:color="000000"/>
              <w:right w:val="single" w:sz="4" w:space="0" w:color="000000"/>
            </w:tcBorders>
            <w:shd w:val="clear" w:color="auto" w:fill="auto"/>
            <w:vAlign w:val="center"/>
          </w:tcPr>
          <w:p w14:paraId="4EC8B2CE" w14:textId="0E9F22F9" w:rsidR="006114AD" w:rsidRPr="0056239F" w:rsidRDefault="006114AD" w:rsidP="002F131C">
            <w:pPr>
              <w:jc w:val="right"/>
              <w:rPr>
                <w:rFonts w:ascii="Montserrat Medium" w:eastAsia="Times New Roman" w:hAnsi="Montserrat Medium" w:cs="Tahoma"/>
                <w:b/>
                <w:bCs/>
                <w:sz w:val="16"/>
                <w:szCs w:val="18"/>
                <w:lang w:val="es-MX" w:eastAsia="en-US"/>
              </w:rPr>
            </w:pPr>
            <w:r w:rsidRPr="0056239F">
              <w:rPr>
                <w:rFonts w:ascii="Montserrat Medium" w:hAnsi="Montserrat Medium" w:cs="Calibri"/>
                <w:b/>
                <w:bCs/>
                <w:color w:val="000000"/>
                <w:sz w:val="16"/>
                <w:szCs w:val="18"/>
              </w:rPr>
              <w:t>27,957,765,404.39</w:t>
            </w:r>
          </w:p>
        </w:tc>
      </w:tr>
    </w:tbl>
    <w:p w14:paraId="058B6DFD" w14:textId="77777777" w:rsidR="00407330" w:rsidRPr="00D56579" w:rsidRDefault="00407330" w:rsidP="002F131C">
      <w:pPr>
        <w:rPr>
          <w:rFonts w:ascii="Montserrat Medium" w:eastAsia="Times New Roman" w:hAnsi="Montserrat Medium" w:cs="Arial"/>
          <w:color w:val="595959"/>
          <w:sz w:val="22"/>
        </w:rPr>
      </w:pPr>
    </w:p>
    <w:p w14:paraId="58D1834A" w14:textId="3022BFAA" w:rsidR="001E3866" w:rsidRPr="00D56579" w:rsidRDefault="001E3866" w:rsidP="002F131C">
      <w:pPr>
        <w:numPr>
          <w:ilvl w:val="0"/>
          <w:numId w:val="20"/>
        </w:numPr>
        <w:autoSpaceDE w:val="0"/>
        <w:autoSpaceDN w:val="0"/>
        <w:adjustRightInd w:val="0"/>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Egresos pre</w:t>
      </w:r>
      <w:r w:rsidR="00437BAF" w:rsidRPr="00D56579">
        <w:rPr>
          <w:rFonts w:ascii="Montserrat Medium" w:eastAsia="Times New Roman" w:hAnsi="Montserrat Medium" w:cs="Arial"/>
          <w:color w:val="595959"/>
          <w:sz w:val="22"/>
        </w:rPr>
        <w:t>supuestarios y gastos contables</w:t>
      </w:r>
      <w:r w:rsidR="00E242CA" w:rsidRPr="00D56579">
        <w:rPr>
          <w:rFonts w:ascii="Montserrat Medium" w:eastAsia="Times New Roman" w:hAnsi="Montserrat Medium" w:cs="Arial"/>
          <w:color w:val="595959"/>
          <w:sz w:val="22"/>
        </w:rPr>
        <w:t>.</w:t>
      </w:r>
    </w:p>
    <w:p w14:paraId="401FA357" w14:textId="77777777" w:rsidR="00E242CA" w:rsidRPr="00D56579" w:rsidRDefault="00E242CA" w:rsidP="002F131C">
      <w:pPr>
        <w:autoSpaceDE w:val="0"/>
        <w:autoSpaceDN w:val="0"/>
        <w:adjustRightInd w:val="0"/>
        <w:contextualSpacing/>
        <w:jc w:val="both"/>
        <w:rPr>
          <w:rFonts w:ascii="Montserrat Medium" w:eastAsia="Times New Roman" w:hAnsi="Montserrat Medium" w:cs="Arial"/>
          <w:color w:val="595959"/>
          <w:sz w:val="22"/>
        </w:rPr>
      </w:pPr>
    </w:p>
    <w:tbl>
      <w:tblPr>
        <w:tblStyle w:val="Tablaconcuadrcula9"/>
        <w:tblW w:w="9794" w:type="dxa"/>
        <w:jc w:val="center"/>
        <w:tblLayout w:type="fixed"/>
        <w:tblLook w:val="04A0" w:firstRow="1" w:lastRow="0" w:firstColumn="1" w:lastColumn="0" w:noHBand="0" w:noVBand="1"/>
      </w:tblPr>
      <w:tblGrid>
        <w:gridCol w:w="5887"/>
        <w:gridCol w:w="1984"/>
        <w:gridCol w:w="1923"/>
      </w:tblGrid>
      <w:tr w:rsidR="00E242CA" w:rsidRPr="0056239F" w14:paraId="0CD7BAC8" w14:textId="77777777" w:rsidTr="006015CD">
        <w:trPr>
          <w:trHeight w:val="283"/>
          <w:tblHeader/>
          <w:jc w:val="center"/>
        </w:trPr>
        <w:tc>
          <w:tcPr>
            <w:tcW w:w="9794" w:type="dxa"/>
            <w:gridSpan w:val="3"/>
            <w:tcBorders>
              <w:bottom w:val="nil"/>
            </w:tcBorders>
            <w:shd w:val="clear" w:color="auto" w:fill="A6A6A6" w:themeFill="background1" w:themeFillShade="A6"/>
            <w:hideMark/>
          </w:tcPr>
          <w:p w14:paraId="1D00921B" w14:textId="77777777" w:rsidR="00E242CA" w:rsidRPr="0056239F" w:rsidRDefault="00E242CA" w:rsidP="002F131C">
            <w:pPr>
              <w:jc w:val="center"/>
              <w:rPr>
                <w:rFonts w:ascii="Montserrat Medium" w:eastAsia="Times New Roman" w:hAnsi="Montserrat Medium" w:cs="Tahoma"/>
                <w:b/>
                <w:bCs/>
                <w:sz w:val="16"/>
                <w:szCs w:val="18"/>
                <w:lang w:eastAsia="en-US"/>
              </w:rPr>
            </w:pPr>
            <w:r w:rsidRPr="0056239F">
              <w:rPr>
                <w:rFonts w:ascii="Montserrat Medium" w:eastAsia="Times New Roman" w:hAnsi="Montserrat Medium" w:cs="Tahoma"/>
                <w:b/>
                <w:bCs/>
                <w:sz w:val="16"/>
                <w:szCs w:val="18"/>
                <w:lang w:eastAsia="en-US"/>
              </w:rPr>
              <w:t>Gobierno del Estado Libre y Soberano de Quintana Roo</w:t>
            </w:r>
          </w:p>
          <w:p w14:paraId="39F1D07A" w14:textId="77777777" w:rsidR="00E242CA" w:rsidRPr="0056239F" w:rsidRDefault="00E242CA" w:rsidP="002F131C">
            <w:pPr>
              <w:jc w:val="center"/>
              <w:rPr>
                <w:rFonts w:ascii="Montserrat Medium" w:eastAsia="Times New Roman" w:hAnsi="Montserrat Medium" w:cs="Tahoma"/>
                <w:b/>
                <w:bCs/>
                <w:sz w:val="16"/>
                <w:szCs w:val="18"/>
                <w:lang w:eastAsia="en-US"/>
              </w:rPr>
            </w:pPr>
            <w:r w:rsidRPr="0056239F">
              <w:rPr>
                <w:rFonts w:ascii="Montserrat Medium" w:eastAsia="Times New Roman" w:hAnsi="Montserrat Medium" w:cs="Tahoma"/>
                <w:b/>
                <w:bCs/>
                <w:sz w:val="16"/>
                <w:szCs w:val="18"/>
                <w:lang w:eastAsia="en-US"/>
              </w:rPr>
              <w:t>Conciliación entre los Egresos Presupuestarios y los Gastos Contables</w:t>
            </w:r>
          </w:p>
        </w:tc>
      </w:tr>
      <w:tr w:rsidR="00E242CA" w:rsidRPr="0056239F" w14:paraId="6CF0457D" w14:textId="77777777" w:rsidTr="006015CD">
        <w:trPr>
          <w:trHeight w:val="227"/>
          <w:tblHeader/>
          <w:jc w:val="center"/>
        </w:trPr>
        <w:tc>
          <w:tcPr>
            <w:tcW w:w="9794" w:type="dxa"/>
            <w:gridSpan w:val="3"/>
            <w:tcBorders>
              <w:top w:val="nil"/>
              <w:bottom w:val="nil"/>
            </w:tcBorders>
            <w:shd w:val="clear" w:color="auto" w:fill="A6A6A6" w:themeFill="background1" w:themeFillShade="A6"/>
            <w:vAlign w:val="center"/>
          </w:tcPr>
          <w:p w14:paraId="4B2531B2" w14:textId="4C34A93B" w:rsidR="00E242CA" w:rsidRPr="0056239F" w:rsidRDefault="00E242CA" w:rsidP="002F131C">
            <w:pPr>
              <w:jc w:val="center"/>
              <w:rPr>
                <w:rFonts w:ascii="Montserrat Medium" w:eastAsia="Times New Roman" w:hAnsi="Montserrat Medium" w:cs="Calibri"/>
                <w:b/>
                <w:bCs/>
                <w:color w:val="000000"/>
                <w:sz w:val="16"/>
                <w:szCs w:val="18"/>
                <w:lang w:eastAsia="es-MX"/>
              </w:rPr>
            </w:pPr>
            <w:r w:rsidRPr="0056239F">
              <w:rPr>
                <w:rFonts w:ascii="Montserrat Medium" w:eastAsia="Times New Roman" w:hAnsi="Montserrat Medium" w:cs="Tahoma"/>
                <w:b/>
                <w:bCs/>
                <w:sz w:val="16"/>
                <w:szCs w:val="18"/>
                <w:lang w:eastAsia="en-US"/>
              </w:rPr>
              <w:t>Del 01 de enero al 3</w:t>
            </w:r>
            <w:r w:rsidR="006114AD" w:rsidRPr="0056239F">
              <w:rPr>
                <w:rFonts w:ascii="Montserrat Medium" w:eastAsia="Times New Roman" w:hAnsi="Montserrat Medium" w:cs="Tahoma"/>
                <w:b/>
                <w:bCs/>
                <w:sz w:val="16"/>
                <w:szCs w:val="18"/>
                <w:lang w:eastAsia="en-US"/>
              </w:rPr>
              <w:t>0</w:t>
            </w:r>
            <w:r w:rsidRPr="0056239F">
              <w:rPr>
                <w:rFonts w:ascii="Montserrat Medium" w:eastAsia="Times New Roman" w:hAnsi="Montserrat Medium" w:cs="Tahoma"/>
                <w:b/>
                <w:bCs/>
                <w:sz w:val="16"/>
                <w:szCs w:val="18"/>
                <w:lang w:eastAsia="en-US"/>
              </w:rPr>
              <w:t xml:space="preserve"> de </w:t>
            </w:r>
            <w:r w:rsidR="006114AD" w:rsidRPr="0056239F">
              <w:rPr>
                <w:rFonts w:ascii="Montserrat Medium" w:eastAsia="Times New Roman" w:hAnsi="Montserrat Medium" w:cs="Tahoma"/>
                <w:b/>
                <w:bCs/>
                <w:sz w:val="16"/>
                <w:szCs w:val="18"/>
                <w:lang w:eastAsia="en-US"/>
              </w:rPr>
              <w:t>junio</w:t>
            </w:r>
            <w:r w:rsidR="00542DB3" w:rsidRPr="0056239F">
              <w:rPr>
                <w:rFonts w:ascii="Montserrat Medium" w:eastAsia="Times New Roman" w:hAnsi="Montserrat Medium" w:cs="Tahoma"/>
                <w:b/>
                <w:bCs/>
                <w:sz w:val="16"/>
                <w:szCs w:val="18"/>
                <w:lang w:eastAsia="en-US"/>
              </w:rPr>
              <w:t xml:space="preserve"> de 2025</w:t>
            </w:r>
          </w:p>
        </w:tc>
      </w:tr>
      <w:tr w:rsidR="00E242CA" w:rsidRPr="0056239F" w14:paraId="10FC00AF" w14:textId="77777777" w:rsidTr="006015CD">
        <w:trPr>
          <w:trHeight w:val="227"/>
          <w:tblHeader/>
          <w:jc w:val="center"/>
        </w:trPr>
        <w:tc>
          <w:tcPr>
            <w:tcW w:w="9794" w:type="dxa"/>
            <w:gridSpan w:val="3"/>
            <w:tcBorders>
              <w:top w:val="nil"/>
              <w:bottom w:val="single" w:sz="4" w:space="0" w:color="auto"/>
            </w:tcBorders>
            <w:shd w:val="clear" w:color="auto" w:fill="A6A6A6" w:themeFill="background1" w:themeFillShade="A6"/>
            <w:vAlign w:val="center"/>
          </w:tcPr>
          <w:p w14:paraId="58A6C5B8" w14:textId="77777777" w:rsidR="00E242CA" w:rsidRPr="0056239F" w:rsidRDefault="00E242CA" w:rsidP="002F131C">
            <w:pPr>
              <w:jc w:val="center"/>
              <w:rPr>
                <w:rFonts w:ascii="Montserrat Medium" w:eastAsia="Times New Roman" w:hAnsi="Montserrat Medium" w:cs="Calibri"/>
                <w:b/>
                <w:bCs/>
                <w:color w:val="000000"/>
                <w:sz w:val="16"/>
                <w:szCs w:val="18"/>
                <w:lang w:eastAsia="es-MX"/>
              </w:rPr>
            </w:pPr>
            <w:r w:rsidRPr="0056239F">
              <w:rPr>
                <w:rFonts w:ascii="Montserrat Medium" w:eastAsia="Times New Roman" w:hAnsi="Montserrat Medium" w:cs="Tahoma"/>
                <w:b/>
                <w:bCs/>
                <w:sz w:val="16"/>
                <w:szCs w:val="18"/>
                <w:lang w:eastAsia="en-US"/>
              </w:rPr>
              <w:t>(Cifras en Pesos)</w:t>
            </w:r>
          </w:p>
        </w:tc>
      </w:tr>
      <w:tr w:rsidR="00E242CA" w:rsidRPr="0056239F" w14:paraId="58737021" w14:textId="77777777" w:rsidTr="006015CD">
        <w:trPr>
          <w:trHeight w:val="227"/>
          <w:tblHeader/>
          <w:jc w:val="center"/>
        </w:trPr>
        <w:tc>
          <w:tcPr>
            <w:tcW w:w="5887" w:type="dxa"/>
            <w:tcBorders>
              <w:top w:val="single" w:sz="4" w:space="0" w:color="auto"/>
              <w:bottom w:val="single" w:sz="4" w:space="0" w:color="auto"/>
            </w:tcBorders>
            <w:shd w:val="clear" w:color="auto" w:fill="BFBFBF" w:themeFill="background1" w:themeFillShade="BF"/>
            <w:vAlign w:val="center"/>
            <w:hideMark/>
          </w:tcPr>
          <w:p w14:paraId="2EB2EF13" w14:textId="77777777" w:rsidR="00E242CA" w:rsidRPr="0056239F" w:rsidRDefault="00E242CA" w:rsidP="002F131C">
            <w:pPr>
              <w:tabs>
                <w:tab w:val="center" w:pos="2199"/>
                <w:tab w:val="left" w:pos="3143"/>
              </w:tabs>
              <w:jc w:val="center"/>
              <w:rPr>
                <w:rFonts w:ascii="Montserrat Medium" w:eastAsia="Times New Roman" w:hAnsi="Montserrat Medium" w:cs="Tahoma"/>
                <w:b/>
                <w:bCs/>
                <w:sz w:val="16"/>
                <w:szCs w:val="18"/>
                <w:lang w:eastAsia="en-US"/>
              </w:rPr>
            </w:pPr>
            <w:r w:rsidRPr="0056239F">
              <w:rPr>
                <w:rFonts w:ascii="Montserrat Medium" w:eastAsia="Times New Roman" w:hAnsi="Montserrat Medium" w:cs="Tahoma"/>
                <w:b/>
                <w:bCs/>
                <w:sz w:val="16"/>
                <w:szCs w:val="18"/>
                <w:lang w:eastAsia="en-US"/>
              </w:rPr>
              <w:t>Concepto</w:t>
            </w:r>
          </w:p>
        </w:tc>
        <w:tc>
          <w:tcPr>
            <w:tcW w:w="3907" w:type="dxa"/>
            <w:gridSpan w:val="2"/>
            <w:tcBorders>
              <w:top w:val="single" w:sz="4" w:space="0" w:color="auto"/>
              <w:bottom w:val="single" w:sz="4" w:space="0" w:color="auto"/>
            </w:tcBorders>
            <w:shd w:val="clear" w:color="auto" w:fill="BFBFBF" w:themeFill="background1" w:themeFillShade="BF"/>
            <w:vAlign w:val="center"/>
            <w:hideMark/>
          </w:tcPr>
          <w:p w14:paraId="218A79E8" w14:textId="2F6809BF" w:rsidR="00E242CA" w:rsidRPr="0056239F" w:rsidRDefault="00542DB3" w:rsidP="002F131C">
            <w:pPr>
              <w:jc w:val="center"/>
              <w:rPr>
                <w:rFonts w:ascii="Montserrat Medium" w:eastAsia="Times New Roman" w:hAnsi="Montserrat Medium" w:cs="Calibri"/>
                <w:b/>
                <w:bCs/>
                <w:color w:val="000000"/>
                <w:sz w:val="16"/>
                <w:szCs w:val="18"/>
                <w:lang w:val="es-MX" w:eastAsia="es-MX"/>
              </w:rPr>
            </w:pPr>
            <w:r w:rsidRPr="0056239F">
              <w:rPr>
                <w:rFonts w:ascii="Montserrat Medium" w:eastAsia="Times New Roman" w:hAnsi="Montserrat Medium" w:cs="Calibri"/>
                <w:b/>
                <w:bCs/>
                <w:color w:val="000000"/>
                <w:sz w:val="16"/>
                <w:szCs w:val="18"/>
                <w:lang w:eastAsia="es-MX"/>
              </w:rPr>
              <w:t>Al 3</w:t>
            </w:r>
            <w:r w:rsidR="006114AD" w:rsidRPr="0056239F">
              <w:rPr>
                <w:rFonts w:ascii="Montserrat Medium" w:eastAsia="Times New Roman" w:hAnsi="Montserrat Medium" w:cs="Calibri"/>
                <w:b/>
                <w:bCs/>
                <w:color w:val="000000"/>
                <w:sz w:val="16"/>
                <w:szCs w:val="18"/>
                <w:lang w:eastAsia="es-MX"/>
              </w:rPr>
              <w:t>0</w:t>
            </w:r>
            <w:r w:rsidRPr="0056239F">
              <w:rPr>
                <w:rFonts w:ascii="Montserrat Medium" w:eastAsia="Times New Roman" w:hAnsi="Montserrat Medium" w:cs="Calibri"/>
                <w:b/>
                <w:bCs/>
                <w:color w:val="000000"/>
                <w:sz w:val="16"/>
                <w:szCs w:val="18"/>
                <w:lang w:eastAsia="es-MX"/>
              </w:rPr>
              <w:t xml:space="preserve"> de </w:t>
            </w:r>
            <w:r w:rsidR="006114AD" w:rsidRPr="0056239F">
              <w:rPr>
                <w:rFonts w:ascii="Montserrat Medium" w:eastAsia="Times New Roman" w:hAnsi="Montserrat Medium" w:cs="Calibri"/>
                <w:b/>
                <w:bCs/>
                <w:color w:val="000000"/>
                <w:sz w:val="16"/>
                <w:szCs w:val="18"/>
                <w:lang w:eastAsia="es-MX"/>
              </w:rPr>
              <w:t>junio</w:t>
            </w:r>
            <w:r w:rsidRPr="0056239F">
              <w:rPr>
                <w:rFonts w:ascii="Montserrat Medium" w:eastAsia="Times New Roman" w:hAnsi="Montserrat Medium" w:cs="Calibri"/>
                <w:b/>
                <w:bCs/>
                <w:color w:val="000000"/>
                <w:sz w:val="16"/>
                <w:szCs w:val="18"/>
                <w:lang w:eastAsia="es-MX"/>
              </w:rPr>
              <w:t xml:space="preserve"> de 2025</w:t>
            </w:r>
          </w:p>
        </w:tc>
      </w:tr>
      <w:tr w:rsidR="006114AD" w:rsidRPr="0056239F" w14:paraId="1AD802B0" w14:textId="77777777" w:rsidTr="006114AD">
        <w:trPr>
          <w:trHeight w:val="145"/>
          <w:jc w:val="center"/>
        </w:trPr>
        <w:tc>
          <w:tcPr>
            <w:tcW w:w="5887" w:type="dxa"/>
            <w:tcBorders>
              <w:top w:val="single" w:sz="4" w:space="0" w:color="auto"/>
              <w:bottom w:val="nil"/>
            </w:tcBorders>
            <w:shd w:val="clear" w:color="auto" w:fill="auto"/>
            <w:vAlign w:val="bottom"/>
            <w:hideMark/>
          </w:tcPr>
          <w:p w14:paraId="5FA17A54" w14:textId="77777777" w:rsidR="006114AD" w:rsidRPr="0056239F" w:rsidRDefault="006114AD" w:rsidP="002F131C">
            <w:pPr>
              <w:rPr>
                <w:rFonts w:ascii="Montserrat Medium" w:eastAsia="Times New Roman" w:hAnsi="Montserrat Medium" w:cs="Tahoma"/>
                <w:b/>
                <w:bCs/>
                <w:sz w:val="16"/>
                <w:szCs w:val="18"/>
                <w:lang w:eastAsia="en-US"/>
              </w:rPr>
            </w:pPr>
            <w:r w:rsidRPr="0056239F">
              <w:rPr>
                <w:rFonts w:ascii="Montserrat Medium" w:eastAsia="Times New Roman" w:hAnsi="Montserrat Medium" w:cs="Tahoma"/>
                <w:b/>
                <w:bCs/>
                <w:sz w:val="16"/>
                <w:szCs w:val="18"/>
                <w:lang w:eastAsia="en-US"/>
              </w:rPr>
              <w:t>Total de Egresos Presupuestarios</w:t>
            </w:r>
          </w:p>
        </w:tc>
        <w:tc>
          <w:tcPr>
            <w:tcW w:w="1984" w:type="dxa"/>
            <w:tcBorders>
              <w:top w:val="single" w:sz="4" w:space="0" w:color="auto"/>
              <w:bottom w:val="nil"/>
              <w:right w:val="nil"/>
            </w:tcBorders>
            <w:shd w:val="clear" w:color="auto" w:fill="auto"/>
            <w:vAlign w:val="center"/>
          </w:tcPr>
          <w:p w14:paraId="50DEC846" w14:textId="77777777" w:rsidR="006114AD" w:rsidRPr="0056239F" w:rsidRDefault="006114AD" w:rsidP="002F131C">
            <w:pPr>
              <w:jc w:val="right"/>
              <w:rPr>
                <w:rFonts w:ascii="Montserrat Medium" w:eastAsia="Times New Roman" w:hAnsi="Montserrat Medium" w:cs="Tahoma"/>
                <w:b/>
                <w:bCs/>
                <w:sz w:val="16"/>
                <w:szCs w:val="18"/>
                <w:lang w:eastAsia="en-US"/>
              </w:rPr>
            </w:pPr>
          </w:p>
        </w:tc>
        <w:tc>
          <w:tcPr>
            <w:tcW w:w="1923" w:type="dxa"/>
            <w:tcBorders>
              <w:top w:val="single" w:sz="4" w:space="0" w:color="auto"/>
              <w:left w:val="nil"/>
              <w:bottom w:val="nil"/>
            </w:tcBorders>
            <w:shd w:val="clear" w:color="auto" w:fill="auto"/>
            <w:vAlign w:val="center"/>
          </w:tcPr>
          <w:p w14:paraId="0DB60484" w14:textId="5D484332" w:rsidR="006114AD" w:rsidRPr="0056239F" w:rsidRDefault="006114AD" w:rsidP="002F131C">
            <w:pPr>
              <w:jc w:val="right"/>
              <w:rPr>
                <w:rFonts w:ascii="Montserrat Medium" w:eastAsia="Times New Roman" w:hAnsi="Montserrat Medium" w:cs="Tahoma"/>
                <w:b/>
                <w:bCs/>
                <w:sz w:val="16"/>
                <w:szCs w:val="18"/>
                <w:lang w:eastAsia="en-US"/>
              </w:rPr>
            </w:pPr>
            <w:r w:rsidRPr="0056239F">
              <w:rPr>
                <w:rFonts w:ascii="Montserrat Medium" w:hAnsi="Montserrat Medium" w:cs="Calibri"/>
                <w:b/>
                <w:bCs/>
                <w:color w:val="000000"/>
                <w:sz w:val="16"/>
                <w:szCs w:val="18"/>
              </w:rPr>
              <w:t>22,625,261,506.55</w:t>
            </w:r>
          </w:p>
        </w:tc>
      </w:tr>
      <w:tr w:rsidR="006114AD" w:rsidRPr="0056239F" w14:paraId="0831FF14" w14:textId="77777777" w:rsidTr="006114AD">
        <w:trPr>
          <w:trHeight w:hRule="exact" w:val="223"/>
          <w:jc w:val="center"/>
        </w:trPr>
        <w:tc>
          <w:tcPr>
            <w:tcW w:w="5887" w:type="dxa"/>
            <w:tcBorders>
              <w:top w:val="nil"/>
              <w:bottom w:val="nil"/>
            </w:tcBorders>
            <w:shd w:val="clear" w:color="auto" w:fill="auto"/>
            <w:vAlign w:val="bottom"/>
            <w:hideMark/>
          </w:tcPr>
          <w:p w14:paraId="6BEBDF65" w14:textId="77777777" w:rsidR="006114AD" w:rsidRPr="0056239F" w:rsidRDefault="006114AD" w:rsidP="002F131C">
            <w:pPr>
              <w:ind w:left="152" w:hanging="152"/>
              <w:rPr>
                <w:rFonts w:ascii="Montserrat Medium" w:eastAsia="Times New Roman" w:hAnsi="Montserrat Medium" w:cs="Tahoma"/>
                <w:b/>
                <w:bCs/>
                <w:sz w:val="16"/>
                <w:szCs w:val="18"/>
                <w:lang w:eastAsia="en-US"/>
              </w:rPr>
            </w:pPr>
            <w:r w:rsidRPr="0056239F">
              <w:rPr>
                <w:rFonts w:ascii="Montserrat Medium" w:eastAsia="Times New Roman" w:hAnsi="Montserrat Medium" w:cs="Tahoma"/>
                <w:b/>
                <w:bCs/>
                <w:sz w:val="16"/>
                <w:szCs w:val="18"/>
                <w:lang w:eastAsia="en-US"/>
              </w:rPr>
              <w:t>Menos Egresos Presupuestarios No Contables</w:t>
            </w:r>
          </w:p>
        </w:tc>
        <w:tc>
          <w:tcPr>
            <w:tcW w:w="1984" w:type="dxa"/>
            <w:tcBorders>
              <w:top w:val="nil"/>
              <w:bottom w:val="nil"/>
              <w:right w:val="nil"/>
            </w:tcBorders>
            <w:shd w:val="clear" w:color="auto" w:fill="auto"/>
            <w:vAlign w:val="center"/>
          </w:tcPr>
          <w:p w14:paraId="52E60E24" w14:textId="77777777" w:rsidR="006114AD" w:rsidRPr="0056239F" w:rsidRDefault="006114AD" w:rsidP="002F131C">
            <w:pPr>
              <w:jc w:val="right"/>
              <w:rPr>
                <w:rFonts w:ascii="Montserrat Medium" w:eastAsia="Times New Roman" w:hAnsi="Montserrat Medium" w:cs="Tahoma"/>
                <w:b/>
                <w:bCs/>
                <w:sz w:val="16"/>
                <w:szCs w:val="18"/>
                <w:lang w:eastAsia="en-US"/>
              </w:rPr>
            </w:pPr>
          </w:p>
        </w:tc>
        <w:tc>
          <w:tcPr>
            <w:tcW w:w="1923" w:type="dxa"/>
            <w:tcBorders>
              <w:top w:val="nil"/>
              <w:left w:val="nil"/>
              <w:bottom w:val="nil"/>
            </w:tcBorders>
            <w:shd w:val="clear" w:color="auto" w:fill="auto"/>
            <w:vAlign w:val="center"/>
          </w:tcPr>
          <w:p w14:paraId="5EB95D02" w14:textId="0C1346BA" w:rsidR="006114AD" w:rsidRPr="0056239F" w:rsidRDefault="006114AD" w:rsidP="002F131C">
            <w:pPr>
              <w:jc w:val="right"/>
              <w:rPr>
                <w:rFonts w:ascii="Montserrat Medium" w:eastAsia="Times New Roman" w:hAnsi="Montserrat Medium" w:cs="Tahoma"/>
                <w:b/>
                <w:bCs/>
                <w:sz w:val="16"/>
                <w:szCs w:val="18"/>
                <w:lang w:eastAsia="en-US"/>
              </w:rPr>
            </w:pPr>
            <w:r w:rsidRPr="0056239F">
              <w:rPr>
                <w:rFonts w:ascii="Montserrat Medium" w:hAnsi="Montserrat Medium" w:cs="Calibri"/>
                <w:b/>
                <w:bCs/>
                <w:color w:val="000000"/>
                <w:sz w:val="16"/>
                <w:szCs w:val="18"/>
              </w:rPr>
              <w:t>763,539,269.01</w:t>
            </w:r>
          </w:p>
        </w:tc>
      </w:tr>
      <w:tr w:rsidR="006114AD" w:rsidRPr="0056239F" w14:paraId="172A6BED" w14:textId="77777777" w:rsidTr="0056239F">
        <w:trPr>
          <w:trHeight w:hRule="exact" w:val="179"/>
          <w:jc w:val="center"/>
        </w:trPr>
        <w:tc>
          <w:tcPr>
            <w:tcW w:w="5887" w:type="dxa"/>
            <w:tcBorders>
              <w:top w:val="nil"/>
              <w:bottom w:val="nil"/>
            </w:tcBorders>
            <w:shd w:val="clear" w:color="auto" w:fill="auto"/>
            <w:noWrap/>
            <w:vAlign w:val="bottom"/>
          </w:tcPr>
          <w:p w14:paraId="01136495" w14:textId="77777777" w:rsidR="006114AD" w:rsidRPr="0056239F" w:rsidRDefault="006114AD" w:rsidP="002F131C">
            <w:pPr>
              <w:ind w:left="356"/>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Materias Primas y Materiales de Producción y Comercialización</w:t>
            </w:r>
          </w:p>
        </w:tc>
        <w:tc>
          <w:tcPr>
            <w:tcW w:w="1984" w:type="dxa"/>
            <w:tcBorders>
              <w:top w:val="nil"/>
              <w:bottom w:val="nil"/>
              <w:right w:val="nil"/>
            </w:tcBorders>
            <w:shd w:val="clear" w:color="auto" w:fill="auto"/>
            <w:vAlign w:val="center"/>
          </w:tcPr>
          <w:p w14:paraId="60065216" w14:textId="6C8DF0A0"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149,991.81</w:t>
            </w:r>
          </w:p>
        </w:tc>
        <w:tc>
          <w:tcPr>
            <w:tcW w:w="1923" w:type="dxa"/>
            <w:tcBorders>
              <w:top w:val="nil"/>
              <w:left w:val="nil"/>
              <w:bottom w:val="nil"/>
            </w:tcBorders>
            <w:shd w:val="clear" w:color="auto" w:fill="auto"/>
            <w:noWrap/>
            <w:vAlign w:val="center"/>
          </w:tcPr>
          <w:p w14:paraId="6D880B67" w14:textId="09DB4F20"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3C889E80" w14:textId="77777777" w:rsidTr="006114AD">
        <w:trPr>
          <w:trHeight w:hRule="exact" w:val="227"/>
          <w:jc w:val="center"/>
        </w:trPr>
        <w:tc>
          <w:tcPr>
            <w:tcW w:w="5887" w:type="dxa"/>
            <w:tcBorders>
              <w:top w:val="nil"/>
              <w:bottom w:val="nil"/>
            </w:tcBorders>
            <w:shd w:val="clear" w:color="auto" w:fill="auto"/>
            <w:noWrap/>
            <w:vAlign w:val="bottom"/>
          </w:tcPr>
          <w:p w14:paraId="517B202A" w14:textId="77777777" w:rsidR="006114AD" w:rsidRPr="0056239F" w:rsidRDefault="006114AD" w:rsidP="002F131C">
            <w:pPr>
              <w:ind w:left="356"/>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Materiales y Suministros</w:t>
            </w:r>
          </w:p>
        </w:tc>
        <w:tc>
          <w:tcPr>
            <w:tcW w:w="1984" w:type="dxa"/>
            <w:tcBorders>
              <w:top w:val="nil"/>
              <w:bottom w:val="nil"/>
              <w:right w:val="nil"/>
            </w:tcBorders>
            <w:shd w:val="clear" w:color="auto" w:fill="auto"/>
            <w:vAlign w:val="center"/>
          </w:tcPr>
          <w:p w14:paraId="7B8DC684" w14:textId="22A9EB86"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386,033,122.69</w:t>
            </w:r>
          </w:p>
        </w:tc>
        <w:tc>
          <w:tcPr>
            <w:tcW w:w="1923" w:type="dxa"/>
            <w:tcBorders>
              <w:top w:val="nil"/>
              <w:left w:val="nil"/>
              <w:bottom w:val="nil"/>
            </w:tcBorders>
            <w:shd w:val="clear" w:color="auto" w:fill="auto"/>
            <w:noWrap/>
            <w:vAlign w:val="center"/>
          </w:tcPr>
          <w:p w14:paraId="0905BF4D" w14:textId="52DBD7F8"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67F7B223" w14:textId="77777777" w:rsidTr="006114AD">
        <w:trPr>
          <w:trHeight w:hRule="exact" w:val="227"/>
          <w:jc w:val="center"/>
        </w:trPr>
        <w:tc>
          <w:tcPr>
            <w:tcW w:w="5887" w:type="dxa"/>
            <w:tcBorders>
              <w:top w:val="nil"/>
              <w:bottom w:val="nil"/>
            </w:tcBorders>
            <w:shd w:val="clear" w:color="auto" w:fill="auto"/>
            <w:noWrap/>
            <w:vAlign w:val="bottom"/>
            <w:hideMark/>
          </w:tcPr>
          <w:p w14:paraId="603570CF" w14:textId="77777777" w:rsidR="006114AD" w:rsidRPr="0056239F" w:rsidRDefault="006114AD" w:rsidP="002F131C">
            <w:pPr>
              <w:ind w:left="356"/>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Mobiliario y Equipo de Administración</w:t>
            </w:r>
          </w:p>
        </w:tc>
        <w:tc>
          <w:tcPr>
            <w:tcW w:w="1984" w:type="dxa"/>
            <w:tcBorders>
              <w:top w:val="nil"/>
              <w:bottom w:val="nil"/>
              <w:right w:val="nil"/>
            </w:tcBorders>
            <w:shd w:val="clear" w:color="auto" w:fill="auto"/>
            <w:vAlign w:val="center"/>
          </w:tcPr>
          <w:p w14:paraId="7D35AD02" w14:textId="2FE4F453"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5,010,914.01</w:t>
            </w:r>
          </w:p>
        </w:tc>
        <w:tc>
          <w:tcPr>
            <w:tcW w:w="1923" w:type="dxa"/>
            <w:tcBorders>
              <w:top w:val="nil"/>
              <w:left w:val="nil"/>
              <w:bottom w:val="nil"/>
            </w:tcBorders>
            <w:shd w:val="clear" w:color="auto" w:fill="auto"/>
            <w:noWrap/>
            <w:vAlign w:val="center"/>
          </w:tcPr>
          <w:p w14:paraId="0F3B1094" w14:textId="5EB36DE6"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10260CBF" w14:textId="77777777" w:rsidTr="006114AD">
        <w:trPr>
          <w:trHeight w:hRule="exact" w:val="227"/>
          <w:jc w:val="center"/>
        </w:trPr>
        <w:tc>
          <w:tcPr>
            <w:tcW w:w="5887" w:type="dxa"/>
            <w:tcBorders>
              <w:top w:val="nil"/>
              <w:bottom w:val="nil"/>
            </w:tcBorders>
            <w:shd w:val="clear" w:color="auto" w:fill="auto"/>
            <w:noWrap/>
            <w:vAlign w:val="bottom"/>
            <w:hideMark/>
          </w:tcPr>
          <w:p w14:paraId="2479E7A5" w14:textId="77777777" w:rsidR="006114AD" w:rsidRPr="0056239F" w:rsidRDefault="006114AD" w:rsidP="002F131C">
            <w:pPr>
              <w:ind w:left="356"/>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Mobiliario y Equipo Educacional y Recreativo</w:t>
            </w:r>
          </w:p>
        </w:tc>
        <w:tc>
          <w:tcPr>
            <w:tcW w:w="1984" w:type="dxa"/>
            <w:tcBorders>
              <w:top w:val="nil"/>
              <w:bottom w:val="nil"/>
              <w:right w:val="nil"/>
            </w:tcBorders>
            <w:shd w:val="clear" w:color="auto" w:fill="auto"/>
            <w:vAlign w:val="center"/>
          </w:tcPr>
          <w:p w14:paraId="73B8733D" w14:textId="2877E1AC"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246,288.18</w:t>
            </w:r>
          </w:p>
        </w:tc>
        <w:tc>
          <w:tcPr>
            <w:tcW w:w="1923" w:type="dxa"/>
            <w:tcBorders>
              <w:top w:val="nil"/>
              <w:left w:val="nil"/>
              <w:bottom w:val="nil"/>
            </w:tcBorders>
            <w:shd w:val="clear" w:color="auto" w:fill="auto"/>
            <w:noWrap/>
            <w:vAlign w:val="center"/>
          </w:tcPr>
          <w:p w14:paraId="0629E440" w14:textId="58F8D804"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134651FE" w14:textId="77777777" w:rsidTr="0056239F">
        <w:trPr>
          <w:trHeight w:hRule="exact" w:val="227"/>
          <w:jc w:val="center"/>
        </w:trPr>
        <w:tc>
          <w:tcPr>
            <w:tcW w:w="5887" w:type="dxa"/>
            <w:tcBorders>
              <w:top w:val="nil"/>
              <w:bottom w:val="nil"/>
            </w:tcBorders>
            <w:shd w:val="clear" w:color="auto" w:fill="auto"/>
            <w:noWrap/>
            <w:vAlign w:val="bottom"/>
            <w:hideMark/>
          </w:tcPr>
          <w:p w14:paraId="1EC3B648" w14:textId="77777777" w:rsidR="006114AD" w:rsidRPr="0056239F" w:rsidRDefault="006114AD" w:rsidP="002F131C">
            <w:pPr>
              <w:ind w:left="356"/>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Equipo e Instrumental Médico y de Laboratorio</w:t>
            </w:r>
          </w:p>
        </w:tc>
        <w:tc>
          <w:tcPr>
            <w:tcW w:w="1984" w:type="dxa"/>
            <w:tcBorders>
              <w:top w:val="nil"/>
              <w:bottom w:val="nil"/>
              <w:right w:val="nil"/>
            </w:tcBorders>
            <w:shd w:val="clear" w:color="auto" w:fill="auto"/>
            <w:vAlign w:val="center"/>
          </w:tcPr>
          <w:p w14:paraId="5534B927" w14:textId="2895F18A"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0.00</w:t>
            </w:r>
          </w:p>
        </w:tc>
        <w:tc>
          <w:tcPr>
            <w:tcW w:w="1923" w:type="dxa"/>
            <w:tcBorders>
              <w:top w:val="nil"/>
              <w:left w:val="nil"/>
              <w:bottom w:val="nil"/>
            </w:tcBorders>
            <w:shd w:val="clear" w:color="auto" w:fill="auto"/>
            <w:noWrap/>
            <w:vAlign w:val="center"/>
          </w:tcPr>
          <w:p w14:paraId="62AFF491" w14:textId="500BA663"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1D8397ED" w14:textId="77777777" w:rsidTr="0056239F">
        <w:trPr>
          <w:trHeight w:hRule="exact" w:val="227"/>
          <w:jc w:val="center"/>
        </w:trPr>
        <w:tc>
          <w:tcPr>
            <w:tcW w:w="5887" w:type="dxa"/>
            <w:tcBorders>
              <w:top w:val="nil"/>
              <w:bottom w:val="nil"/>
            </w:tcBorders>
            <w:shd w:val="clear" w:color="auto" w:fill="auto"/>
            <w:noWrap/>
            <w:vAlign w:val="bottom"/>
            <w:hideMark/>
          </w:tcPr>
          <w:p w14:paraId="0BC445A8" w14:textId="77777777" w:rsidR="006114AD" w:rsidRPr="0056239F" w:rsidRDefault="006114AD" w:rsidP="002F131C">
            <w:pPr>
              <w:ind w:left="356"/>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Vehículos y Equipo de Transporte</w:t>
            </w:r>
          </w:p>
        </w:tc>
        <w:tc>
          <w:tcPr>
            <w:tcW w:w="1984" w:type="dxa"/>
            <w:tcBorders>
              <w:top w:val="nil"/>
              <w:bottom w:val="nil"/>
              <w:right w:val="nil"/>
            </w:tcBorders>
            <w:shd w:val="clear" w:color="auto" w:fill="auto"/>
            <w:vAlign w:val="center"/>
          </w:tcPr>
          <w:p w14:paraId="03B10358" w14:textId="5E128C0E"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3,779,623.64</w:t>
            </w:r>
          </w:p>
        </w:tc>
        <w:tc>
          <w:tcPr>
            <w:tcW w:w="1923" w:type="dxa"/>
            <w:tcBorders>
              <w:top w:val="nil"/>
              <w:left w:val="nil"/>
              <w:bottom w:val="nil"/>
            </w:tcBorders>
            <w:shd w:val="clear" w:color="auto" w:fill="auto"/>
            <w:noWrap/>
            <w:vAlign w:val="center"/>
          </w:tcPr>
          <w:p w14:paraId="38D9FB1F" w14:textId="2E27B5B6"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4A28E2B4" w14:textId="77777777" w:rsidTr="0056239F">
        <w:trPr>
          <w:trHeight w:hRule="exact" w:val="227"/>
          <w:jc w:val="center"/>
        </w:trPr>
        <w:tc>
          <w:tcPr>
            <w:tcW w:w="5887" w:type="dxa"/>
            <w:tcBorders>
              <w:top w:val="nil"/>
              <w:bottom w:val="nil"/>
            </w:tcBorders>
            <w:shd w:val="clear" w:color="auto" w:fill="auto"/>
            <w:noWrap/>
            <w:vAlign w:val="bottom"/>
            <w:hideMark/>
          </w:tcPr>
          <w:p w14:paraId="5C681365" w14:textId="77777777" w:rsidR="006114AD" w:rsidRPr="0056239F" w:rsidRDefault="006114AD" w:rsidP="002F131C">
            <w:pPr>
              <w:ind w:left="356"/>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Equipo de Defensa y Seguridad</w:t>
            </w:r>
          </w:p>
        </w:tc>
        <w:tc>
          <w:tcPr>
            <w:tcW w:w="1984" w:type="dxa"/>
            <w:tcBorders>
              <w:top w:val="nil"/>
              <w:bottom w:val="nil"/>
              <w:right w:val="nil"/>
            </w:tcBorders>
            <w:shd w:val="clear" w:color="auto" w:fill="auto"/>
            <w:vAlign w:val="center"/>
          </w:tcPr>
          <w:p w14:paraId="1FBD01A7" w14:textId="06AB62FD"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0.00</w:t>
            </w:r>
          </w:p>
        </w:tc>
        <w:tc>
          <w:tcPr>
            <w:tcW w:w="1923" w:type="dxa"/>
            <w:tcBorders>
              <w:top w:val="nil"/>
              <w:left w:val="nil"/>
              <w:bottom w:val="nil"/>
            </w:tcBorders>
            <w:shd w:val="clear" w:color="auto" w:fill="auto"/>
            <w:noWrap/>
            <w:vAlign w:val="center"/>
          </w:tcPr>
          <w:p w14:paraId="30F53617" w14:textId="6337D14E"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1A617E9F" w14:textId="77777777" w:rsidTr="0056239F">
        <w:trPr>
          <w:trHeight w:hRule="exact" w:val="227"/>
          <w:jc w:val="center"/>
        </w:trPr>
        <w:tc>
          <w:tcPr>
            <w:tcW w:w="5887" w:type="dxa"/>
            <w:tcBorders>
              <w:top w:val="nil"/>
              <w:bottom w:val="nil"/>
            </w:tcBorders>
            <w:shd w:val="clear" w:color="auto" w:fill="auto"/>
            <w:noWrap/>
            <w:vAlign w:val="bottom"/>
            <w:hideMark/>
          </w:tcPr>
          <w:p w14:paraId="1D8DDEC5" w14:textId="77777777" w:rsidR="006114AD" w:rsidRPr="0056239F" w:rsidRDefault="006114AD" w:rsidP="002F131C">
            <w:pPr>
              <w:ind w:left="356"/>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Maquinaria, Otros Equipos y Herramientas</w:t>
            </w:r>
          </w:p>
        </w:tc>
        <w:tc>
          <w:tcPr>
            <w:tcW w:w="1984" w:type="dxa"/>
            <w:tcBorders>
              <w:top w:val="nil"/>
              <w:bottom w:val="nil"/>
              <w:right w:val="nil"/>
            </w:tcBorders>
            <w:shd w:val="clear" w:color="auto" w:fill="auto"/>
            <w:vAlign w:val="center"/>
          </w:tcPr>
          <w:p w14:paraId="66A7FB10" w14:textId="2603A3B5"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2,055,896.58</w:t>
            </w:r>
          </w:p>
        </w:tc>
        <w:tc>
          <w:tcPr>
            <w:tcW w:w="1923" w:type="dxa"/>
            <w:tcBorders>
              <w:top w:val="nil"/>
              <w:left w:val="nil"/>
              <w:bottom w:val="nil"/>
            </w:tcBorders>
            <w:shd w:val="clear" w:color="auto" w:fill="auto"/>
            <w:noWrap/>
            <w:vAlign w:val="center"/>
          </w:tcPr>
          <w:p w14:paraId="55578A4D" w14:textId="08FFB4DD"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0C787A17" w14:textId="77777777" w:rsidTr="0056239F">
        <w:trPr>
          <w:trHeight w:hRule="exact" w:val="227"/>
          <w:jc w:val="center"/>
        </w:trPr>
        <w:tc>
          <w:tcPr>
            <w:tcW w:w="5887" w:type="dxa"/>
            <w:tcBorders>
              <w:top w:val="nil"/>
              <w:bottom w:val="nil"/>
            </w:tcBorders>
            <w:shd w:val="clear" w:color="auto" w:fill="auto"/>
            <w:noWrap/>
            <w:vAlign w:val="bottom"/>
          </w:tcPr>
          <w:p w14:paraId="29435AA7" w14:textId="77777777" w:rsidR="006114AD" w:rsidRPr="0056239F" w:rsidRDefault="006114AD" w:rsidP="002F131C">
            <w:pPr>
              <w:ind w:left="356"/>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Activos Biológicos</w:t>
            </w:r>
          </w:p>
        </w:tc>
        <w:tc>
          <w:tcPr>
            <w:tcW w:w="1984" w:type="dxa"/>
            <w:tcBorders>
              <w:top w:val="nil"/>
              <w:bottom w:val="nil"/>
              <w:right w:val="nil"/>
            </w:tcBorders>
            <w:shd w:val="clear" w:color="auto" w:fill="auto"/>
            <w:vAlign w:val="center"/>
          </w:tcPr>
          <w:p w14:paraId="17F977AF" w14:textId="6F74295E"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0.00</w:t>
            </w:r>
          </w:p>
        </w:tc>
        <w:tc>
          <w:tcPr>
            <w:tcW w:w="1923" w:type="dxa"/>
            <w:tcBorders>
              <w:top w:val="nil"/>
              <w:left w:val="nil"/>
              <w:bottom w:val="nil"/>
            </w:tcBorders>
            <w:shd w:val="clear" w:color="auto" w:fill="auto"/>
            <w:noWrap/>
            <w:vAlign w:val="center"/>
          </w:tcPr>
          <w:p w14:paraId="58714532" w14:textId="528C5603"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60C13FA5" w14:textId="77777777" w:rsidTr="006114AD">
        <w:trPr>
          <w:trHeight w:hRule="exact" w:val="227"/>
          <w:jc w:val="center"/>
        </w:trPr>
        <w:tc>
          <w:tcPr>
            <w:tcW w:w="5887" w:type="dxa"/>
            <w:tcBorders>
              <w:top w:val="nil"/>
              <w:bottom w:val="nil"/>
            </w:tcBorders>
            <w:shd w:val="clear" w:color="auto" w:fill="auto"/>
            <w:noWrap/>
            <w:vAlign w:val="bottom"/>
            <w:hideMark/>
          </w:tcPr>
          <w:p w14:paraId="04F07F8E" w14:textId="77777777" w:rsidR="006114AD" w:rsidRPr="0056239F" w:rsidRDefault="006114AD" w:rsidP="002F131C">
            <w:pPr>
              <w:ind w:left="356"/>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Bienes Inmuebles</w:t>
            </w:r>
          </w:p>
        </w:tc>
        <w:tc>
          <w:tcPr>
            <w:tcW w:w="1984" w:type="dxa"/>
            <w:tcBorders>
              <w:top w:val="nil"/>
              <w:bottom w:val="nil"/>
              <w:right w:val="nil"/>
            </w:tcBorders>
            <w:shd w:val="clear" w:color="auto" w:fill="auto"/>
            <w:vAlign w:val="center"/>
          </w:tcPr>
          <w:p w14:paraId="195A0ABC" w14:textId="015057BA"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0.00</w:t>
            </w:r>
          </w:p>
        </w:tc>
        <w:tc>
          <w:tcPr>
            <w:tcW w:w="1923" w:type="dxa"/>
            <w:tcBorders>
              <w:top w:val="nil"/>
              <w:left w:val="nil"/>
              <w:bottom w:val="nil"/>
            </w:tcBorders>
            <w:shd w:val="clear" w:color="auto" w:fill="auto"/>
            <w:noWrap/>
            <w:vAlign w:val="center"/>
          </w:tcPr>
          <w:p w14:paraId="2E5A7EDA" w14:textId="406BCE58"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31762FD4" w14:textId="77777777" w:rsidTr="006114AD">
        <w:trPr>
          <w:trHeight w:hRule="exact" w:val="227"/>
          <w:jc w:val="center"/>
        </w:trPr>
        <w:tc>
          <w:tcPr>
            <w:tcW w:w="5887" w:type="dxa"/>
            <w:tcBorders>
              <w:top w:val="nil"/>
              <w:bottom w:val="nil"/>
            </w:tcBorders>
            <w:shd w:val="clear" w:color="auto" w:fill="auto"/>
            <w:noWrap/>
            <w:vAlign w:val="bottom"/>
            <w:hideMark/>
          </w:tcPr>
          <w:p w14:paraId="70B37D99" w14:textId="77777777" w:rsidR="006114AD" w:rsidRPr="0056239F" w:rsidRDefault="006114AD" w:rsidP="002F131C">
            <w:pPr>
              <w:ind w:left="356"/>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Activos Intangibles</w:t>
            </w:r>
          </w:p>
        </w:tc>
        <w:tc>
          <w:tcPr>
            <w:tcW w:w="1984" w:type="dxa"/>
            <w:tcBorders>
              <w:top w:val="nil"/>
              <w:bottom w:val="nil"/>
              <w:right w:val="nil"/>
            </w:tcBorders>
            <w:shd w:val="clear" w:color="auto" w:fill="auto"/>
            <w:vAlign w:val="center"/>
          </w:tcPr>
          <w:p w14:paraId="30E63C90" w14:textId="2C2C6FF1"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18,616,535.87</w:t>
            </w:r>
          </w:p>
        </w:tc>
        <w:tc>
          <w:tcPr>
            <w:tcW w:w="1923" w:type="dxa"/>
            <w:tcBorders>
              <w:top w:val="nil"/>
              <w:left w:val="nil"/>
              <w:bottom w:val="nil"/>
            </w:tcBorders>
            <w:shd w:val="clear" w:color="auto" w:fill="auto"/>
            <w:noWrap/>
            <w:vAlign w:val="center"/>
          </w:tcPr>
          <w:p w14:paraId="0BAE1C09" w14:textId="0B214CA4"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5D495EB8" w14:textId="77777777" w:rsidTr="006114AD">
        <w:trPr>
          <w:trHeight w:hRule="exact" w:val="227"/>
          <w:jc w:val="center"/>
        </w:trPr>
        <w:tc>
          <w:tcPr>
            <w:tcW w:w="5887" w:type="dxa"/>
            <w:tcBorders>
              <w:top w:val="nil"/>
              <w:bottom w:val="nil"/>
            </w:tcBorders>
            <w:shd w:val="clear" w:color="auto" w:fill="auto"/>
            <w:noWrap/>
            <w:vAlign w:val="bottom"/>
            <w:hideMark/>
          </w:tcPr>
          <w:p w14:paraId="1E15B873" w14:textId="77777777" w:rsidR="006114AD" w:rsidRPr="0056239F" w:rsidRDefault="006114AD" w:rsidP="002F131C">
            <w:pPr>
              <w:ind w:left="356"/>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Obra Pública en Bienes de Dominio Público</w:t>
            </w:r>
          </w:p>
        </w:tc>
        <w:tc>
          <w:tcPr>
            <w:tcW w:w="1984" w:type="dxa"/>
            <w:tcBorders>
              <w:top w:val="nil"/>
              <w:bottom w:val="nil"/>
              <w:right w:val="nil"/>
            </w:tcBorders>
            <w:shd w:val="clear" w:color="auto" w:fill="auto"/>
            <w:vAlign w:val="center"/>
          </w:tcPr>
          <w:p w14:paraId="4251E4DA" w14:textId="0675A0FC"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4,458,530.77</w:t>
            </w:r>
          </w:p>
        </w:tc>
        <w:tc>
          <w:tcPr>
            <w:tcW w:w="1923" w:type="dxa"/>
            <w:tcBorders>
              <w:top w:val="nil"/>
              <w:left w:val="nil"/>
              <w:bottom w:val="nil"/>
            </w:tcBorders>
            <w:shd w:val="clear" w:color="auto" w:fill="auto"/>
            <w:noWrap/>
            <w:vAlign w:val="center"/>
          </w:tcPr>
          <w:p w14:paraId="5AC54733" w14:textId="45817C17"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517DCA9A" w14:textId="77777777" w:rsidTr="006114AD">
        <w:trPr>
          <w:trHeight w:hRule="exact" w:val="227"/>
          <w:jc w:val="center"/>
        </w:trPr>
        <w:tc>
          <w:tcPr>
            <w:tcW w:w="5887" w:type="dxa"/>
            <w:tcBorders>
              <w:top w:val="nil"/>
              <w:bottom w:val="nil"/>
            </w:tcBorders>
            <w:shd w:val="clear" w:color="auto" w:fill="auto"/>
            <w:noWrap/>
            <w:vAlign w:val="bottom"/>
          </w:tcPr>
          <w:p w14:paraId="62C3A7F6" w14:textId="77777777" w:rsidR="006114AD" w:rsidRPr="0056239F" w:rsidRDefault="006114AD" w:rsidP="002F131C">
            <w:pPr>
              <w:ind w:left="356"/>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Obra Pública en Bienes Propios</w:t>
            </w:r>
          </w:p>
        </w:tc>
        <w:tc>
          <w:tcPr>
            <w:tcW w:w="1984" w:type="dxa"/>
            <w:tcBorders>
              <w:top w:val="nil"/>
              <w:bottom w:val="nil"/>
              <w:right w:val="nil"/>
            </w:tcBorders>
            <w:shd w:val="clear" w:color="auto" w:fill="auto"/>
            <w:vAlign w:val="center"/>
          </w:tcPr>
          <w:p w14:paraId="070F7085" w14:textId="0AF70268"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146,178,380.09</w:t>
            </w:r>
          </w:p>
        </w:tc>
        <w:tc>
          <w:tcPr>
            <w:tcW w:w="1923" w:type="dxa"/>
            <w:tcBorders>
              <w:top w:val="nil"/>
              <w:left w:val="nil"/>
              <w:bottom w:val="nil"/>
            </w:tcBorders>
            <w:shd w:val="clear" w:color="auto" w:fill="auto"/>
            <w:noWrap/>
            <w:vAlign w:val="center"/>
          </w:tcPr>
          <w:p w14:paraId="765C6439" w14:textId="205B2D18"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72230CEB" w14:textId="77777777" w:rsidTr="006114AD">
        <w:trPr>
          <w:trHeight w:hRule="exact" w:val="227"/>
          <w:jc w:val="center"/>
        </w:trPr>
        <w:tc>
          <w:tcPr>
            <w:tcW w:w="5887" w:type="dxa"/>
            <w:tcBorders>
              <w:top w:val="nil"/>
              <w:bottom w:val="nil"/>
            </w:tcBorders>
            <w:shd w:val="clear" w:color="auto" w:fill="auto"/>
            <w:noWrap/>
            <w:vAlign w:val="bottom"/>
          </w:tcPr>
          <w:p w14:paraId="61D2655D" w14:textId="77777777" w:rsidR="006114AD" w:rsidRPr="0056239F" w:rsidRDefault="006114AD" w:rsidP="002F131C">
            <w:pPr>
              <w:ind w:left="356"/>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Acciones y Participaciones de Capital</w:t>
            </w:r>
          </w:p>
        </w:tc>
        <w:tc>
          <w:tcPr>
            <w:tcW w:w="1984" w:type="dxa"/>
            <w:tcBorders>
              <w:top w:val="nil"/>
              <w:bottom w:val="nil"/>
              <w:right w:val="nil"/>
            </w:tcBorders>
            <w:shd w:val="clear" w:color="auto" w:fill="auto"/>
            <w:vAlign w:val="center"/>
          </w:tcPr>
          <w:p w14:paraId="5F877E72" w14:textId="2A8F4D5E"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0.00</w:t>
            </w:r>
          </w:p>
        </w:tc>
        <w:tc>
          <w:tcPr>
            <w:tcW w:w="1923" w:type="dxa"/>
            <w:tcBorders>
              <w:top w:val="nil"/>
              <w:left w:val="nil"/>
              <w:bottom w:val="nil"/>
            </w:tcBorders>
            <w:shd w:val="clear" w:color="auto" w:fill="auto"/>
            <w:noWrap/>
            <w:vAlign w:val="center"/>
          </w:tcPr>
          <w:p w14:paraId="6C0AB733" w14:textId="186B3648"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3C38B3A4" w14:textId="77777777" w:rsidTr="006114AD">
        <w:trPr>
          <w:trHeight w:hRule="exact" w:val="227"/>
          <w:jc w:val="center"/>
        </w:trPr>
        <w:tc>
          <w:tcPr>
            <w:tcW w:w="5887" w:type="dxa"/>
            <w:tcBorders>
              <w:top w:val="nil"/>
              <w:bottom w:val="nil"/>
            </w:tcBorders>
            <w:shd w:val="clear" w:color="auto" w:fill="auto"/>
            <w:noWrap/>
            <w:vAlign w:val="bottom"/>
          </w:tcPr>
          <w:p w14:paraId="45B39B11" w14:textId="77777777" w:rsidR="006114AD" w:rsidRPr="0056239F" w:rsidRDefault="006114AD" w:rsidP="002F131C">
            <w:pPr>
              <w:ind w:left="356"/>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Compra de Títulos y Valores</w:t>
            </w:r>
          </w:p>
        </w:tc>
        <w:tc>
          <w:tcPr>
            <w:tcW w:w="1984" w:type="dxa"/>
            <w:tcBorders>
              <w:top w:val="nil"/>
              <w:bottom w:val="nil"/>
              <w:right w:val="nil"/>
            </w:tcBorders>
            <w:shd w:val="clear" w:color="auto" w:fill="auto"/>
            <w:vAlign w:val="center"/>
          </w:tcPr>
          <w:p w14:paraId="1650B338" w14:textId="0CD6A110"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0.00</w:t>
            </w:r>
          </w:p>
        </w:tc>
        <w:tc>
          <w:tcPr>
            <w:tcW w:w="1923" w:type="dxa"/>
            <w:tcBorders>
              <w:top w:val="nil"/>
              <w:left w:val="nil"/>
              <w:bottom w:val="nil"/>
            </w:tcBorders>
            <w:shd w:val="clear" w:color="auto" w:fill="auto"/>
            <w:noWrap/>
            <w:vAlign w:val="center"/>
          </w:tcPr>
          <w:p w14:paraId="30F82F3B" w14:textId="5377FFE7"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1DE9F1EE" w14:textId="77777777" w:rsidTr="006114AD">
        <w:trPr>
          <w:trHeight w:hRule="exact" w:val="227"/>
          <w:jc w:val="center"/>
        </w:trPr>
        <w:tc>
          <w:tcPr>
            <w:tcW w:w="5887" w:type="dxa"/>
            <w:tcBorders>
              <w:top w:val="nil"/>
              <w:bottom w:val="nil"/>
            </w:tcBorders>
            <w:shd w:val="clear" w:color="auto" w:fill="auto"/>
            <w:noWrap/>
            <w:vAlign w:val="bottom"/>
          </w:tcPr>
          <w:p w14:paraId="66505FCF" w14:textId="77777777" w:rsidR="006114AD" w:rsidRPr="0056239F" w:rsidRDefault="006114AD" w:rsidP="002F131C">
            <w:pPr>
              <w:ind w:left="356"/>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Concesión de Préstamos</w:t>
            </w:r>
          </w:p>
        </w:tc>
        <w:tc>
          <w:tcPr>
            <w:tcW w:w="1984" w:type="dxa"/>
            <w:tcBorders>
              <w:top w:val="nil"/>
              <w:bottom w:val="nil"/>
              <w:right w:val="nil"/>
            </w:tcBorders>
            <w:shd w:val="clear" w:color="auto" w:fill="auto"/>
            <w:vAlign w:val="center"/>
          </w:tcPr>
          <w:p w14:paraId="3478821C" w14:textId="68CB934D"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0.00</w:t>
            </w:r>
          </w:p>
        </w:tc>
        <w:tc>
          <w:tcPr>
            <w:tcW w:w="1923" w:type="dxa"/>
            <w:tcBorders>
              <w:top w:val="nil"/>
              <w:left w:val="nil"/>
              <w:bottom w:val="nil"/>
            </w:tcBorders>
            <w:shd w:val="clear" w:color="auto" w:fill="auto"/>
            <w:noWrap/>
            <w:vAlign w:val="center"/>
          </w:tcPr>
          <w:p w14:paraId="0E2433F5" w14:textId="55AF35D9"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491FFD54" w14:textId="77777777" w:rsidTr="006114AD">
        <w:trPr>
          <w:trHeight w:hRule="exact" w:val="227"/>
          <w:jc w:val="center"/>
        </w:trPr>
        <w:tc>
          <w:tcPr>
            <w:tcW w:w="5887" w:type="dxa"/>
            <w:tcBorders>
              <w:top w:val="nil"/>
              <w:bottom w:val="nil"/>
            </w:tcBorders>
            <w:shd w:val="clear" w:color="auto" w:fill="auto"/>
            <w:noWrap/>
            <w:vAlign w:val="bottom"/>
            <w:hideMark/>
          </w:tcPr>
          <w:p w14:paraId="32F30C95" w14:textId="77777777" w:rsidR="006114AD" w:rsidRPr="0056239F" w:rsidRDefault="006114AD" w:rsidP="002F131C">
            <w:pPr>
              <w:ind w:left="356"/>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Inversiones en Fideicomisos, Mandatos y Otros Análogos</w:t>
            </w:r>
          </w:p>
        </w:tc>
        <w:tc>
          <w:tcPr>
            <w:tcW w:w="1984" w:type="dxa"/>
            <w:tcBorders>
              <w:top w:val="nil"/>
              <w:bottom w:val="nil"/>
              <w:right w:val="nil"/>
            </w:tcBorders>
            <w:shd w:val="clear" w:color="auto" w:fill="auto"/>
            <w:vAlign w:val="center"/>
          </w:tcPr>
          <w:p w14:paraId="313670CB" w14:textId="65CDF28C"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55,220,000.00</w:t>
            </w:r>
          </w:p>
        </w:tc>
        <w:tc>
          <w:tcPr>
            <w:tcW w:w="1923" w:type="dxa"/>
            <w:tcBorders>
              <w:top w:val="nil"/>
              <w:left w:val="nil"/>
              <w:bottom w:val="nil"/>
            </w:tcBorders>
            <w:shd w:val="clear" w:color="auto" w:fill="auto"/>
            <w:noWrap/>
            <w:vAlign w:val="center"/>
          </w:tcPr>
          <w:p w14:paraId="1091EC39" w14:textId="05C219A2"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0CDEAD71" w14:textId="77777777" w:rsidTr="0056239F">
        <w:trPr>
          <w:trHeight w:hRule="exact" w:val="175"/>
          <w:jc w:val="center"/>
        </w:trPr>
        <w:tc>
          <w:tcPr>
            <w:tcW w:w="5887" w:type="dxa"/>
            <w:tcBorders>
              <w:top w:val="nil"/>
              <w:bottom w:val="nil"/>
            </w:tcBorders>
            <w:shd w:val="clear" w:color="auto" w:fill="auto"/>
            <w:noWrap/>
            <w:vAlign w:val="bottom"/>
          </w:tcPr>
          <w:p w14:paraId="6B466950" w14:textId="77777777" w:rsidR="006114AD" w:rsidRPr="0056239F" w:rsidRDefault="006114AD" w:rsidP="002F131C">
            <w:pPr>
              <w:ind w:left="356"/>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Provisiones para Contingencias y Otras Erogaciones Especiales</w:t>
            </w:r>
          </w:p>
        </w:tc>
        <w:tc>
          <w:tcPr>
            <w:tcW w:w="1984" w:type="dxa"/>
            <w:tcBorders>
              <w:top w:val="nil"/>
              <w:bottom w:val="nil"/>
              <w:right w:val="nil"/>
            </w:tcBorders>
            <w:shd w:val="clear" w:color="auto" w:fill="auto"/>
            <w:vAlign w:val="center"/>
          </w:tcPr>
          <w:p w14:paraId="07430E30" w14:textId="6C6527DC"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0.00</w:t>
            </w:r>
          </w:p>
        </w:tc>
        <w:tc>
          <w:tcPr>
            <w:tcW w:w="1923" w:type="dxa"/>
            <w:tcBorders>
              <w:top w:val="nil"/>
              <w:left w:val="nil"/>
              <w:bottom w:val="nil"/>
            </w:tcBorders>
            <w:shd w:val="clear" w:color="auto" w:fill="auto"/>
            <w:noWrap/>
            <w:vAlign w:val="center"/>
          </w:tcPr>
          <w:p w14:paraId="3283FF1C" w14:textId="2D028B60"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5939BA79" w14:textId="77777777" w:rsidTr="006114AD">
        <w:trPr>
          <w:trHeight w:val="227"/>
          <w:jc w:val="center"/>
        </w:trPr>
        <w:tc>
          <w:tcPr>
            <w:tcW w:w="5887" w:type="dxa"/>
            <w:tcBorders>
              <w:top w:val="nil"/>
              <w:bottom w:val="nil"/>
            </w:tcBorders>
            <w:shd w:val="clear" w:color="auto" w:fill="auto"/>
            <w:noWrap/>
            <w:vAlign w:val="bottom"/>
            <w:hideMark/>
          </w:tcPr>
          <w:p w14:paraId="55B07A7A" w14:textId="77777777" w:rsidR="006114AD" w:rsidRPr="0056239F" w:rsidRDefault="006114AD" w:rsidP="002F131C">
            <w:pPr>
              <w:ind w:left="356"/>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Amortización de la Deuda Pública</w:t>
            </w:r>
          </w:p>
        </w:tc>
        <w:tc>
          <w:tcPr>
            <w:tcW w:w="1984" w:type="dxa"/>
            <w:tcBorders>
              <w:top w:val="nil"/>
              <w:bottom w:val="nil"/>
              <w:right w:val="nil"/>
            </w:tcBorders>
            <w:shd w:val="clear" w:color="auto" w:fill="auto"/>
            <w:vAlign w:val="center"/>
          </w:tcPr>
          <w:p w14:paraId="6E577D86" w14:textId="6818153E"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32,922,040.74</w:t>
            </w:r>
          </w:p>
        </w:tc>
        <w:tc>
          <w:tcPr>
            <w:tcW w:w="1923" w:type="dxa"/>
            <w:tcBorders>
              <w:top w:val="nil"/>
              <w:left w:val="nil"/>
              <w:bottom w:val="nil"/>
            </w:tcBorders>
            <w:shd w:val="clear" w:color="auto" w:fill="auto"/>
            <w:noWrap/>
            <w:vAlign w:val="center"/>
          </w:tcPr>
          <w:p w14:paraId="2D776A67" w14:textId="6A90BF51"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25CE5AEE" w14:textId="77777777" w:rsidTr="006114AD">
        <w:trPr>
          <w:jc w:val="center"/>
        </w:trPr>
        <w:tc>
          <w:tcPr>
            <w:tcW w:w="5887" w:type="dxa"/>
            <w:tcBorders>
              <w:top w:val="nil"/>
              <w:bottom w:val="nil"/>
            </w:tcBorders>
            <w:shd w:val="clear" w:color="auto" w:fill="auto"/>
            <w:noWrap/>
            <w:vAlign w:val="bottom"/>
            <w:hideMark/>
          </w:tcPr>
          <w:p w14:paraId="16B3919F" w14:textId="77777777" w:rsidR="006114AD" w:rsidRPr="0056239F" w:rsidRDefault="006114AD" w:rsidP="002F131C">
            <w:pPr>
              <w:ind w:left="356"/>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Adeudos de Ejercicios Fiscales Anteriores (ADEFAS)</w:t>
            </w:r>
          </w:p>
        </w:tc>
        <w:tc>
          <w:tcPr>
            <w:tcW w:w="1984" w:type="dxa"/>
            <w:tcBorders>
              <w:top w:val="nil"/>
              <w:bottom w:val="nil"/>
              <w:right w:val="nil"/>
            </w:tcBorders>
            <w:shd w:val="clear" w:color="auto" w:fill="auto"/>
            <w:vAlign w:val="center"/>
          </w:tcPr>
          <w:p w14:paraId="01E63631" w14:textId="32EBDC2B"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108,867,944.63</w:t>
            </w:r>
          </w:p>
        </w:tc>
        <w:tc>
          <w:tcPr>
            <w:tcW w:w="1923" w:type="dxa"/>
            <w:tcBorders>
              <w:top w:val="nil"/>
              <w:left w:val="nil"/>
              <w:bottom w:val="nil"/>
            </w:tcBorders>
            <w:shd w:val="clear" w:color="auto" w:fill="auto"/>
            <w:noWrap/>
            <w:vAlign w:val="center"/>
          </w:tcPr>
          <w:p w14:paraId="77B99677" w14:textId="0DE746AA"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1A106478" w14:textId="77777777" w:rsidTr="006114AD">
        <w:trPr>
          <w:jc w:val="center"/>
        </w:trPr>
        <w:tc>
          <w:tcPr>
            <w:tcW w:w="5887" w:type="dxa"/>
            <w:tcBorders>
              <w:top w:val="nil"/>
              <w:bottom w:val="nil"/>
            </w:tcBorders>
            <w:shd w:val="clear" w:color="auto" w:fill="auto"/>
            <w:noWrap/>
            <w:vAlign w:val="bottom"/>
            <w:hideMark/>
          </w:tcPr>
          <w:p w14:paraId="78832510" w14:textId="77777777" w:rsidR="006114AD" w:rsidRPr="0056239F" w:rsidRDefault="006114AD" w:rsidP="002F131C">
            <w:pPr>
              <w:ind w:left="356"/>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Otros Egresos Presupuestarios No Contables</w:t>
            </w:r>
          </w:p>
        </w:tc>
        <w:tc>
          <w:tcPr>
            <w:tcW w:w="1984" w:type="dxa"/>
            <w:tcBorders>
              <w:top w:val="nil"/>
              <w:bottom w:val="nil"/>
              <w:right w:val="nil"/>
            </w:tcBorders>
            <w:shd w:val="clear" w:color="auto" w:fill="auto"/>
            <w:vAlign w:val="center"/>
          </w:tcPr>
          <w:p w14:paraId="5A31D763" w14:textId="07338F79"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0.00</w:t>
            </w:r>
          </w:p>
        </w:tc>
        <w:tc>
          <w:tcPr>
            <w:tcW w:w="1923" w:type="dxa"/>
            <w:tcBorders>
              <w:top w:val="nil"/>
              <w:left w:val="nil"/>
              <w:bottom w:val="nil"/>
            </w:tcBorders>
            <w:shd w:val="clear" w:color="auto" w:fill="auto"/>
            <w:noWrap/>
            <w:vAlign w:val="center"/>
          </w:tcPr>
          <w:p w14:paraId="4520E57A" w14:textId="6F4B3B08"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45E01F69" w14:textId="77777777" w:rsidTr="006114AD">
        <w:trPr>
          <w:trHeight w:val="132"/>
          <w:jc w:val="center"/>
        </w:trPr>
        <w:tc>
          <w:tcPr>
            <w:tcW w:w="5887" w:type="dxa"/>
            <w:tcBorders>
              <w:top w:val="nil"/>
              <w:bottom w:val="nil"/>
            </w:tcBorders>
            <w:shd w:val="clear" w:color="auto" w:fill="auto"/>
            <w:vAlign w:val="bottom"/>
            <w:hideMark/>
          </w:tcPr>
          <w:p w14:paraId="01EB1FB2" w14:textId="77777777" w:rsidR="006114AD" w:rsidRPr="0056239F" w:rsidRDefault="006114AD" w:rsidP="002F131C">
            <w:pPr>
              <w:rPr>
                <w:rFonts w:ascii="Montserrat Medium" w:eastAsia="Times New Roman" w:hAnsi="Montserrat Medium" w:cs="Tahoma"/>
                <w:b/>
                <w:bCs/>
                <w:sz w:val="16"/>
                <w:szCs w:val="18"/>
                <w:lang w:eastAsia="en-US"/>
              </w:rPr>
            </w:pPr>
            <w:r w:rsidRPr="0056239F">
              <w:rPr>
                <w:rFonts w:ascii="Montserrat Medium" w:eastAsia="Times New Roman" w:hAnsi="Montserrat Medium" w:cs="Tahoma"/>
                <w:b/>
                <w:bCs/>
                <w:sz w:val="16"/>
                <w:szCs w:val="18"/>
                <w:lang w:eastAsia="en-US"/>
              </w:rPr>
              <w:t>Más Gastos Contables No Presupuestarios</w:t>
            </w:r>
          </w:p>
        </w:tc>
        <w:tc>
          <w:tcPr>
            <w:tcW w:w="1984" w:type="dxa"/>
            <w:tcBorders>
              <w:top w:val="nil"/>
              <w:bottom w:val="nil"/>
              <w:right w:val="nil"/>
            </w:tcBorders>
            <w:shd w:val="clear" w:color="auto" w:fill="auto"/>
            <w:vAlign w:val="center"/>
          </w:tcPr>
          <w:p w14:paraId="342BA9CF" w14:textId="77777777" w:rsidR="006114AD" w:rsidRPr="0056239F" w:rsidRDefault="006114AD" w:rsidP="002F131C">
            <w:pPr>
              <w:jc w:val="right"/>
              <w:rPr>
                <w:rFonts w:ascii="Montserrat Medium" w:eastAsia="Times New Roman" w:hAnsi="Montserrat Medium" w:cs="Tahoma"/>
                <w:sz w:val="16"/>
                <w:szCs w:val="18"/>
                <w:lang w:eastAsia="en-US"/>
              </w:rPr>
            </w:pPr>
          </w:p>
        </w:tc>
        <w:tc>
          <w:tcPr>
            <w:tcW w:w="1923" w:type="dxa"/>
            <w:tcBorders>
              <w:top w:val="nil"/>
              <w:left w:val="nil"/>
              <w:bottom w:val="nil"/>
            </w:tcBorders>
            <w:shd w:val="clear" w:color="auto" w:fill="auto"/>
            <w:vAlign w:val="center"/>
          </w:tcPr>
          <w:p w14:paraId="0A1E423F" w14:textId="7B18AD2D" w:rsidR="006114AD" w:rsidRPr="0056239F" w:rsidRDefault="006114AD" w:rsidP="002F131C">
            <w:pPr>
              <w:jc w:val="right"/>
              <w:rPr>
                <w:rFonts w:ascii="Montserrat Medium" w:eastAsia="Times New Roman" w:hAnsi="Montserrat Medium" w:cs="Tahoma"/>
                <w:b/>
                <w:sz w:val="16"/>
                <w:szCs w:val="18"/>
                <w:lang w:eastAsia="en-US"/>
              </w:rPr>
            </w:pPr>
            <w:r w:rsidRPr="0056239F">
              <w:rPr>
                <w:rFonts w:ascii="Montserrat Medium" w:hAnsi="Montserrat Medium" w:cs="Calibri"/>
                <w:b/>
                <w:bCs/>
                <w:color w:val="000000"/>
                <w:sz w:val="16"/>
                <w:szCs w:val="18"/>
              </w:rPr>
              <w:t>410,128,081.19</w:t>
            </w:r>
          </w:p>
        </w:tc>
      </w:tr>
      <w:tr w:rsidR="006114AD" w:rsidRPr="0056239F" w14:paraId="67704ACA" w14:textId="77777777" w:rsidTr="006114AD">
        <w:trPr>
          <w:trHeight w:hRule="exact" w:val="431"/>
          <w:jc w:val="center"/>
        </w:trPr>
        <w:tc>
          <w:tcPr>
            <w:tcW w:w="5887" w:type="dxa"/>
            <w:tcBorders>
              <w:top w:val="nil"/>
              <w:bottom w:val="nil"/>
            </w:tcBorders>
            <w:shd w:val="clear" w:color="auto" w:fill="auto"/>
            <w:noWrap/>
            <w:vAlign w:val="bottom"/>
            <w:hideMark/>
          </w:tcPr>
          <w:p w14:paraId="4221E5A6" w14:textId="77777777" w:rsidR="006114AD" w:rsidRPr="0056239F" w:rsidRDefault="006114AD" w:rsidP="002F131C">
            <w:pPr>
              <w:ind w:left="356"/>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Estimaciones, Depreciaciones, Deterioros, Obsolescencia y amortizaciones</w:t>
            </w:r>
          </w:p>
        </w:tc>
        <w:tc>
          <w:tcPr>
            <w:tcW w:w="1984" w:type="dxa"/>
            <w:tcBorders>
              <w:top w:val="nil"/>
              <w:bottom w:val="nil"/>
              <w:right w:val="nil"/>
            </w:tcBorders>
            <w:shd w:val="clear" w:color="auto" w:fill="auto"/>
            <w:vAlign w:val="center"/>
          </w:tcPr>
          <w:p w14:paraId="2973D75D" w14:textId="4FB7B81C"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23,944,966.69</w:t>
            </w:r>
          </w:p>
        </w:tc>
        <w:tc>
          <w:tcPr>
            <w:tcW w:w="1923" w:type="dxa"/>
            <w:tcBorders>
              <w:top w:val="nil"/>
              <w:left w:val="nil"/>
              <w:bottom w:val="nil"/>
            </w:tcBorders>
            <w:shd w:val="clear" w:color="auto" w:fill="auto"/>
            <w:noWrap/>
            <w:vAlign w:val="center"/>
          </w:tcPr>
          <w:p w14:paraId="5C19DE41" w14:textId="7CDB7934"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2005E616" w14:textId="77777777" w:rsidTr="006114AD">
        <w:trPr>
          <w:trHeight w:hRule="exact" w:val="227"/>
          <w:jc w:val="center"/>
        </w:trPr>
        <w:tc>
          <w:tcPr>
            <w:tcW w:w="5887" w:type="dxa"/>
            <w:tcBorders>
              <w:top w:val="nil"/>
              <w:bottom w:val="nil"/>
            </w:tcBorders>
            <w:shd w:val="clear" w:color="auto" w:fill="auto"/>
            <w:noWrap/>
            <w:vAlign w:val="bottom"/>
          </w:tcPr>
          <w:p w14:paraId="59F205CB" w14:textId="77777777" w:rsidR="006114AD" w:rsidRPr="0056239F" w:rsidRDefault="006114AD" w:rsidP="002F131C">
            <w:pPr>
              <w:ind w:left="356"/>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Provisiones</w:t>
            </w:r>
          </w:p>
        </w:tc>
        <w:tc>
          <w:tcPr>
            <w:tcW w:w="1984" w:type="dxa"/>
            <w:tcBorders>
              <w:top w:val="nil"/>
              <w:bottom w:val="nil"/>
              <w:right w:val="nil"/>
            </w:tcBorders>
            <w:shd w:val="clear" w:color="auto" w:fill="auto"/>
            <w:vAlign w:val="center"/>
          </w:tcPr>
          <w:p w14:paraId="34D5117E" w14:textId="5E1F7935"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0.00</w:t>
            </w:r>
          </w:p>
        </w:tc>
        <w:tc>
          <w:tcPr>
            <w:tcW w:w="1923" w:type="dxa"/>
            <w:tcBorders>
              <w:top w:val="nil"/>
              <w:left w:val="nil"/>
              <w:bottom w:val="nil"/>
            </w:tcBorders>
            <w:shd w:val="clear" w:color="auto" w:fill="auto"/>
            <w:noWrap/>
            <w:vAlign w:val="center"/>
          </w:tcPr>
          <w:p w14:paraId="6D0CD2F5" w14:textId="742F6ED7"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0CB36299" w14:textId="77777777" w:rsidTr="006114AD">
        <w:trPr>
          <w:trHeight w:hRule="exact" w:val="227"/>
          <w:jc w:val="center"/>
        </w:trPr>
        <w:tc>
          <w:tcPr>
            <w:tcW w:w="5887" w:type="dxa"/>
            <w:tcBorders>
              <w:top w:val="nil"/>
              <w:bottom w:val="nil"/>
            </w:tcBorders>
            <w:shd w:val="clear" w:color="auto" w:fill="auto"/>
            <w:noWrap/>
            <w:vAlign w:val="bottom"/>
          </w:tcPr>
          <w:p w14:paraId="1D588ED2" w14:textId="77777777" w:rsidR="006114AD" w:rsidRPr="0056239F" w:rsidRDefault="006114AD" w:rsidP="002F131C">
            <w:pPr>
              <w:ind w:left="356"/>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Disminución de Inventarios</w:t>
            </w:r>
          </w:p>
        </w:tc>
        <w:tc>
          <w:tcPr>
            <w:tcW w:w="1984" w:type="dxa"/>
            <w:tcBorders>
              <w:top w:val="nil"/>
              <w:bottom w:val="nil"/>
              <w:right w:val="nil"/>
            </w:tcBorders>
            <w:shd w:val="clear" w:color="auto" w:fill="auto"/>
            <w:vAlign w:val="center"/>
          </w:tcPr>
          <w:p w14:paraId="696BC3EF" w14:textId="00EA5735"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0.00</w:t>
            </w:r>
          </w:p>
        </w:tc>
        <w:tc>
          <w:tcPr>
            <w:tcW w:w="1923" w:type="dxa"/>
            <w:tcBorders>
              <w:top w:val="nil"/>
              <w:left w:val="nil"/>
              <w:bottom w:val="nil"/>
            </w:tcBorders>
            <w:shd w:val="clear" w:color="auto" w:fill="auto"/>
            <w:noWrap/>
            <w:vAlign w:val="center"/>
          </w:tcPr>
          <w:p w14:paraId="6648AA1F" w14:textId="261CD064"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50F5F8DD" w14:textId="77777777" w:rsidTr="006114AD">
        <w:trPr>
          <w:trHeight w:hRule="exact" w:val="227"/>
          <w:jc w:val="center"/>
        </w:trPr>
        <w:tc>
          <w:tcPr>
            <w:tcW w:w="5887" w:type="dxa"/>
            <w:tcBorders>
              <w:top w:val="nil"/>
              <w:bottom w:val="nil"/>
            </w:tcBorders>
            <w:shd w:val="clear" w:color="auto" w:fill="auto"/>
            <w:noWrap/>
            <w:vAlign w:val="bottom"/>
          </w:tcPr>
          <w:p w14:paraId="58DA3A4F" w14:textId="77777777" w:rsidR="006114AD" w:rsidRPr="0056239F" w:rsidRDefault="006114AD" w:rsidP="002F131C">
            <w:pPr>
              <w:ind w:left="356"/>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Otros Gastos</w:t>
            </w:r>
          </w:p>
        </w:tc>
        <w:tc>
          <w:tcPr>
            <w:tcW w:w="1984" w:type="dxa"/>
            <w:tcBorders>
              <w:top w:val="nil"/>
              <w:bottom w:val="nil"/>
              <w:right w:val="nil"/>
            </w:tcBorders>
            <w:shd w:val="clear" w:color="auto" w:fill="auto"/>
            <w:vAlign w:val="center"/>
          </w:tcPr>
          <w:p w14:paraId="46FBC16A" w14:textId="76FE1E7B"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0.00</w:t>
            </w:r>
          </w:p>
        </w:tc>
        <w:tc>
          <w:tcPr>
            <w:tcW w:w="1923" w:type="dxa"/>
            <w:tcBorders>
              <w:top w:val="nil"/>
              <w:left w:val="nil"/>
              <w:bottom w:val="nil"/>
            </w:tcBorders>
            <w:shd w:val="clear" w:color="auto" w:fill="auto"/>
            <w:noWrap/>
            <w:vAlign w:val="center"/>
          </w:tcPr>
          <w:p w14:paraId="4337DBBF" w14:textId="0B48DDD6"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7BF3E567" w14:textId="77777777" w:rsidTr="006114AD">
        <w:trPr>
          <w:trHeight w:hRule="exact" w:val="227"/>
          <w:jc w:val="center"/>
        </w:trPr>
        <w:tc>
          <w:tcPr>
            <w:tcW w:w="5887" w:type="dxa"/>
            <w:tcBorders>
              <w:top w:val="nil"/>
              <w:bottom w:val="nil"/>
            </w:tcBorders>
            <w:shd w:val="clear" w:color="auto" w:fill="auto"/>
            <w:noWrap/>
            <w:vAlign w:val="bottom"/>
          </w:tcPr>
          <w:p w14:paraId="07592542" w14:textId="77777777" w:rsidR="006114AD" w:rsidRPr="0056239F" w:rsidRDefault="006114AD" w:rsidP="002F131C">
            <w:pPr>
              <w:ind w:left="356"/>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Inversión Pública No Capitalizable</w:t>
            </w:r>
          </w:p>
        </w:tc>
        <w:tc>
          <w:tcPr>
            <w:tcW w:w="1984" w:type="dxa"/>
            <w:tcBorders>
              <w:top w:val="nil"/>
              <w:bottom w:val="nil"/>
              <w:right w:val="nil"/>
            </w:tcBorders>
            <w:shd w:val="clear" w:color="auto" w:fill="auto"/>
            <w:vAlign w:val="center"/>
          </w:tcPr>
          <w:p w14:paraId="01F708D5" w14:textId="2AFAE040"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0.00</w:t>
            </w:r>
          </w:p>
        </w:tc>
        <w:tc>
          <w:tcPr>
            <w:tcW w:w="1923" w:type="dxa"/>
            <w:tcBorders>
              <w:top w:val="nil"/>
              <w:left w:val="nil"/>
              <w:bottom w:val="nil"/>
            </w:tcBorders>
            <w:shd w:val="clear" w:color="auto" w:fill="auto"/>
            <w:noWrap/>
            <w:vAlign w:val="center"/>
          </w:tcPr>
          <w:p w14:paraId="7D1A7B2A" w14:textId="58D0C525"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3593C4B1" w14:textId="77777777" w:rsidTr="006114AD">
        <w:trPr>
          <w:trHeight w:hRule="exact" w:val="227"/>
          <w:jc w:val="center"/>
        </w:trPr>
        <w:tc>
          <w:tcPr>
            <w:tcW w:w="5887" w:type="dxa"/>
            <w:tcBorders>
              <w:top w:val="nil"/>
              <w:bottom w:val="nil"/>
            </w:tcBorders>
            <w:shd w:val="clear" w:color="auto" w:fill="auto"/>
            <w:noWrap/>
            <w:vAlign w:val="bottom"/>
          </w:tcPr>
          <w:p w14:paraId="56B4ADF5" w14:textId="77777777" w:rsidR="006114AD" w:rsidRPr="0056239F" w:rsidRDefault="006114AD" w:rsidP="002F131C">
            <w:pPr>
              <w:ind w:left="356"/>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Materiales y Suministros (Consumos)</w:t>
            </w:r>
          </w:p>
        </w:tc>
        <w:tc>
          <w:tcPr>
            <w:tcW w:w="1984" w:type="dxa"/>
            <w:tcBorders>
              <w:top w:val="nil"/>
              <w:bottom w:val="nil"/>
              <w:right w:val="nil"/>
            </w:tcBorders>
            <w:shd w:val="clear" w:color="auto" w:fill="auto"/>
            <w:vAlign w:val="center"/>
          </w:tcPr>
          <w:p w14:paraId="6C826E7C" w14:textId="05BDE736"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386,183,114.50</w:t>
            </w:r>
          </w:p>
        </w:tc>
        <w:tc>
          <w:tcPr>
            <w:tcW w:w="1923" w:type="dxa"/>
            <w:tcBorders>
              <w:top w:val="nil"/>
              <w:left w:val="nil"/>
              <w:bottom w:val="nil"/>
            </w:tcBorders>
            <w:shd w:val="clear" w:color="auto" w:fill="auto"/>
            <w:noWrap/>
            <w:vAlign w:val="center"/>
          </w:tcPr>
          <w:p w14:paraId="62D58D1F" w14:textId="13A26835"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26CD736B" w14:textId="77777777" w:rsidTr="006114AD">
        <w:trPr>
          <w:trHeight w:hRule="exact" w:val="227"/>
          <w:jc w:val="center"/>
        </w:trPr>
        <w:tc>
          <w:tcPr>
            <w:tcW w:w="5887" w:type="dxa"/>
            <w:tcBorders>
              <w:top w:val="nil"/>
            </w:tcBorders>
            <w:shd w:val="clear" w:color="auto" w:fill="auto"/>
            <w:noWrap/>
            <w:vAlign w:val="bottom"/>
            <w:hideMark/>
          </w:tcPr>
          <w:p w14:paraId="00ED7965" w14:textId="77777777" w:rsidR="006114AD" w:rsidRPr="0056239F" w:rsidRDefault="006114AD" w:rsidP="002F131C">
            <w:pPr>
              <w:ind w:left="356"/>
              <w:rPr>
                <w:rFonts w:ascii="Montserrat Medium" w:eastAsia="Times New Roman" w:hAnsi="Montserrat Medium" w:cs="Tahoma"/>
                <w:sz w:val="16"/>
                <w:szCs w:val="18"/>
                <w:lang w:eastAsia="en-US"/>
              </w:rPr>
            </w:pPr>
            <w:r w:rsidRPr="0056239F">
              <w:rPr>
                <w:rFonts w:ascii="Montserrat Medium" w:eastAsia="Times New Roman" w:hAnsi="Montserrat Medium" w:cs="Tahoma"/>
                <w:sz w:val="16"/>
                <w:szCs w:val="18"/>
                <w:lang w:eastAsia="en-US"/>
              </w:rPr>
              <w:t>Otros Gastos Contables No Presupuestarios</w:t>
            </w:r>
          </w:p>
        </w:tc>
        <w:tc>
          <w:tcPr>
            <w:tcW w:w="1984" w:type="dxa"/>
            <w:tcBorders>
              <w:top w:val="nil"/>
              <w:bottom w:val="single" w:sz="4" w:space="0" w:color="auto"/>
              <w:right w:val="nil"/>
            </w:tcBorders>
            <w:shd w:val="clear" w:color="auto" w:fill="auto"/>
            <w:vAlign w:val="center"/>
          </w:tcPr>
          <w:p w14:paraId="3156C8EC" w14:textId="6DAD7830"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0.00</w:t>
            </w:r>
          </w:p>
        </w:tc>
        <w:tc>
          <w:tcPr>
            <w:tcW w:w="1923" w:type="dxa"/>
            <w:tcBorders>
              <w:top w:val="nil"/>
              <w:left w:val="nil"/>
              <w:bottom w:val="single" w:sz="4" w:space="0" w:color="auto"/>
            </w:tcBorders>
            <w:shd w:val="clear" w:color="auto" w:fill="auto"/>
            <w:noWrap/>
            <w:vAlign w:val="center"/>
          </w:tcPr>
          <w:p w14:paraId="6966C62C" w14:textId="2308DE51" w:rsidR="006114AD" w:rsidRPr="0056239F" w:rsidRDefault="006114AD" w:rsidP="002F131C">
            <w:pPr>
              <w:jc w:val="right"/>
              <w:rPr>
                <w:rFonts w:ascii="Montserrat Medium" w:eastAsia="Times New Roman" w:hAnsi="Montserrat Medium" w:cs="Tahoma"/>
                <w:sz w:val="16"/>
                <w:szCs w:val="18"/>
                <w:lang w:eastAsia="en-US"/>
              </w:rPr>
            </w:pPr>
            <w:r w:rsidRPr="0056239F">
              <w:rPr>
                <w:rFonts w:ascii="Montserrat Medium" w:hAnsi="Montserrat Medium" w:cs="Calibri"/>
                <w:color w:val="000000"/>
                <w:sz w:val="16"/>
                <w:szCs w:val="18"/>
              </w:rPr>
              <w:t> </w:t>
            </w:r>
          </w:p>
        </w:tc>
      </w:tr>
      <w:tr w:rsidR="006114AD" w:rsidRPr="0056239F" w14:paraId="225F960E" w14:textId="77777777" w:rsidTr="006114AD">
        <w:trPr>
          <w:trHeight w:val="283"/>
          <w:jc w:val="center"/>
        </w:trPr>
        <w:tc>
          <w:tcPr>
            <w:tcW w:w="5887" w:type="dxa"/>
            <w:shd w:val="clear" w:color="auto" w:fill="auto"/>
            <w:vAlign w:val="center"/>
            <w:hideMark/>
          </w:tcPr>
          <w:p w14:paraId="32D1A18B" w14:textId="77777777" w:rsidR="006114AD" w:rsidRPr="0056239F" w:rsidRDefault="006114AD" w:rsidP="002F131C">
            <w:pPr>
              <w:rPr>
                <w:rFonts w:ascii="Montserrat Medium" w:eastAsia="Times New Roman" w:hAnsi="Montserrat Medium" w:cs="Tahoma"/>
                <w:b/>
                <w:bCs/>
                <w:sz w:val="16"/>
                <w:szCs w:val="18"/>
                <w:lang w:eastAsia="en-US"/>
              </w:rPr>
            </w:pPr>
            <w:r w:rsidRPr="0056239F">
              <w:rPr>
                <w:rFonts w:ascii="Montserrat Medium" w:eastAsia="Times New Roman" w:hAnsi="Montserrat Medium" w:cs="Tahoma"/>
                <w:b/>
                <w:bCs/>
                <w:sz w:val="16"/>
                <w:szCs w:val="18"/>
                <w:lang w:eastAsia="en-US"/>
              </w:rPr>
              <w:t>Total de Gastos Contables</w:t>
            </w:r>
          </w:p>
        </w:tc>
        <w:tc>
          <w:tcPr>
            <w:tcW w:w="1984" w:type="dxa"/>
            <w:tcBorders>
              <w:right w:val="nil"/>
            </w:tcBorders>
            <w:shd w:val="clear" w:color="auto" w:fill="auto"/>
            <w:vAlign w:val="center"/>
          </w:tcPr>
          <w:p w14:paraId="2F2F2AE3" w14:textId="54DDC42E" w:rsidR="006114AD" w:rsidRPr="0056239F" w:rsidRDefault="006114AD" w:rsidP="002F131C">
            <w:pPr>
              <w:jc w:val="right"/>
              <w:rPr>
                <w:rFonts w:ascii="Montserrat Medium" w:eastAsia="Times New Roman" w:hAnsi="Montserrat Medium" w:cs="Tahoma"/>
                <w:b/>
                <w:bCs/>
                <w:sz w:val="16"/>
                <w:szCs w:val="18"/>
                <w:lang w:eastAsia="en-US"/>
              </w:rPr>
            </w:pPr>
            <w:r w:rsidRPr="0056239F">
              <w:rPr>
                <w:rFonts w:ascii="Montserrat Medium" w:hAnsi="Montserrat Medium" w:cs="Calibri"/>
                <w:b/>
                <w:bCs/>
                <w:color w:val="000000"/>
                <w:sz w:val="16"/>
                <w:szCs w:val="18"/>
              </w:rPr>
              <w:t> </w:t>
            </w:r>
          </w:p>
        </w:tc>
        <w:tc>
          <w:tcPr>
            <w:tcW w:w="1923" w:type="dxa"/>
            <w:tcBorders>
              <w:left w:val="nil"/>
            </w:tcBorders>
            <w:shd w:val="clear" w:color="auto" w:fill="auto"/>
            <w:vAlign w:val="center"/>
          </w:tcPr>
          <w:p w14:paraId="3F8D14B1" w14:textId="7A76D8CF" w:rsidR="006114AD" w:rsidRPr="0056239F" w:rsidRDefault="006114AD" w:rsidP="002F131C">
            <w:pPr>
              <w:jc w:val="right"/>
              <w:rPr>
                <w:rFonts w:ascii="Montserrat Medium" w:eastAsia="Times New Roman" w:hAnsi="Montserrat Medium" w:cs="Tahoma"/>
                <w:b/>
                <w:bCs/>
                <w:sz w:val="16"/>
                <w:szCs w:val="18"/>
                <w:lang w:eastAsia="en-US"/>
              </w:rPr>
            </w:pPr>
            <w:r w:rsidRPr="0056239F">
              <w:rPr>
                <w:rFonts w:ascii="Montserrat Medium" w:hAnsi="Montserrat Medium" w:cs="Calibri"/>
                <w:b/>
                <w:color w:val="000000"/>
                <w:sz w:val="16"/>
                <w:szCs w:val="18"/>
              </w:rPr>
              <w:t>22,271,850,318.73</w:t>
            </w:r>
          </w:p>
        </w:tc>
      </w:tr>
    </w:tbl>
    <w:p w14:paraId="5F075779" w14:textId="3877FC61" w:rsidR="001E3866" w:rsidRPr="00D56579" w:rsidRDefault="000D5C4D" w:rsidP="002F131C">
      <w:pPr>
        <w:rPr>
          <w:rFonts w:ascii="Montserrat Medium" w:eastAsia="Times New Roman" w:hAnsi="Montserrat Medium" w:cs="Tahoma"/>
          <w:b/>
          <w:color w:val="595959"/>
          <w:lang w:eastAsia="en-US"/>
        </w:rPr>
      </w:pPr>
      <w:r w:rsidRPr="00D56579">
        <w:rPr>
          <w:rFonts w:ascii="Montserrat Medium" w:eastAsia="Times New Roman" w:hAnsi="Montserrat Medium" w:cs="Tahoma"/>
          <w:b/>
          <w:color w:val="595959"/>
          <w:lang w:eastAsia="en-US"/>
        </w:rPr>
        <w:lastRenderedPageBreak/>
        <w:t>c)</w:t>
      </w:r>
      <w:r w:rsidR="001E3866" w:rsidRPr="00D56579">
        <w:rPr>
          <w:rFonts w:ascii="Montserrat Medium" w:eastAsia="Times New Roman" w:hAnsi="Montserrat Medium" w:cs="Tahoma"/>
          <w:b/>
          <w:color w:val="595959"/>
          <w:lang w:eastAsia="en-US"/>
        </w:rPr>
        <w:t xml:space="preserve"> NOTAS DE MEMORIA</w:t>
      </w:r>
      <w:r w:rsidR="002409FD" w:rsidRPr="00D56579">
        <w:rPr>
          <w:rFonts w:ascii="Montserrat Medium" w:eastAsia="Times New Roman" w:hAnsi="Montserrat Medium" w:cs="Tahoma"/>
          <w:b/>
          <w:color w:val="595959"/>
          <w:lang w:eastAsia="en-US"/>
        </w:rPr>
        <w:t xml:space="preserve"> (CUENTAS DE ORDEN)</w:t>
      </w:r>
    </w:p>
    <w:p w14:paraId="37B399CB" w14:textId="77777777" w:rsidR="001E3866" w:rsidRPr="00D56579" w:rsidRDefault="001E3866" w:rsidP="002F131C">
      <w:pPr>
        <w:autoSpaceDE w:val="0"/>
        <w:autoSpaceDN w:val="0"/>
        <w:adjustRightInd w:val="0"/>
        <w:jc w:val="both"/>
        <w:rPr>
          <w:rFonts w:ascii="Montserrat Medium" w:eastAsia="Times New Roman" w:hAnsi="Montserrat Medium" w:cs="Arial"/>
          <w:b/>
          <w:color w:val="595959"/>
          <w:sz w:val="22"/>
          <w:lang w:eastAsia="en-US"/>
        </w:rPr>
      </w:pPr>
    </w:p>
    <w:p w14:paraId="001FDC9D" w14:textId="77777777" w:rsidR="001E3866" w:rsidRPr="00D56579" w:rsidRDefault="001E3866" w:rsidP="002F131C">
      <w:pPr>
        <w:autoSpaceDE w:val="0"/>
        <w:autoSpaceDN w:val="0"/>
        <w:adjustRightInd w:val="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Atendiendo a lo establecido en </w:t>
      </w:r>
      <w:r w:rsidR="0007230E" w:rsidRPr="00D56579">
        <w:rPr>
          <w:rFonts w:ascii="Montserrat Medium" w:eastAsia="Times New Roman" w:hAnsi="Montserrat Medium" w:cs="Arial"/>
          <w:color w:val="595959"/>
          <w:sz w:val="22"/>
          <w:lang w:eastAsia="en-US"/>
        </w:rPr>
        <w:t>la Ley General de Contabilidad Gubernamental (</w:t>
      </w:r>
      <w:r w:rsidRPr="00D56579">
        <w:rPr>
          <w:rFonts w:ascii="Montserrat Medium" w:eastAsia="Times New Roman" w:hAnsi="Montserrat Medium" w:cs="Arial"/>
          <w:color w:val="595959"/>
          <w:sz w:val="22"/>
          <w:lang w:eastAsia="en-US"/>
        </w:rPr>
        <w:t>LGCG</w:t>
      </w:r>
      <w:r w:rsidR="0007230E" w:rsidRPr="00D56579">
        <w:rPr>
          <w:rFonts w:ascii="Montserrat Medium" w:eastAsia="Times New Roman" w:hAnsi="Montserrat Medium" w:cs="Arial"/>
          <w:color w:val="595959"/>
          <w:sz w:val="22"/>
          <w:lang w:eastAsia="en-US"/>
        </w:rPr>
        <w:t>)</w:t>
      </w:r>
      <w:r w:rsidRPr="00D56579">
        <w:rPr>
          <w:rFonts w:ascii="Montserrat Medium" w:eastAsia="Times New Roman" w:hAnsi="Montserrat Medium" w:cs="Arial"/>
          <w:color w:val="595959"/>
          <w:sz w:val="22"/>
          <w:lang w:eastAsia="en-US"/>
        </w:rPr>
        <w:t xml:space="preserve">, para efectos del registro y control, el Consejo Nacional de Armonización Contable </w:t>
      </w:r>
      <w:r w:rsidR="0007230E" w:rsidRPr="00D56579">
        <w:rPr>
          <w:rFonts w:ascii="Montserrat Medium" w:eastAsia="Times New Roman" w:hAnsi="Montserrat Medium" w:cs="Arial"/>
          <w:color w:val="595959"/>
          <w:sz w:val="22"/>
          <w:lang w:eastAsia="en-US"/>
        </w:rPr>
        <w:t xml:space="preserve">(CONAC), </w:t>
      </w:r>
      <w:r w:rsidRPr="00D56579">
        <w:rPr>
          <w:rFonts w:ascii="Montserrat Medium" w:eastAsia="Times New Roman" w:hAnsi="Montserrat Medium" w:cs="Arial"/>
          <w:color w:val="595959"/>
          <w:sz w:val="22"/>
          <w:lang w:eastAsia="en-US"/>
        </w:rPr>
        <w:t xml:space="preserve">ha determinado cuentas de orden contables y presupuestales, mismas que se presentan en el plan de cuentas emitido y aprobado. </w:t>
      </w:r>
    </w:p>
    <w:p w14:paraId="615F1AAC" w14:textId="77777777" w:rsidR="002A1F89" w:rsidRPr="00D56579" w:rsidRDefault="002A1F89" w:rsidP="002F131C">
      <w:pPr>
        <w:jc w:val="both"/>
        <w:rPr>
          <w:rFonts w:ascii="Montserrat Medium" w:eastAsia="Times New Roman" w:hAnsi="Montserrat Medium" w:cs="Arial"/>
          <w:color w:val="595959"/>
          <w:sz w:val="22"/>
          <w:lang w:eastAsia="en-US"/>
        </w:rPr>
      </w:pPr>
    </w:p>
    <w:p w14:paraId="188F15B3" w14:textId="77777777" w:rsidR="001E3866" w:rsidRPr="00D56579" w:rsidRDefault="001E3866" w:rsidP="002F131C">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En las cuentas de orden se registran los movimientos de valores que no afectan o modifican la situación financiera del Gobierno del Estado, sin embargo, su incorporación en libros es necesario con fines de recordatorio contable, de control y en general sobre los aspectos administrativos, o bien para consignar los derechos y responsabilidades contingentes que puedan o no presentarse en el futuro.</w:t>
      </w:r>
    </w:p>
    <w:p w14:paraId="44403464" w14:textId="30BBD247" w:rsidR="00437BAF" w:rsidRPr="00D56579" w:rsidRDefault="00437BAF" w:rsidP="002F131C">
      <w:pPr>
        <w:rPr>
          <w:rFonts w:ascii="Montserrat Medium" w:eastAsia="Times New Roman" w:hAnsi="Montserrat Medium" w:cs="Arial"/>
          <w:b/>
          <w:i/>
          <w:color w:val="595959"/>
          <w:sz w:val="18"/>
          <w:szCs w:val="20"/>
          <w:lang w:eastAsia="en-US"/>
        </w:rPr>
      </w:pPr>
    </w:p>
    <w:p w14:paraId="6E26BB4A" w14:textId="788F7506" w:rsidR="001E3866" w:rsidRPr="00D56579" w:rsidRDefault="001E3866" w:rsidP="002F131C">
      <w:pPr>
        <w:rPr>
          <w:rFonts w:ascii="Montserrat Medium" w:eastAsia="Times New Roman" w:hAnsi="Montserrat Medium" w:cs="Arial"/>
          <w:b/>
          <w:i/>
          <w:color w:val="595959"/>
          <w:sz w:val="22"/>
          <w:lang w:eastAsia="en-US"/>
        </w:rPr>
      </w:pPr>
      <w:r w:rsidRPr="00D56579">
        <w:rPr>
          <w:rFonts w:ascii="Montserrat Medium" w:eastAsia="Times New Roman" w:hAnsi="Montserrat Medium" w:cs="Arial"/>
          <w:b/>
          <w:i/>
          <w:color w:val="595959"/>
          <w:sz w:val="22"/>
          <w:lang w:eastAsia="en-US"/>
        </w:rPr>
        <w:t xml:space="preserve">Cuentas de Orden Contables </w:t>
      </w:r>
    </w:p>
    <w:p w14:paraId="5EEBF35A" w14:textId="77777777" w:rsidR="002047E0" w:rsidRPr="00D56579" w:rsidRDefault="002047E0" w:rsidP="002F131C">
      <w:pPr>
        <w:jc w:val="both"/>
        <w:rPr>
          <w:rFonts w:ascii="Montserrat Medium" w:eastAsia="Times New Roman" w:hAnsi="Montserrat Medium" w:cs="Arial"/>
          <w:b/>
          <w:i/>
          <w:color w:val="595959"/>
          <w:sz w:val="22"/>
          <w:lang w:eastAsia="en-US"/>
        </w:rPr>
      </w:pPr>
    </w:p>
    <w:p w14:paraId="1CE3AC13" w14:textId="77777777" w:rsidR="001E3866" w:rsidRDefault="001E3866" w:rsidP="002F131C">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Estas registran los eventos que si bien, no representan hechos económicos-financieros que alteren el patrimonio y los resultados del Gobierno del Estado, informan sobre las circunstancias contingentes o eventuales de importancia, q</w:t>
      </w:r>
      <w:r w:rsidR="00F0571D" w:rsidRPr="00D56579">
        <w:rPr>
          <w:rFonts w:ascii="Montserrat Medium" w:eastAsia="Times New Roman" w:hAnsi="Montserrat Medium" w:cs="Arial"/>
          <w:color w:val="595959"/>
          <w:sz w:val="22"/>
          <w:lang w:eastAsia="en-US"/>
        </w:rPr>
        <w:t xml:space="preserve">ue en determinadas condiciones, </w:t>
      </w:r>
      <w:r w:rsidRPr="00D56579">
        <w:rPr>
          <w:rFonts w:ascii="Montserrat Medium" w:eastAsia="Times New Roman" w:hAnsi="Montserrat Medium" w:cs="Arial"/>
          <w:color w:val="595959"/>
          <w:sz w:val="22"/>
          <w:lang w:eastAsia="en-US"/>
        </w:rPr>
        <w:t>pueden producir efectos patrimoniales.</w:t>
      </w:r>
    </w:p>
    <w:p w14:paraId="1E0D4022" w14:textId="5C7D20E4" w:rsidR="006105FD" w:rsidRPr="00D56579" w:rsidRDefault="00E4203D" w:rsidP="002F131C">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w:t>
      </w:r>
      <w:r w:rsidR="006114AD">
        <w:rPr>
          <w:rFonts w:ascii="Montserrat Medium" w:eastAsia="Times New Roman" w:hAnsi="Montserrat Medium" w:cs="Arial"/>
          <w:color w:val="595959"/>
          <w:sz w:val="22"/>
          <w:lang w:eastAsia="en-US"/>
        </w:rPr>
        <w:t>0</w:t>
      </w:r>
      <w:r w:rsidR="00A4586C" w:rsidRPr="00D56579">
        <w:rPr>
          <w:rFonts w:ascii="Montserrat Medium" w:eastAsia="Times New Roman" w:hAnsi="Montserrat Medium" w:cs="Arial"/>
          <w:color w:val="595959"/>
          <w:sz w:val="22"/>
          <w:lang w:eastAsia="en-US"/>
        </w:rPr>
        <w:t xml:space="preserve"> de </w:t>
      </w:r>
      <w:r w:rsidR="006114AD">
        <w:rPr>
          <w:rFonts w:ascii="Montserrat Medium" w:eastAsia="Times New Roman" w:hAnsi="Montserrat Medium" w:cs="Arial"/>
          <w:color w:val="595959"/>
          <w:sz w:val="22"/>
          <w:lang w:eastAsia="en-US"/>
        </w:rPr>
        <w:t>junio</w:t>
      </w:r>
      <w:r w:rsidR="00A4586C" w:rsidRPr="00D56579">
        <w:rPr>
          <w:rFonts w:ascii="Montserrat Medium" w:eastAsia="Times New Roman" w:hAnsi="Montserrat Medium" w:cs="Arial"/>
          <w:color w:val="595959"/>
          <w:sz w:val="22"/>
          <w:lang w:eastAsia="en-US"/>
        </w:rPr>
        <w:t xml:space="preserve"> de 202</w:t>
      </w:r>
      <w:r w:rsidR="0073145B">
        <w:rPr>
          <w:rFonts w:ascii="Montserrat Medium" w:eastAsia="Times New Roman" w:hAnsi="Montserrat Medium" w:cs="Arial"/>
          <w:color w:val="595959"/>
          <w:sz w:val="22"/>
          <w:lang w:eastAsia="en-US"/>
        </w:rPr>
        <w:t>5</w:t>
      </w:r>
      <w:r w:rsidR="00D73B96" w:rsidRPr="00D56579">
        <w:rPr>
          <w:rFonts w:ascii="Montserrat Medium" w:eastAsia="Times New Roman" w:hAnsi="Montserrat Medium" w:cs="Arial"/>
          <w:color w:val="595959"/>
          <w:sz w:val="22"/>
          <w:lang w:eastAsia="en-US"/>
        </w:rPr>
        <w:t xml:space="preserve">, </w:t>
      </w:r>
      <w:r w:rsidR="001E3866" w:rsidRPr="00D56579">
        <w:rPr>
          <w:rFonts w:ascii="Montserrat Medium" w:eastAsia="Times New Roman" w:hAnsi="Montserrat Medium" w:cs="Arial"/>
          <w:color w:val="595959"/>
          <w:sz w:val="22"/>
          <w:lang w:eastAsia="en-US"/>
        </w:rPr>
        <w:t>se encuentran registradas en cuentas de orden contables las siguientes operaciones:</w:t>
      </w:r>
    </w:p>
    <w:p w14:paraId="7D621CC2" w14:textId="77777777" w:rsidR="00352D11" w:rsidRPr="00D56579" w:rsidRDefault="00352D11" w:rsidP="002F131C">
      <w:pPr>
        <w:jc w:val="both"/>
        <w:rPr>
          <w:rFonts w:ascii="Montserrat Medium" w:eastAsia="Times New Roman" w:hAnsi="Montserrat Medium" w:cs="Arial"/>
          <w:color w:val="595959"/>
          <w:sz w:val="22"/>
          <w:lang w:eastAsia="en-US"/>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49"/>
        <w:gridCol w:w="1427"/>
      </w:tblGrid>
      <w:tr w:rsidR="00E01163" w:rsidRPr="0073145B" w14:paraId="0EA06452" w14:textId="77777777" w:rsidTr="00E01163">
        <w:trPr>
          <w:trHeight w:hRule="exact" w:val="340"/>
          <w:tblHeader/>
          <w:jc w:val="center"/>
        </w:trPr>
        <w:tc>
          <w:tcPr>
            <w:tcW w:w="8849" w:type="dxa"/>
            <w:tcBorders>
              <w:bottom w:val="single" w:sz="4" w:space="0" w:color="auto"/>
            </w:tcBorders>
            <w:shd w:val="clear" w:color="auto" w:fill="BFBFBF" w:themeFill="background1" w:themeFillShade="BF"/>
            <w:noWrap/>
            <w:vAlign w:val="center"/>
            <w:hideMark/>
          </w:tcPr>
          <w:p w14:paraId="37F63876" w14:textId="2581A35A" w:rsidR="00E01163" w:rsidRPr="0073145B" w:rsidRDefault="00E01163" w:rsidP="002F131C">
            <w:pPr>
              <w:jc w:val="center"/>
              <w:rPr>
                <w:rFonts w:ascii="Montserrat Medium" w:eastAsia="Times New Roman" w:hAnsi="Montserrat Medium" w:cs="Arial"/>
                <w:b/>
                <w:bCs/>
                <w:sz w:val="14"/>
                <w:szCs w:val="14"/>
                <w:lang w:eastAsia="en-US"/>
              </w:rPr>
            </w:pPr>
            <w:r w:rsidRPr="0073145B">
              <w:rPr>
                <w:rFonts w:ascii="Montserrat Medium" w:eastAsia="Times New Roman" w:hAnsi="Montserrat Medium" w:cs="Arial"/>
                <w:b/>
                <w:bCs/>
                <w:sz w:val="14"/>
                <w:szCs w:val="14"/>
                <w:lang w:eastAsia="en-US"/>
              </w:rPr>
              <w:t>CUENTAS DE ORDEN CONTABLES</w:t>
            </w:r>
          </w:p>
        </w:tc>
        <w:tc>
          <w:tcPr>
            <w:tcW w:w="1427" w:type="dxa"/>
            <w:tcBorders>
              <w:bottom w:val="single" w:sz="4" w:space="0" w:color="auto"/>
            </w:tcBorders>
            <w:shd w:val="clear" w:color="auto" w:fill="BFBFBF"/>
            <w:vAlign w:val="center"/>
          </w:tcPr>
          <w:p w14:paraId="5A541A2A" w14:textId="5CD9DC23" w:rsidR="00E01163" w:rsidRPr="0073145B" w:rsidRDefault="00CC759C" w:rsidP="002F131C">
            <w:pPr>
              <w:jc w:val="center"/>
              <w:rPr>
                <w:rFonts w:ascii="Montserrat Medium" w:eastAsia="Times New Roman" w:hAnsi="Montserrat Medium" w:cs="Calibri"/>
                <w:b/>
                <w:bCs/>
                <w:color w:val="000000"/>
                <w:sz w:val="14"/>
                <w:szCs w:val="14"/>
                <w:lang w:eastAsia="es-MX"/>
              </w:rPr>
            </w:pPr>
            <w:r>
              <w:rPr>
                <w:rFonts w:ascii="Montserrat Medium" w:eastAsia="Times New Roman" w:hAnsi="Montserrat Medium" w:cs="Calibri"/>
                <w:b/>
                <w:bCs/>
                <w:color w:val="000000"/>
                <w:sz w:val="14"/>
                <w:szCs w:val="14"/>
                <w:lang w:eastAsia="es-MX"/>
              </w:rPr>
              <w:t>Al 3</w:t>
            </w:r>
            <w:r w:rsidR="006114AD">
              <w:rPr>
                <w:rFonts w:ascii="Montserrat Medium" w:eastAsia="Times New Roman" w:hAnsi="Montserrat Medium" w:cs="Calibri"/>
                <w:b/>
                <w:bCs/>
                <w:color w:val="000000"/>
                <w:sz w:val="14"/>
                <w:szCs w:val="14"/>
                <w:lang w:eastAsia="es-MX"/>
              </w:rPr>
              <w:t>0</w:t>
            </w:r>
            <w:r>
              <w:rPr>
                <w:rFonts w:ascii="Montserrat Medium" w:eastAsia="Times New Roman" w:hAnsi="Montserrat Medium" w:cs="Calibri"/>
                <w:b/>
                <w:bCs/>
                <w:color w:val="000000"/>
                <w:sz w:val="14"/>
                <w:szCs w:val="14"/>
                <w:lang w:eastAsia="es-MX"/>
              </w:rPr>
              <w:t xml:space="preserve"> de </w:t>
            </w:r>
            <w:r w:rsidR="006114AD">
              <w:rPr>
                <w:rFonts w:ascii="Montserrat Medium" w:eastAsia="Times New Roman" w:hAnsi="Montserrat Medium" w:cs="Calibri"/>
                <w:b/>
                <w:bCs/>
                <w:color w:val="000000"/>
                <w:sz w:val="14"/>
                <w:szCs w:val="14"/>
                <w:lang w:eastAsia="es-MX"/>
              </w:rPr>
              <w:t>junio</w:t>
            </w:r>
            <w:r>
              <w:rPr>
                <w:rFonts w:ascii="Montserrat Medium" w:eastAsia="Times New Roman" w:hAnsi="Montserrat Medium" w:cs="Calibri"/>
                <w:b/>
                <w:bCs/>
                <w:color w:val="000000"/>
                <w:sz w:val="14"/>
                <w:szCs w:val="14"/>
                <w:lang w:eastAsia="es-MX"/>
              </w:rPr>
              <w:t xml:space="preserve"> 2025</w:t>
            </w:r>
          </w:p>
        </w:tc>
      </w:tr>
      <w:tr w:rsidR="006114AD" w:rsidRPr="0073145B" w14:paraId="3CAE33AF" w14:textId="77777777" w:rsidTr="0073145B">
        <w:trPr>
          <w:trHeight w:hRule="exact" w:val="170"/>
          <w:jc w:val="center"/>
        </w:trPr>
        <w:tc>
          <w:tcPr>
            <w:tcW w:w="8849" w:type="dxa"/>
            <w:tcBorders>
              <w:bottom w:val="nil"/>
              <w:right w:val="single" w:sz="4" w:space="0" w:color="auto"/>
            </w:tcBorders>
            <w:shd w:val="clear" w:color="auto" w:fill="auto"/>
            <w:vAlign w:val="bottom"/>
          </w:tcPr>
          <w:p w14:paraId="33264E81" w14:textId="42D5DE7A" w:rsidR="006114AD" w:rsidRPr="0073145B" w:rsidRDefault="006114AD" w:rsidP="002F131C">
            <w:pPr>
              <w:rPr>
                <w:rFonts w:ascii="Montserrat Medium" w:eastAsia="Times New Roman" w:hAnsi="Montserrat Medium" w:cs="Arial"/>
                <w:b/>
                <w:sz w:val="14"/>
                <w:szCs w:val="14"/>
                <w:lang w:eastAsia="en-US"/>
              </w:rPr>
            </w:pPr>
            <w:r w:rsidRPr="0073145B">
              <w:rPr>
                <w:rFonts w:ascii="Montserrat Medium" w:eastAsia="Times New Roman" w:hAnsi="Montserrat Medium" w:cs="Arial"/>
                <w:b/>
                <w:sz w:val="14"/>
                <w:szCs w:val="14"/>
                <w:lang w:eastAsia="en-US"/>
              </w:rPr>
              <w:t>VALORES</w:t>
            </w:r>
          </w:p>
        </w:tc>
        <w:tc>
          <w:tcPr>
            <w:tcW w:w="1427" w:type="dxa"/>
            <w:tcBorders>
              <w:bottom w:val="nil"/>
              <w:right w:val="single" w:sz="4" w:space="0" w:color="auto"/>
            </w:tcBorders>
            <w:vAlign w:val="center"/>
          </w:tcPr>
          <w:p w14:paraId="33559964" w14:textId="2CF5BE27" w:rsidR="006114AD" w:rsidRPr="0073145B" w:rsidRDefault="006114AD" w:rsidP="002F131C">
            <w:pPr>
              <w:jc w:val="right"/>
              <w:rPr>
                <w:rFonts w:ascii="Montserrat Medium" w:eastAsia="Times New Roman" w:hAnsi="Montserrat Medium" w:cs="Arial"/>
                <w:b/>
                <w:sz w:val="14"/>
                <w:szCs w:val="14"/>
                <w:lang w:eastAsia="en-US"/>
              </w:rPr>
            </w:pPr>
            <w:r>
              <w:rPr>
                <w:rFonts w:ascii="Montserrat" w:hAnsi="Montserrat" w:cs="Calibri"/>
                <w:b/>
                <w:bCs/>
                <w:color w:val="000000"/>
                <w:sz w:val="14"/>
                <w:szCs w:val="14"/>
              </w:rPr>
              <w:t>0.00</w:t>
            </w:r>
          </w:p>
        </w:tc>
      </w:tr>
      <w:tr w:rsidR="006114AD" w:rsidRPr="0073145B" w14:paraId="5DF3F200" w14:textId="77777777" w:rsidTr="0073145B">
        <w:trPr>
          <w:trHeight w:hRule="exact" w:val="170"/>
          <w:jc w:val="center"/>
        </w:trPr>
        <w:tc>
          <w:tcPr>
            <w:tcW w:w="8849" w:type="dxa"/>
            <w:tcBorders>
              <w:top w:val="nil"/>
              <w:bottom w:val="nil"/>
              <w:right w:val="single" w:sz="4" w:space="0" w:color="auto"/>
            </w:tcBorders>
            <w:shd w:val="clear" w:color="auto" w:fill="auto"/>
            <w:vAlign w:val="bottom"/>
            <w:hideMark/>
          </w:tcPr>
          <w:p w14:paraId="3A3568F1" w14:textId="7C7A8280" w:rsidR="006114AD" w:rsidRPr="0073145B" w:rsidRDefault="006114AD" w:rsidP="002F131C">
            <w:pPr>
              <w:rPr>
                <w:rFonts w:ascii="Montserrat Medium" w:eastAsia="Times New Roman" w:hAnsi="Montserrat Medium" w:cs="Arial"/>
                <w:b/>
                <w:sz w:val="14"/>
                <w:szCs w:val="14"/>
                <w:lang w:eastAsia="en-US"/>
              </w:rPr>
            </w:pPr>
            <w:r w:rsidRPr="0073145B">
              <w:rPr>
                <w:rFonts w:ascii="Montserrat Medium" w:eastAsia="Times New Roman" w:hAnsi="Montserrat Medium" w:cs="Arial"/>
                <w:b/>
                <w:sz w:val="14"/>
                <w:szCs w:val="14"/>
                <w:lang w:eastAsia="en-US"/>
              </w:rPr>
              <w:t>EMISIÓN DE OBLIGACIONES</w:t>
            </w:r>
          </w:p>
        </w:tc>
        <w:tc>
          <w:tcPr>
            <w:tcW w:w="1427" w:type="dxa"/>
            <w:tcBorders>
              <w:top w:val="nil"/>
              <w:bottom w:val="nil"/>
              <w:right w:val="single" w:sz="4" w:space="0" w:color="auto"/>
            </w:tcBorders>
            <w:vAlign w:val="center"/>
          </w:tcPr>
          <w:p w14:paraId="3B9733E2" w14:textId="2F03E9DF" w:rsidR="006114AD" w:rsidRPr="0073145B" w:rsidRDefault="006114AD" w:rsidP="002F131C">
            <w:pPr>
              <w:jc w:val="right"/>
              <w:rPr>
                <w:rFonts w:ascii="Montserrat Medium" w:eastAsia="Times New Roman" w:hAnsi="Montserrat Medium" w:cs="Arial"/>
                <w:b/>
                <w:sz w:val="14"/>
                <w:szCs w:val="14"/>
                <w:lang w:eastAsia="en-US"/>
              </w:rPr>
            </w:pPr>
            <w:r>
              <w:rPr>
                <w:rFonts w:ascii="Montserrat" w:hAnsi="Montserrat" w:cs="Calibri"/>
                <w:b/>
                <w:bCs/>
                <w:color w:val="000000"/>
                <w:sz w:val="14"/>
                <w:szCs w:val="14"/>
              </w:rPr>
              <w:t>0.00</w:t>
            </w:r>
          </w:p>
        </w:tc>
      </w:tr>
      <w:tr w:rsidR="006114AD" w:rsidRPr="0073145B" w14:paraId="41C3076D"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7297DBD0" w14:textId="72E8EE3E" w:rsidR="006114AD" w:rsidRPr="0073145B" w:rsidRDefault="006114AD" w:rsidP="002F131C">
            <w:pPr>
              <w:rPr>
                <w:rFonts w:ascii="Montserrat Medium" w:eastAsia="Times New Roman" w:hAnsi="Montserrat Medium" w:cs="Arial"/>
                <w:sz w:val="14"/>
                <w:szCs w:val="14"/>
                <w:lang w:eastAsia="en-US"/>
              </w:rPr>
            </w:pPr>
            <w:r w:rsidRPr="0073145B">
              <w:rPr>
                <w:rFonts w:ascii="Montserrat Medium" w:eastAsia="Times New Roman" w:hAnsi="Montserrat Medium" w:cs="Arial"/>
                <w:sz w:val="14"/>
                <w:szCs w:val="14"/>
                <w:lang w:eastAsia="en-US"/>
              </w:rPr>
              <w:t xml:space="preserve">   Autorización para la Emisión de Bonos, Títulos y Valores de la Deuda Pública Interna</w:t>
            </w:r>
          </w:p>
        </w:tc>
        <w:tc>
          <w:tcPr>
            <w:tcW w:w="1427" w:type="dxa"/>
            <w:tcBorders>
              <w:top w:val="nil"/>
              <w:bottom w:val="nil"/>
              <w:right w:val="single" w:sz="4" w:space="0" w:color="auto"/>
            </w:tcBorders>
            <w:vAlign w:val="center"/>
          </w:tcPr>
          <w:p w14:paraId="5F670F9A" w14:textId="7BAFB2EF" w:rsidR="006114AD" w:rsidRPr="0073145B" w:rsidRDefault="006114AD" w:rsidP="002F131C">
            <w:pPr>
              <w:jc w:val="right"/>
              <w:rPr>
                <w:rFonts w:ascii="Montserrat Medium" w:eastAsia="Times New Roman" w:hAnsi="Montserrat Medium" w:cs="Arial"/>
                <w:sz w:val="14"/>
                <w:szCs w:val="14"/>
                <w:lang w:eastAsia="en-US"/>
              </w:rPr>
            </w:pPr>
            <w:r>
              <w:rPr>
                <w:rFonts w:ascii="Montserrat" w:hAnsi="Montserrat" w:cs="Calibri"/>
                <w:color w:val="000000"/>
                <w:sz w:val="14"/>
                <w:szCs w:val="14"/>
              </w:rPr>
              <w:t>297,612,251.83</w:t>
            </w:r>
          </w:p>
        </w:tc>
      </w:tr>
      <w:tr w:rsidR="006114AD" w:rsidRPr="0073145B" w14:paraId="132B208E"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7200BC16" w14:textId="68E5DF54" w:rsidR="006114AD" w:rsidRPr="0073145B" w:rsidRDefault="006114AD" w:rsidP="002F131C">
            <w:pPr>
              <w:rPr>
                <w:rFonts w:ascii="Montserrat Medium" w:eastAsia="Times New Roman" w:hAnsi="Montserrat Medium" w:cs="Arial"/>
                <w:sz w:val="14"/>
                <w:szCs w:val="14"/>
                <w:lang w:eastAsia="en-US"/>
              </w:rPr>
            </w:pPr>
            <w:r w:rsidRPr="0073145B">
              <w:rPr>
                <w:rFonts w:ascii="Montserrat Medium" w:eastAsia="Times New Roman" w:hAnsi="Montserrat Medium" w:cs="Arial"/>
                <w:sz w:val="14"/>
                <w:szCs w:val="14"/>
                <w:lang w:eastAsia="en-US"/>
              </w:rPr>
              <w:t xml:space="preserve">   Emisiones Autorizadas de la Deuda Pública Interna y Externa</w:t>
            </w:r>
          </w:p>
        </w:tc>
        <w:tc>
          <w:tcPr>
            <w:tcW w:w="1427" w:type="dxa"/>
            <w:tcBorders>
              <w:top w:val="nil"/>
              <w:bottom w:val="nil"/>
              <w:right w:val="single" w:sz="4" w:space="0" w:color="auto"/>
            </w:tcBorders>
            <w:vAlign w:val="center"/>
          </w:tcPr>
          <w:p w14:paraId="0093D4F2" w14:textId="5D23C22B" w:rsidR="006114AD" w:rsidRPr="0073145B" w:rsidRDefault="006114AD" w:rsidP="002F131C">
            <w:pPr>
              <w:jc w:val="right"/>
              <w:rPr>
                <w:rFonts w:ascii="Montserrat Medium" w:eastAsia="Times New Roman" w:hAnsi="Montserrat Medium" w:cs="Arial"/>
                <w:sz w:val="14"/>
                <w:szCs w:val="14"/>
                <w:lang w:eastAsia="en-US"/>
              </w:rPr>
            </w:pPr>
            <w:r>
              <w:rPr>
                <w:rFonts w:ascii="Montserrat" w:hAnsi="Montserrat" w:cs="Calibri"/>
                <w:color w:val="000000"/>
                <w:sz w:val="14"/>
                <w:szCs w:val="14"/>
              </w:rPr>
              <w:t>297,612,251.83</w:t>
            </w:r>
          </w:p>
        </w:tc>
      </w:tr>
      <w:tr w:rsidR="006114AD" w:rsidRPr="0073145B" w14:paraId="359B641D"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480B251E" w14:textId="398030D4" w:rsidR="006114AD" w:rsidRPr="0073145B" w:rsidRDefault="006114AD" w:rsidP="002F131C">
            <w:pPr>
              <w:jc w:val="both"/>
              <w:rPr>
                <w:rFonts w:ascii="Montserrat Medium" w:eastAsia="Times New Roman" w:hAnsi="Montserrat Medium" w:cs="Arial"/>
                <w:b/>
                <w:sz w:val="14"/>
                <w:szCs w:val="14"/>
                <w:lang w:eastAsia="en-US"/>
              </w:rPr>
            </w:pPr>
            <w:r w:rsidRPr="0073145B">
              <w:rPr>
                <w:rFonts w:ascii="Montserrat Medium" w:eastAsia="Times New Roman" w:hAnsi="Montserrat Medium" w:cs="Arial"/>
                <w:b/>
                <w:sz w:val="14"/>
                <w:szCs w:val="14"/>
                <w:lang w:eastAsia="en-US"/>
              </w:rPr>
              <w:t>AVALES Y GARANTIAS*</w:t>
            </w:r>
          </w:p>
        </w:tc>
        <w:tc>
          <w:tcPr>
            <w:tcW w:w="1427" w:type="dxa"/>
            <w:tcBorders>
              <w:top w:val="nil"/>
              <w:bottom w:val="nil"/>
              <w:right w:val="single" w:sz="4" w:space="0" w:color="auto"/>
            </w:tcBorders>
            <w:vAlign w:val="center"/>
          </w:tcPr>
          <w:p w14:paraId="0635E536" w14:textId="132B7612" w:rsidR="006114AD" w:rsidRPr="0073145B" w:rsidRDefault="006114AD" w:rsidP="002F131C">
            <w:pPr>
              <w:jc w:val="right"/>
              <w:rPr>
                <w:rFonts w:ascii="Montserrat Medium" w:eastAsia="Times New Roman" w:hAnsi="Montserrat Medium" w:cs="Arial"/>
                <w:b/>
                <w:sz w:val="14"/>
                <w:szCs w:val="14"/>
                <w:lang w:eastAsia="en-US"/>
              </w:rPr>
            </w:pPr>
            <w:r>
              <w:rPr>
                <w:rFonts w:ascii="Montserrat" w:hAnsi="Montserrat" w:cs="Calibri"/>
                <w:b/>
                <w:bCs/>
                <w:color w:val="000000"/>
                <w:sz w:val="14"/>
                <w:szCs w:val="14"/>
              </w:rPr>
              <w:t>0.00</w:t>
            </w:r>
          </w:p>
        </w:tc>
      </w:tr>
      <w:tr w:rsidR="006114AD" w:rsidRPr="0073145B" w14:paraId="6B3EFA84" w14:textId="77777777" w:rsidTr="00407330">
        <w:trPr>
          <w:trHeight w:hRule="exact" w:val="170"/>
          <w:jc w:val="center"/>
        </w:trPr>
        <w:tc>
          <w:tcPr>
            <w:tcW w:w="8849" w:type="dxa"/>
            <w:tcBorders>
              <w:top w:val="nil"/>
              <w:bottom w:val="nil"/>
              <w:right w:val="single" w:sz="4" w:space="0" w:color="auto"/>
            </w:tcBorders>
            <w:shd w:val="clear" w:color="auto" w:fill="auto"/>
            <w:vAlign w:val="bottom"/>
          </w:tcPr>
          <w:p w14:paraId="6654884F" w14:textId="64CFF667" w:rsidR="006114AD" w:rsidRPr="0073145B" w:rsidRDefault="006114AD" w:rsidP="002F131C">
            <w:pPr>
              <w:rPr>
                <w:rFonts w:ascii="Montserrat Medium" w:eastAsia="Times New Roman" w:hAnsi="Montserrat Medium" w:cs="Arial"/>
                <w:sz w:val="14"/>
                <w:szCs w:val="14"/>
                <w:lang w:eastAsia="en-US"/>
              </w:rPr>
            </w:pPr>
            <w:r w:rsidRPr="0073145B">
              <w:rPr>
                <w:rFonts w:ascii="Montserrat Medium" w:eastAsia="Times New Roman" w:hAnsi="Montserrat Medium" w:cs="Arial"/>
                <w:sz w:val="14"/>
                <w:szCs w:val="14"/>
                <w:lang w:eastAsia="en-US"/>
              </w:rPr>
              <w:t xml:space="preserve">   Avales Autorizados</w:t>
            </w:r>
          </w:p>
        </w:tc>
        <w:tc>
          <w:tcPr>
            <w:tcW w:w="1427" w:type="dxa"/>
            <w:tcBorders>
              <w:top w:val="nil"/>
              <w:bottom w:val="nil"/>
              <w:right w:val="single" w:sz="4" w:space="0" w:color="auto"/>
            </w:tcBorders>
            <w:vAlign w:val="center"/>
          </w:tcPr>
          <w:p w14:paraId="0A61B614" w14:textId="64944FCE" w:rsidR="006114AD" w:rsidRPr="0073145B" w:rsidRDefault="006114AD" w:rsidP="002F131C">
            <w:pPr>
              <w:jc w:val="right"/>
              <w:rPr>
                <w:rFonts w:ascii="Montserrat Medium" w:eastAsia="Times New Roman" w:hAnsi="Montserrat Medium" w:cs="Arial"/>
                <w:sz w:val="14"/>
                <w:szCs w:val="14"/>
                <w:lang w:eastAsia="en-US"/>
              </w:rPr>
            </w:pPr>
            <w:r>
              <w:rPr>
                <w:rFonts w:ascii="Montserrat" w:hAnsi="Montserrat" w:cs="Calibri"/>
                <w:color w:val="000000"/>
                <w:sz w:val="14"/>
                <w:szCs w:val="14"/>
              </w:rPr>
              <w:t>350,765,099.30</w:t>
            </w:r>
          </w:p>
        </w:tc>
      </w:tr>
      <w:tr w:rsidR="006114AD" w:rsidRPr="0073145B" w14:paraId="4259A3DB" w14:textId="77777777" w:rsidTr="00407330">
        <w:trPr>
          <w:trHeight w:hRule="exact" w:val="170"/>
          <w:jc w:val="center"/>
        </w:trPr>
        <w:tc>
          <w:tcPr>
            <w:tcW w:w="8849" w:type="dxa"/>
            <w:tcBorders>
              <w:top w:val="nil"/>
              <w:bottom w:val="nil"/>
              <w:right w:val="single" w:sz="4" w:space="0" w:color="auto"/>
            </w:tcBorders>
            <w:shd w:val="clear" w:color="auto" w:fill="auto"/>
            <w:vAlign w:val="bottom"/>
          </w:tcPr>
          <w:p w14:paraId="7A23EF07" w14:textId="0781C25A" w:rsidR="006114AD" w:rsidRPr="0073145B" w:rsidRDefault="006114AD" w:rsidP="002F131C">
            <w:pPr>
              <w:rPr>
                <w:rFonts w:ascii="Montserrat Medium" w:eastAsia="Times New Roman" w:hAnsi="Montserrat Medium" w:cs="Arial"/>
                <w:sz w:val="14"/>
                <w:szCs w:val="14"/>
                <w:lang w:eastAsia="en-US"/>
              </w:rPr>
            </w:pPr>
            <w:r w:rsidRPr="0073145B">
              <w:rPr>
                <w:rFonts w:ascii="Montserrat Medium" w:eastAsia="Times New Roman" w:hAnsi="Montserrat Medium" w:cs="Arial"/>
                <w:sz w:val="14"/>
                <w:szCs w:val="14"/>
                <w:lang w:eastAsia="en-US"/>
              </w:rPr>
              <w:t xml:space="preserve">   Avales Firmados</w:t>
            </w:r>
          </w:p>
        </w:tc>
        <w:tc>
          <w:tcPr>
            <w:tcW w:w="1427" w:type="dxa"/>
            <w:tcBorders>
              <w:top w:val="nil"/>
              <w:bottom w:val="nil"/>
              <w:right w:val="single" w:sz="4" w:space="0" w:color="auto"/>
            </w:tcBorders>
            <w:vAlign w:val="center"/>
          </w:tcPr>
          <w:p w14:paraId="5A222664" w14:textId="63FA4585" w:rsidR="006114AD" w:rsidRPr="0073145B" w:rsidRDefault="006114AD" w:rsidP="002F131C">
            <w:pPr>
              <w:jc w:val="right"/>
              <w:rPr>
                <w:rFonts w:ascii="Montserrat Medium" w:eastAsia="Times New Roman" w:hAnsi="Montserrat Medium" w:cs="Arial"/>
                <w:sz w:val="14"/>
                <w:szCs w:val="14"/>
                <w:lang w:eastAsia="en-US"/>
              </w:rPr>
            </w:pPr>
            <w:r>
              <w:rPr>
                <w:rFonts w:ascii="Montserrat" w:hAnsi="Montserrat" w:cs="Calibri"/>
                <w:color w:val="000000"/>
                <w:sz w:val="14"/>
                <w:szCs w:val="14"/>
              </w:rPr>
              <w:t>350,765,099.30</w:t>
            </w:r>
          </w:p>
        </w:tc>
      </w:tr>
      <w:tr w:rsidR="006114AD" w:rsidRPr="0073145B" w14:paraId="0D79C506" w14:textId="77777777" w:rsidTr="00407330">
        <w:trPr>
          <w:trHeight w:hRule="exact" w:val="170"/>
          <w:jc w:val="center"/>
        </w:trPr>
        <w:tc>
          <w:tcPr>
            <w:tcW w:w="8849" w:type="dxa"/>
            <w:tcBorders>
              <w:top w:val="nil"/>
              <w:bottom w:val="nil"/>
              <w:right w:val="single" w:sz="4" w:space="0" w:color="auto"/>
            </w:tcBorders>
            <w:shd w:val="clear" w:color="auto" w:fill="auto"/>
            <w:vAlign w:val="bottom"/>
          </w:tcPr>
          <w:p w14:paraId="0AA8A764" w14:textId="5A9CACB3" w:rsidR="006114AD" w:rsidRPr="0073145B" w:rsidRDefault="006114AD" w:rsidP="002F131C">
            <w:pPr>
              <w:rPr>
                <w:rFonts w:ascii="Montserrat Medium" w:eastAsia="Times New Roman" w:hAnsi="Montserrat Medium" w:cs="Arial"/>
                <w:b/>
                <w:sz w:val="14"/>
                <w:szCs w:val="14"/>
                <w:lang w:eastAsia="en-US"/>
              </w:rPr>
            </w:pPr>
            <w:r w:rsidRPr="0073145B">
              <w:rPr>
                <w:rFonts w:ascii="Montserrat Medium" w:eastAsia="Times New Roman" w:hAnsi="Montserrat Medium" w:cs="Arial"/>
                <w:b/>
                <w:sz w:val="14"/>
                <w:szCs w:val="14"/>
                <w:lang w:eastAsia="en-US"/>
              </w:rPr>
              <w:t>JUICIOS</w:t>
            </w:r>
          </w:p>
        </w:tc>
        <w:tc>
          <w:tcPr>
            <w:tcW w:w="1427" w:type="dxa"/>
            <w:tcBorders>
              <w:top w:val="nil"/>
              <w:bottom w:val="nil"/>
              <w:right w:val="single" w:sz="4" w:space="0" w:color="auto"/>
            </w:tcBorders>
            <w:vAlign w:val="center"/>
          </w:tcPr>
          <w:p w14:paraId="6B86EF25" w14:textId="15D725C8" w:rsidR="006114AD" w:rsidRPr="0073145B" w:rsidRDefault="006114AD" w:rsidP="002F131C">
            <w:pPr>
              <w:jc w:val="right"/>
              <w:rPr>
                <w:rFonts w:ascii="Montserrat Medium" w:eastAsia="Times New Roman" w:hAnsi="Montserrat Medium" w:cs="Arial"/>
                <w:b/>
                <w:sz w:val="14"/>
                <w:szCs w:val="14"/>
                <w:lang w:eastAsia="en-US"/>
              </w:rPr>
            </w:pPr>
            <w:r>
              <w:rPr>
                <w:rFonts w:ascii="Montserrat" w:hAnsi="Montserrat" w:cs="Calibri"/>
                <w:b/>
                <w:bCs/>
                <w:color w:val="000000"/>
                <w:sz w:val="14"/>
                <w:szCs w:val="14"/>
              </w:rPr>
              <w:t>0.00</w:t>
            </w:r>
          </w:p>
        </w:tc>
      </w:tr>
      <w:tr w:rsidR="006114AD" w:rsidRPr="0073145B" w14:paraId="4CC85792" w14:textId="77777777" w:rsidTr="00407330">
        <w:trPr>
          <w:trHeight w:hRule="exact" w:val="170"/>
          <w:jc w:val="center"/>
        </w:trPr>
        <w:tc>
          <w:tcPr>
            <w:tcW w:w="8849" w:type="dxa"/>
            <w:tcBorders>
              <w:top w:val="nil"/>
              <w:bottom w:val="nil"/>
              <w:right w:val="single" w:sz="4" w:space="0" w:color="auto"/>
            </w:tcBorders>
            <w:shd w:val="clear" w:color="auto" w:fill="auto"/>
            <w:vAlign w:val="bottom"/>
          </w:tcPr>
          <w:p w14:paraId="3CD44ED6" w14:textId="2938FB93" w:rsidR="006114AD" w:rsidRPr="0073145B" w:rsidRDefault="006114AD" w:rsidP="002F131C">
            <w:pPr>
              <w:rPr>
                <w:rFonts w:ascii="Montserrat Medium" w:eastAsia="Times New Roman" w:hAnsi="Montserrat Medium" w:cs="Arial"/>
                <w:sz w:val="14"/>
                <w:szCs w:val="14"/>
                <w:lang w:eastAsia="en-US"/>
              </w:rPr>
            </w:pPr>
            <w:r w:rsidRPr="0073145B">
              <w:rPr>
                <w:rFonts w:ascii="Montserrat Medium" w:eastAsia="Times New Roman" w:hAnsi="Montserrat Medium" w:cs="Arial"/>
                <w:sz w:val="14"/>
                <w:szCs w:val="14"/>
                <w:lang w:eastAsia="en-US"/>
              </w:rPr>
              <w:t xml:space="preserve">   Demandas Judiciales en Proceso de Resolución</w:t>
            </w:r>
          </w:p>
          <w:p w14:paraId="3BE39B4E" w14:textId="77777777" w:rsidR="006114AD" w:rsidRPr="0073145B" w:rsidRDefault="006114AD" w:rsidP="002F131C">
            <w:pPr>
              <w:rPr>
                <w:rFonts w:ascii="Montserrat Medium" w:eastAsia="Times New Roman" w:hAnsi="Montserrat Medium" w:cs="Arial"/>
                <w:sz w:val="14"/>
                <w:szCs w:val="14"/>
                <w:lang w:eastAsia="en-US"/>
              </w:rPr>
            </w:pPr>
          </w:p>
        </w:tc>
        <w:tc>
          <w:tcPr>
            <w:tcW w:w="1427" w:type="dxa"/>
            <w:tcBorders>
              <w:top w:val="nil"/>
              <w:bottom w:val="nil"/>
              <w:right w:val="single" w:sz="4" w:space="0" w:color="auto"/>
            </w:tcBorders>
            <w:vAlign w:val="center"/>
          </w:tcPr>
          <w:p w14:paraId="0970A52A" w14:textId="65ADDAA7" w:rsidR="006114AD" w:rsidRPr="0073145B" w:rsidRDefault="006114AD" w:rsidP="002F131C">
            <w:pPr>
              <w:jc w:val="right"/>
              <w:rPr>
                <w:rFonts w:ascii="Montserrat Medium" w:eastAsia="Times New Roman" w:hAnsi="Montserrat Medium" w:cs="Arial"/>
                <w:sz w:val="14"/>
                <w:szCs w:val="14"/>
                <w:lang w:eastAsia="en-US"/>
              </w:rPr>
            </w:pPr>
            <w:r>
              <w:rPr>
                <w:rFonts w:ascii="Montserrat" w:hAnsi="Montserrat" w:cs="Calibri"/>
                <w:color w:val="000000"/>
                <w:sz w:val="14"/>
                <w:szCs w:val="14"/>
              </w:rPr>
              <w:t>132,560,189.15</w:t>
            </w:r>
          </w:p>
        </w:tc>
      </w:tr>
      <w:tr w:rsidR="006114AD" w:rsidRPr="0073145B" w14:paraId="26E98786"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5D586249" w14:textId="1ADF6D46" w:rsidR="006114AD" w:rsidRPr="0073145B" w:rsidRDefault="006114AD" w:rsidP="002F131C">
            <w:pPr>
              <w:rPr>
                <w:rFonts w:ascii="Montserrat Medium" w:eastAsia="Times New Roman" w:hAnsi="Montserrat Medium" w:cs="Arial"/>
                <w:sz w:val="14"/>
                <w:szCs w:val="14"/>
                <w:lang w:eastAsia="en-US"/>
              </w:rPr>
            </w:pPr>
            <w:r w:rsidRPr="0073145B">
              <w:rPr>
                <w:rFonts w:ascii="Montserrat Medium" w:eastAsia="Times New Roman" w:hAnsi="Montserrat Medium" w:cs="Arial"/>
                <w:sz w:val="14"/>
                <w:szCs w:val="14"/>
                <w:lang w:eastAsia="en-US"/>
              </w:rPr>
              <w:t xml:space="preserve">   Resolución de Demandas en Proceso Judicial</w:t>
            </w:r>
          </w:p>
        </w:tc>
        <w:tc>
          <w:tcPr>
            <w:tcW w:w="1427" w:type="dxa"/>
            <w:tcBorders>
              <w:top w:val="nil"/>
              <w:bottom w:val="nil"/>
              <w:right w:val="single" w:sz="4" w:space="0" w:color="auto"/>
            </w:tcBorders>
            <w:vAlign w:val="center"/>
          </w:tcPr>
          <w:p w14:paraId="7095B603" w14:textId="6E77C12B" w:rsidR="006114AD" w:rsidRPr="0073145B" w:rsidRDefault="006114AD" w:rsidP="002F131C">
            <w:pPr>
              <w:jc w:val="right"/>
              <w:rPr>
                <w:rFonts w:ascii="Montserrat Medium" w:eastAsia="Times New Roman" w:hAnsi="Montserrat Medium" w:cs="Arial"/>
                <w:sz w:val="14"/>
                <w:szCs w:val="14"/>
                <w:lang w:eastAsia="en-US"/>
              </w:rPr>
            </w:pPr>
            <w:r>
              <w:rPr>
                <w:rFonts w:ascii="Montserrat" w:hAnsi="Montserrat" w:cs="Calibri"/>
                <w:color w:val="000000"/>
                <w:sz w:val="14"/>
                <w:szCs w:val="14"/>
              </w:rPr>
              <w:t>132,560,189.15</w:t>
            </w:r>
          </w:p>
        </w:tc>
      </w:tr>
      <w:tr w:rsidR="006114AD" w:rsidRPr="0073145B" w14:paraId="36D75F13"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66587F6C" w14:textId="79E7563D" w:rsidR="006114AD" w:rsidRPr="0073145B" w:rsidRDefault="006114AD" w:rsidP="002F131C">
            <w:pPr>
              <w:rPr>
                <w:rFonts w:ascii="Montserrat Medium" w:eastAsia="Times New Roman" w:hAnsi="Montserrat Medium" w:cs="Arial"/>
                <w:b/>
                <w:sz w:val="14"/>
                <w:szCs w:val="14"/>
                <w:lang w:eastAsia="en-US"/>
              </w:rPr>
            </w:pPr>
            <w:r w:rsidRPr="0073145B">
              <w:rPr>
                <w:rFonts w:ascii="Montserrat Medium" w:eastAsia="Times New Roman" w:hAnsi="Montserrat Medium" w:cs="Arial"/>
                <w:b/>
                <w:sz w:val="14"/>
                <w:szCs w:val="14"/>
                <w:lang w:eastAsia="en-US"/>
              </w:rPr>
              <w:t>INVERSIÓN MEDIANTE PROYECTOS PARA PRESTACIÓN DE SERVICIOS (PPS) Y SIMILARES</w:t>
            </w:r>
          </w:p>
        </w:tc>
        <w:tc>
          <w:tcPr>
            <w:tcW w:w="1427" w:type="dxa"/>
            <w:tcBorders>
              <w:top w:val="nil"/>
              <w:bottom w:val="nil"/>
              <w:right w:val="single" w:sz="4" w:space="0" w:color="auto"/>
            </w:tcBorders>
            <w:vAlign w:val="center"/>
          </w:tcPr>
          <w:p w14:paraId="203C9284" w14:textId="782FCA47" w:rsidR="006114AD" w:rsidRPr="0073145B" w:rsidRDefault="006114AD" w:rsidP="002F131C">
            <w:pPr>
              <w:jc w:val="right"/>
              <w:rPr>
                <w:rFonts w:ascii="Montserrat Medium" w:eastAsia="Times New Roman" w:hAnsi="Montserrat Medium" w:cs="Arial"/>
                <w:b/>
                <w:sz w:val="14"/>
                <w:szCs w:val="14"/>
                <w:lang w:eastAsia="en-US"/>
              </w:rPr>
            </w:pPr>
            <w:r>
              <w:rPr>
                <w:rFonts w:ascii="Montserrat" w:hAnsi="Montserrat" w:cs="Calibri"/>
                <w:b/>
                <w:bCs/>
                <w:color w:val="000000"/>
                <w:sz w:val="14"/>
                <w:szCs w:val="14"/>
              </w:rPr>
              <w:t>0.00</w:t>
            </w:r>
          </w:p>
        </w:tc>
      </w:tr>
      <w:tr w:rsidR="006114AD" w:rsidRPr="0073145B" w14:paraId="2FCA9BBF"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559A35A6" w14:textId="14B27451" w:rsidR="006114AD" w:rsidRPr="0073145B" w:rsidRDefault="006114AD" w:rsidP="002F131C">
            <w:pPr>
              <w:rPr>
                <w:rFonts w:ascii="Montserrat Medium" w:eastAsia="Times New Roman" w:hAnsi="Montserrat Medium" w:cs="Arial"/>
                <w:b/>
                <w:sz w:val="14"/>
                <w:szCs w:val="14"/>
                <w:lang w:eastAsia="en-US"/>
              </w:rPr>
            </w:pPr>
            <w:r w:rsidRPr="0073145B">
              <w:rPr>
                <w:rFonts w:ascii="Montserrat Medium" w:eastAsia="Times New Roman" w:hAnsi="Montserrat Medium" w:cs="Arial"/>
                <w:b/>
                <w:sz w:val="14"/>
                <w:szCs w:val="14"/>
                <w:lang w:eastAsia="en-US"/>
              </w:rPr>
              <w:t>BIENES CONCESIONADOS O EN COMODATO</w:t>
            </w:r>
          </w:p>
        </w:tc>
        <w:tc>
          <w:tcPr>
            <w:tcW w:w="1427" w:type="dxa"/>
            <w:tcBorders>
              <w:top w:val="nil"/>
              <w:bottom w:val="nil"/>
              <w:right w:val="single" w:sz="4" w:space="0" w:color="auto"/>
            </w:tcBorders>
            <w:vAlign w:val="center"/>
          </w:tcPr>
          <w:p w14:paraId="40D4987B" w14:textId="4D24F89B" w:rsidR="006114AD" w:rsidRPr="0073145B" w:rsidRDefault="006114AD" w:rsidP="002F131C">
            <w:pPr>
              <w:jc w:val="right"/>
              <w:rPr>
                <w:rFonts w:ascii="Montserrat Medium" w:eastAsia="Times New Roman" w:hAnsi="Montserrat Medium" w:cs="Arial"/>
                <w:b/>
                <w:sz w:val="14"/>
                <w:szCs w:val="14"/>
                <w:lang w:eastAsia="en-US"/>
              </w:rPr>
            </w:pPr>
            <w:r>
              <w:rPr>
                <w:rFonts w:ascii="Montserrat" w:hAnsi="Montserrat" w:cs="Calibri"/>
                <w:b/>
                <w:bCs/>
                <w:color w:val="000000"/>
                <w:sz w:val="14"/>
                <w:szCs w:val="14"/>
              </w:rPr>
              <w:t>0.00</w:t>
            </w:r>
          </w:p>
        </w:tc>
      </w:tr>
      <w:tr w:rsidR="006114AD" w:rsidRPr="0073145B" w14:paraId="174B58A1"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4093D3AF" w14:textId="1BD9BF8C" w:rsidR="006114AD" w:rsidRPr="0073145B" w:rsidRDefault="006114AD" w:rsidP="002F131C">
            <w:pPr>
              <w:rPr>
                <w:rFonts w:ascii="Montserrat Medium" w:eastAsia="Times New Roman" w:hAnsi="Montserrat Medium" w:cs="Arial"/>
                <w:b/>
                <w:sz w:val="14"/>
                <w:szCs w:val="14"/>
                <w:lang w:eastAsia="en-US"/>
              </w:rPr>
            </w:pPr>
            <w:r w:rsidRPr="0073145B">
              <w:rPr>
                <w:rFonts w:ascii="Montserrat Medium" w:eastAsia="Times New Roman" w:hAnsi="Montserrat Medium" w:cs="Arial"/>
                <w:b/>
                <w:sz w:val="14"/>
                <w:szCs w:val="14"/>
                <w:lang w:eastAsia="en-US"/>
              </w:rPr>
              <w:t>BIENES ARQUEOLÓGICOS, ARTISTÍCOS E HISTÓRICOS EN CUSTODIA</w:t>
            </w:r>
          </w:p>
          <w:p w14:paraId="7ACFDEE8" w14:textId="77777777" w:rsidR="006114AD" w:rsidRPr="0073145B" w:rsidRDefault="006114AD" w:rsidP="002F131C">
            <w:pPr>
              <w:rPr>
                <w:rFonts w:ascii="Montserrat Medium" w:eastAsia="Times New Roman" w:hAnsi="Montserrat Medium" w:cs="Arial"/>
                <w:b/>
                <w:sz w:val="14"/>
                <w:szCs w:val="14"/>
                <w:lang w:eastAsia="en-US"/>
              </w:rPr>
            </w:pPr>
          </w:p>
        </w:tc>
        <w:tc>
          <w:tcPr>
            <w:tcW w:w="1427" w:type="dxa"/>
            <w:tcBorders>
              <w:top w:val="nil"/>
              <w:bottom w:val="nil"/>
              <w:right w:val="single" w:sz="4" w:space="0" w:color="auto"/>
            </w:tcBorders>
            <w:vAlign w:val="center"/>
          </w:tcPr>
          <w:p w14:paraId="5F093290" w14:textId="393B88D8" w:rsidR="006114AD" w:rsidRPr="0073145B" w:rsidRDefault="006114AD" w:rsidP="002F131C">
            <w:pPr>
              <w:jc w:val="right"/>
              <w:rPr>
                <w:rFonts w:ascii="Montserrat Medium" w:eastAsia="Times New Roman" w:hAnsi="Montserrat Medium" w:cs="Arial"/>
                <w:b/>
                <w:sz w:val="14"/>
                <w:szCs w:val="14"/>
                <w:lang w:eastAsia="en-US"/>
              </w:rPr>
            </w:pPr>
            <w:r>
              <w:rPr>
                <w:rFonts w:ascii="Montserrat" w:hAnsi="Montserrat" w:cs="Calibri"/>
                <w:b/>
                <w:bCs/>
                <w:color w:val="000000"/>
                <w:sz w:val="14"/>
                <w:szCs w:val="14"/>
              </w:rPr>
              <w:t>0.00</w:t>
            </w:r>
          </w:p>
        </w:tc>
      </w:tr>
      <w:tr w:rsidR="006114AD" w:rsidRPr="0073145B" w14:paraId="02ED1C77"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2B196816" w14:textId="64C2E7A8" w:rsidR="006114AD" w:rsidRPr="0073145B" w:rsidRDefault="006114AD" w:rsidP="002F131C">
            <w:pPr>
              <w:rPr>
                <w:rFonts w:ascii="Montserrat Medium" w:eastAsia="Times New Roman" w:hAnsi="Montserrat Medium" w:cs="Arial"/>
                <w:sz w:val="14"/>
                <w:szCs w:val="14"/>
                <w:lang w:eastAsia="en-US"/>
              </w:rPr>
            </w:pPr>
            <w:r w:rsidRPr="0073145B">
              <w:rPr>
                <w:rFonts w:ascii="Montserrat Medium" w:eastAsia="Times New Roman" w:hAnsi="Montserrat Medium" w:cs="Arial"/>
                <w:sz w:val="14"/>
                <w:szCs w:val="14"/>
                <w:lang w:eastAsia="en-US"/>
              </w:rPr>
              <w:t xml:space="preserve">   Bienes artísticos en custodia</w:t>
            </w:r>
          </w:p>
        </w:tc>
        <w:tc>
          <w:tcPr>
            <w:tcW w:w="1427" w:type="dxa"/>
            <w:tcBorders>
              <w:top w:val="nil"/>
              <w:bottom w:val="nil"/>
              <w:right w:val="single" w:sz="4" w:space="0" w:color="auto"/>
            </w:tcBorders>
            <w:vAlign w:val="center"/>
          </w:tcPr>
          <w:p w14:paraId="4C385D3D" w14:textId="0D129BD4" w:rsidR="006114AD" w:rsidRPr="0073145B" w:rsidRDefault="006114AD" w:rsidP="002F131C">
            <w:pPr>
              <w:jc w:val="right"/>
              <w:rPr>
                <w:rFonts w:ascii="Montserrat Medium" w:eastAsia="Times New Roman" w:hAnsi="Montserrat Medium" w:cs="Arial"/>
                <w:sz w:val="14"/>
                <w:szCs w:val="14"/>
                <w:lang w:eastAsia="en-US"/>
              </w:rPr>
            </w:pPr>
            <w:r>
              <w:rPr>
                <w:rFonts w:ascii="Montserrat" w:hAnsi="Montserrat" w:cs="Calibri"/>
                <w:color w:val="000000"/>
                <w:sz w:val="14"/>
                <w:szCs w:val="14"/>
              </w:rPr>
              <w:t>1.00</w:t>
            </w:r>
          </w:p>
        </w:tc>
      </w:tr>
      <w:tr w:rsidR="006114AD" w:rsidRPr="0073145B" w14:paraId="1A6A5AA7"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277EFB0B" w14:textId="38CAB50B" w:rsidR="006114AD" w:rsidRPr="0073145B" w:rsidRDefault="006114AD" w:rsidP="002F131C">
            <w:pPr>
              <w:rPr>
                <w:rFonts w:ascii="Montserrat Medium" w:eastAsia="Times New Roman" w:hAnsi="Montserrat Medium" w:cs="Arial"/>
                <w:sz w:val="14"/>
                <w:szCs w:val="14"/>
                <w:lang w:eastAsia="en-US"/>
              </w:rPr>
            </w:pPr>
            <w:r w:rsidRPr="0073145B">
              <w:rPr>
                <w:rFonts w:ascii="Montserrat Medium" w:eastAsia="Times New Roman" w:hAnsi="Montserrat Medium" w:cs="Arial"/>
                <w:sz w:val="14"/>
                <w:szCs w:val="14"/>
                <w:lang w:eastAsia="en-US"/>
              </w:rPr>
              <w:t xml:space="preserve">   Custodia de bienes artísticos</w:t>
            </w:r>
          </w:p>
        </w:tc>
        <w:tc>
          <w:tcPr>
            <w:tcW w:w="1427" w:type="dxa"/>
            <w:tcBorders>
              <w:top w:val="nil"/>
              <w:bottom w:val="nil"/>
              <w:right w:val="single" w:sz="4" w:space="0" w:color="auto"/>
            </w:tcBorders>
            <w:vAlign w:val="center"/>
          </w:tcPr>
          <w:p w14:paraId="110C359E" w14:textId="3C6678D0" w:rsidR="006114AD" w:rsidRPr="0073145B" w:rsidRDefault="006114AD" w:rsidP="002F131C">
            <w:pPr>
              <w:jc w:val="right"/>
              <w:rPr>
                <w:rFonts w:ascii="Montserrat Medium" w:eastAsia="Times New Roman" w:hAnsi="Montserrat Medium" w:cs="Arial"/>
                <w:sz w:val="14"/>
                <w:szCs w:val="14"/>
                <w:lang w:eastAsia="en-US"/>
              </w:rPr>
            </w:pPr>
            <w:r>
              <w:rPr>
                <w:rFonts w:ascii="Montserrat" w:hAnsi="Montserrat" w:cs="Calibri"/>
                <w:color w:val="000000"/>
                <w:sz w:val="14"/>
                <w:szCs w:val="14"/>
              </w:rPr>
              <w:t>1.00</w:t>
            </w:r>
          </w:p>
        </w:tc>
      </w:tr>
      <w:tr w:rsidR="006114AD" w:rsidRPr="0073145B" w14:paraId="17809744"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110DAFD2" w14:textId="24B5BA35" w:rsidR="006114AD" w:rsidRPr="0073145B" w:rsidRDefault="006114AD" w:rsidP="002F131C">
            <w:pPr>
              <w:rPr>
                <w:rFonts w:ascii="Montserrat Medium" w:eastAsia="Times New Roman" w:hAnsi="Montserrat Medium" w:cs="Arial"/>
                <w:b/>
                <w:sz w:val="14"/>
                <w:szCs w:val="14"/>
                <w:lang w:eastAsia="en-US"/>
              </w:rPr>
            </w:pPr>
            <w:r w:rsidRPr="0073145B">
              <w:rPr>
                <w:rFonts w:ascii="Montserrat Medium" w:eastAsia="Times New Roman" w:hAnsi="Montserrat Medium" w:cs="Arial"/>
                <w:b/>
                <w:sz w:val="14"/>
                <w:szCs w:val="14"/>
                <w:lang w:eastAsia="en-US"/>
              </w:rPr>
              <w:t xml:space="preserve">OBSERVACIONES DE AUDITORÍA POR FALTA DE JUSTIFICACIÓN COMPROBACION, DOCUMENTACION IMPROCEDENTE </w:t>
            </w:r>
          </w:p>
        </w:tc>
        <w:tc>
          <w:tcPr>
            <w:tcW w:w="1427" w:type="dxa"/>
            <w:tcBorders>
              <w:top w:val="nil"/>
              <w:bottom w:val="nil"/>
              <w:right w:val="single" w:sz="4" w:space="0" w:color="auto"/>
            </w:tcBorders>
            <w:vAlign w:val="center"/>
          </w:tcPr>
          <w:p w14:paraId="5180BBD6" w14:textId="1C54BC12" w:rsidR="006114AD" w:rsidRPr="0073145B" w:rsidRDefault="006114AD" w:rsidP="002F131C">
            <w:pPr>
              <w:jc w:val="right"/>
              <w:rPr>
                <w:rFonts w:ascii="Montserrat Medium" w:eastAsia="Times New Roman" w:hAnsi="Montserrat Medium" w:cs="Arial"/>
                <w:b/>
                <w:sz w:val="14"/>
                <w:szCs w:val="14"/>
                <w:lang w:eastAsia="en-US"/>
              </w:rPr>
            </w:pPr>
            <w:r>
              <w:rPr>
                <w:rFonts w:ascii="Montserrat" w:hAnsi="Montserrat" w:cs="Calibri"/>
                <w:b/>
                <w:bCs/>
                <w:color w:val="000000"/>
                <w:sz w:val="14"/>
                <w:szCs w:val="14"/>
              </w:rPr>
              <w:t>0.00</w:t>
            </w:r>
          </w:p>
        </w:tc>
      </w:tr>
      <w:tr w:rsidR="006114AD" w:rsidRPr="0073145B" w14:paraId="5168A8EC"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03CC629C" w14:textId="135ED18E" w:rsidR="006114AD" w:rsidRPr="0073145B" w:rsidRDefault="006114AD" w:rsidP="002F131C">
            <w:pPr>
              <w:rPr>
                <w:rFonts w:ascii="Montserrat Medium" w:eastAsia="Times New Roman" w:hAnsi="Montserrat Medium" w:cs="Arial"/>
                <w:sz w:val="14"/>
                <w:szCs w:val="14"/>
                <w:lang w:eastAsia="en-US"/>
              </w:rPr>
            </w:pPr>
            <w:r w:rsidRPr="0073145B">
              <w:rPr>
                <w:rFonts w:ascii="Montserrat Medium" w:eastAsia="Times New Roman" w:hAnsi="Montserrat Medium" w:cs="Arial"/>
                <w:sz w:val="14"/>
                <w:szCs w:val="14"/>
                <w:lang w:eastAsia="en-US"/>
              </w:rPr>
              <w:t xml:space="preserve">   Observaciones de auditoria por falta de justificación, comprobación, documentación improcedente o pagos </w:t>
            </w:r>
          </w:p>
        </w:tc>
        <w:tc>
          <w:tcPr>
            <w:tcW w:w="1427" w:type="dxa"/>
            <w:tcBorders>
              <w:top w:val="nil"/>
              <w:bottom w:val="nil"/>
              <w:right w:val="single" w:sz="4" w:space="0" w:color="auto"/>
            </w:tcBorders>
            <w:vAlign w:val="center"/>
          </w:tcPr>
          <w:p w14:paraId="31F41DC0" w14:textId="49A73A6D" w:rsidR="006114AD" w:rsidRPr="0073145B" w:rsidRDefault="006114AD" w:rsidP="002F131C">
            <w:pPr>
              <w:jc w:val="right"/>
              <w:rPr>
                <w:rFonts w:ascii="Montserrat Medium" w:eastAsia="Times New Roman" w:hAnsi="Montserrat Medium" w:cs="Arial"/>
                <w:sz w:val="14"/>
                <w:szCs w:val="14"/>
                <w:lang w:eastAsia="en-US"/>
              </w:rPr>
            </w:pPr>
            <w:r>
              <w:rPr>
                <w:rFonts w:ascii="Montserrat" w:hAnsi="Montserrat" w:cs="Calibri"/>
                <w:color w:val="000000"/>
                <w:sz w:val="14"/>
                <w:szCs w:val="14"/>
              </w:rPr>
              <w:t>652,202,492.55</w:t>
            </w:r>
          </w:p>
        </w:tc>
      </w:tr>
      <w:tr w:rsidR="006114AD" w:rsidRPr="0073145B" w14:paraId="052AB646"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7F2DCA7C" w14:textId="6D9FB2D0" w:rsidR="006114AD" w:rsidRPr="0073145B" w:rsidRDefault="006114AD" w:rsidP="002F131C">
            <w:pPr>
              <w:rPr>
                <w:rFonts w:ascii="Montserrat Medium" w:eastAsia="Times New Roman" w:hAnsi="Montserrat Medium" w:cs="Arial"/>
                <w:sz w:val="14"/>
                <w:szCs w:val="14"/>
                <w:lang w:eastAsia="en-US"/>
              </w:rPr>
            </w:pPr>
            <w:r w:rsidRPr="0073145B">
              <w:rPr>
                <w:rFonts w:ascii="Montserrat Medium" w:eastAsia="Times New Roman" w:hAnsi="Montserrat Medium" w:cs="Arial"/>
                <w:sz w:val="14"/>
                <w:szCs w:val="14"/>
                <w:lang w:eastAsia="en-US"/>
              </w:rPr>
              <w:t xml:space="preserve">   Operaciones observadas por auditoria por falta de justificación, comprobación, documentación improcedente</w:t>
            </w:r>
          </w:p>
        </w:tc>
        <w:tc>
          <w:tcPr>
            <w:tcW w:w="1427" w:type="dxa"/>
            <w:tcBorders>
              <w:top w:val="nil"/>
              <w:bottom w:val="nil"/>
              <w:right w:val="single" w:sz="4" w:space="0" w:color="auto"/>
            </w:tcBorders>
            <w:vAlign w:val="center"/>
          </w:tcPr>
          <w:p w14:paraId="3B887F2F" w14:textId="5C14DD3C" w:rsidR="006114AD" w:rsidRPr="0073145B" w:rsidRDefault="006114AD" w:rsidP="002F131C">
            <w:pPr>
              <w:jc w:val="right"/>
              <w:rPr>
                <w:rFonts w:ascii="Montserrat Medium" w:eastAsia="Times New Roman" w:hAnsi="Montserrat Medium" w:cs="Arial"/>
                <w:sz w:val="14"/>
                <w:szCs w:val="14"/>
                <w:lang w:eastAsia="en-US"/>
              </w:rPr>
            </w:pPr>
            <w:r>
              <w:rPr>
                <w:rFonts w:ascii="Montserrat" w:hAnsi="Montserrat" w:cs="Calibri"/>
                <w:color w:val="000000"/>
                <w:sz w:val="14"/>
                <w:szCs w:val="14"/>
              </w:rPr>
              <w:t>652,202,492.55</w:t>
            </w:r>
          </w:p>
        </w:tc>
      </w:tr>
      <w:tr w:rsidR="006114AD" w:rsidRPr="0073145B" w14:paraId="4ED7FDE0"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7D3E74F3" w14:textId="01019C54" w:rsidR="006114AD" w:rsidRPr="0073145B" w:rsidRDefault="006114AD" w:rsidP="002F131C">
            <w:pPr>
              <w:rPr>
                <w:rFonts w:ascii="Montserrat Medium" w:eastAsia="Times New Roman" w:hAnsi="Montserrat Medium" w:cs="Arial"/>
                <w:sz w:val="14"/>
                <w:szCs w:val="14"/>
                <w:lang w:eastAsia="en-US"/>
              </w:rPr>
            </w:pPr>
            <w:r w:rsidRPr="0073145B">
              <w:rPr>
                <w:rFonts w:ascii="Montserrat Medium" w:eastAsia="Times New Roman" w:hAnsi="Montserrat Medium" w:cs="Arial"/>
                <w:sz w:val="14"/>
                <w:szCs w:val="14"/>
                <w:lang w:eastAsia="en-US"/>
              </w:rPr>
              <w:t xml:space="preserve">   Activos contingentes</w:t>
            </w:r>
          </w:p>
        </w:tc>
        <w:tc>
          <w:tcPr>
            <w:tcW w:w="1427" w:type="dxa"/>
            <w:tcBorders>
              <w:top w:val="nil"/>
              <w:bottom w:val="nil"/>
              <w:right w:val="single" w:sz="4" w:space="0" w:color="auto"/>
            </w:tcBorders>
            <w:vAlign w:val="center"/>
          </w:tcPr>
          <w:p w14:paraId="296176FE" w14:textId="48324BBF" w:rsidR="006114AD" w:rsidRPr="0073145B" w:rsidRDefault="006114AD" w:rsidP="002F131C">
            <w:pPr>
              <w:jc w:val="right"/>
              <w:rPr>
                <w:rFonts w:ascii="Montserrat Medium" w:eastAsia="Times New Roman" w:hAnsi="Montserrat Medium" w:cs="Arial"/>
                <w:sz w:val="14"/>
                <w:szCs w:val="14"/>
                <w:lang w:eastAsia="en-US"/>
              </w:rPr>
            </w:pPr>
            <w:r>
              <w:rPr>
                <w:rFonts w:ascii="Montserrat" w:hAnsi="Montserrat" w:cs="Calibri"/>
                <w:color w:val="000000"/>
                <w:sz w:val="14"/>
                <w:szCs w:val="14"/>
              </w:rPr>
              <w:t>15,000,000.00</w:t>
            </w:r>
          </w:p>
        </w:tc>
      </w:tr>
      <w:tr w:rsidR="006114AD" w:rsidRPr="0073145B" w14:paraId="5FA35D94" w14:textId="77777777" w:rsidTr="0073145B">
        <w:trPr>
          <w:trHeight w:hRule="exact" w:val="170"/>
          <w:jc w:val="center"/>
        </w:trPr>
        <w:tc>
          <w:tcPr>
            <w:tcW w:w="8849" w:type="dxa"/>
            <w:tcBorders>
              <w:top w:val="nil"/>
              <w:right w:val="single" w:sz="4" w:space="0" w:color="auto"/>
            </w:tcBorders>
            <w:shd w:val="clear" w:color="auto" w:fill="auto"/>
            <w:vAlign w:val="bottom"/>
          </w:tcPr>
          <w:p w14:paraId="15271382" w14:textId="41D475F5" w:rsidR="006114AD" w:rsidRPr="0073145B" w:rsidRDefault="006114AD" w:rsidP="002F131C">
            <w:pPr>
              <w:rPr>
                <w:rFonts w:ascii="Montserrat Medium" w:eastAsia="Times New Roman" w:hAnsi="Montserrat Medium" w:cs="Arial"/>
                <w:sz w:val="14"/>
                <w:szCs w:val="14"/>
                <w:lang w:eastAsia="en-US"/>
              </w:rPr>
            </w:pPr>
            <w:r w:rsidRPr="0073145B">
              <w:rPr>
                <w:rFonts w:ascii="Montserrat Medium" w:eastAsia="Times New Roman" w:hAnsi="Montserrat Medium" w:cs="Arial"/>
                <w:sz w:val="14"/>
                <w:szCs w:val="14"/>
                <w:lang w:eastAsia="en-US"/>
              </w:rPr>
              <w:t xml:space="preserve">   Contingencia en activos</w:t>
            </w:r>
          </w:p>
        </w:tc>
        <w:tc>
          <w:tcPr>
            <w:tcW w:w="1427" w:type="dxa"/>
            <w:tcBorders>
              <w:top w:val="nil"/>
              <w:right w:val="single" w:sz="4" w:space="0" w:color="auto"/>
            </w:tcBorders>
            <w:vAlign w:val="center"/>
          </w:tcPr>
          <w:p w14:paraId="055D6451" w14:textId="677C94CB" w:rsidR="006114AD" w:rsidRPr="0073145B" w:rsidRDefault="006114AD" w:rsidP="002F131C">
            <w:pPr>
              <w:jc w:val="right"/>
              <w:rPr>
                <w:rFonts w:ascii="Montserrat Medium" w:eastAsia="Times New Roman" w:hAnsi="Montserrat Medium" w:cs="Arial"/>
                <w:sz w:val="14"/>
                <w:szCs w:val="14"/>
                <w:lang w:eastAsia="en-US"/>
              </w:rPr>
            </w:pPr>
            <w:r>
              <w:rPr>
                <w:rFonts w:ascii="Montserrat" w:hAnsi="Montserrat" w:cs="Calibri"/>
                <w:color w:val="000000"/>
                <w:sz w:val="14"/>
                <w:szCs w:val="14"/>
              </w:rPr>
              <w:t>15,000,000.00</w:t>
            </w:r>
          </w:p>
        </w:tc>
      </w:tr>
    </w:tbl>
    <w:p w14:paraId="098A578B" w14:textId="357EFEBF" w:rsidR="00D8357E" w:rsidRPr="0073145B" w:rsidRDefault="001E3866" w:rsidP="002F131C">
      <w:pPr>
        <w:jc w:val="both"/>
        <w:rPr>
          <w:rFonts w:ascii="Montserrat Medium" w:eastAsia="Times New Roman" w:hAnsi="Montserrat Medium" w:cs="Arial"/>
          <w:b/>
          <w:i/>
          <w:color w:val="595959"/>
          <w:sz w:val="14"/>
          <w:szCs w:val="12"/>
          <w:lang w:eastAsia="en-US"/>
        </w:rPr>
      </w:pPr>
      <w:r w:rsidRPr="0073145B">
        <w:rPr>
          <w:rFonts w:ascii="Montserrat Medium" w:eastAsia="Times New Roman" w:hAnsi="Montserrat Medium" w:cs="Tahoma"/>
          <w:sz w:val="14"/>
          <w:szCs w:val="12"/>
          <w:lang w:eastAsia="en-US"/>
        </w:rPr>
        <w:t>*</w:t>
      </w:r>
      <w:r w:rsidR="00736E46" w:rsidRPr="0073145B">
        <w:rPr>
          <w:rFonts w:ascii="Montserrat Medium" w:eastAsia="Times New Roman" w:hAnsi="Montserrat Medium" w:cs="Tahoma"/>
          <w:sz w:val="14"/>
          <w:szCs w:val="12"/>
          <w:lang w:eastAsia="en-US"/>
        </w:rPr>
        <w:t>El importe se encuentra detallado en la nota 11.1 Deuda Cont</w:t>
      </w:r>
      <w:r w:rsidR="00FD3BF0" w:rsidRPr="0073145B">
        <w:rPr>
          <w:rFonts w:ascii="Montserrat Medium" w:eastAsia="Times New Roman" w:hAnsi="Montserrat Medium" w:cs="Tahoma"/>
          <w:sz w:val="14"/>
          <w:szCs w:val="12"/>
          <w:lang w:eastAsia="en-US"/>
        </w:rPr>
        <w:t>i</w:t>
      </w:r>
      <w:r w:rsidR="00736E46" w:rsidRPr="0073145B">
        <w:rPr>
          <w:rFonts w:ascii="Montserrat Medium" w:eastAsia="Times New Roman" w:hAnsi="Montserrat Medium" w:cs="Tahoma"/>
          <w:sz w:val="14"/>
          <w:szCs w:val="12"/>
          <w:lang w:eastAsia="en-US"/>
        </w:rPr>
        <w:t>ngente.</w:t>
      </w:r>
    </w:p>
    <w:p w14:paraId="01E8063A" w14:textId="77777777" w:rsidR="0056239F" w:rsidRDefault="0056239F" w:rsidP="002F131C">
      <w:pPr>
        <w:jc w:val="both"/>
        <w:rPr>
          <w:rFonts w:ascii="Montserrat Medium" w:eastAsia="Times New Roman" w:hAnsi="Montserrat Medium" w:cs="Arial"/>
          <w:b/>
          <w:i/>
          <w:color w:val="595959"/>
          <w:sz w:val="22"/>
          <w:lang w:eastAsia="en-US"/>
        </w:rPr>
      </w:pPr>
    </w:p>
    <w:p w14:paraId="3D437EC4" w14:textId="77777777" w:rsidR="0056239F" w:rsidRDefault="0056239F" w:rsidP="002F131C">
      <w:pPr>
        <w:jc w:val="both"/>
        <w:rPr>
          <w:rFonts w:ascii="Montserrat Medium" w:eastAsia="Times New Roman" w:hAnsi="Montserrat Medium" w:cs="Arial"/>
          <w:b/>
          <w:i/>
          <w:color w:val="595959"/>
          <w:sz w:val="22"/>
          <w:lang w:eastAsia="en-US"/>
        </w:rPr>
      </w:pPr>
    </w:p>
    <w:p w14:paraId="6162F8AD" w14:textId="77777777" w:rsidR="0056239F" w:rsidRDefault="0056239F" w:rsidP="002F131C">
      <w:pPr>
        <w:jc w:val="both"/>
        <w:rPr>
          <w:rFonts w:ascii="Montserrat Medium" w:eastAsia="Times New Roman" w:hAnsi="Montserrat Medium" w:cs="Arial"/>
          <w:b/>
          <w:i/>
          <w:color w:val="595959"/>
          <w:sz w:val="22"/>
          <w:lang w:eastAsia="en-US"/>
        </w:rPr>
      </w:pPr>
    </w:p>
    <w:p w14:paraId="2CEADCAA" w14:textId="77777777" w:rsidR="0056239F" w:rsidRDefault="0056239F" w:rsidP="002F131C">
      <w:pPr>
        <w:jc w:val="both"/>
        <w:rPr>
          <w:rFonts w:ascii="Montserrat Medium" w:eastAsia="Times New Roman" w:hAnsi="Montserrat Medium" w:cs="Arial"/>
          <w:b/>
          <w:i/>
          <w:color w:val="595959"/>
          <w:sz w:val="22"/>
          <w:lang w:eastAsia="en-US"/>
        </w:rPr>
      </w:pPr>
    </w:p>
    <w:p w14:paraId="49203B1A" w14:textId="77777777" w:rsidR="0056239F" w:rsidRDefault="0056239F" w:rsidP="002F131C">
      <w:pPr>
        <w:jc w:val="both"/>
        <w:rPr>
          <w:rFonts w:ascii="Montserrat Medium" w:eastAsia="Times New Roman" w:hAnsi="Montserrat Medium" w:cs="Arial"/>
          <w:b/>
          <w:i/>
          <w:color w:val="595959"/>
          <w:sz w:val="22"/>
          <w:lang w:eastAsia="en-US"/>
        </w:rPr>
      </w:pPr>
    </w:p>
    <w:p w14:paraId="74882A03" w14:textId="77777777" w:rsidR="0056239F" w:rsidRDefault="0056239F" w:rsidP="002F131C">
      <w:pPr>
        <w:jc w:val="both"/>
        <w:rPr>
          <w:rFonts w:ascii="Montserrat Medium" w:eastAsia="Times New Roman" w:hAnsi="Montserrat Medium" w:cs="Arial"/>
          <w:b/>
          <w:i/>
          <w:color w:val="595959"/>
          <w:sz w:val="22"/>
          <w:lang w:eastAsia="en-US"/>
        </w:rPr>
      </w:pPr>
    </w:p>
    <w:p w14:paraId="26C09F91" w14:textId="77777777" w:rsidR="0056239F" w:rsidRDefault="0056239F" w:rsidP="002F131C">
      <w:pPr>
        <w:jc w:val="both"/>
        <w:rPr>
          <w:rFonts w:ascii="Montserrat Medium" w:eastAsia="Times New Roman" w:hAnsi="Montserrat Medium" w:cs="Arial"/>
          <w:b/>
          <w:i/>
          <w:color w:val="595959"/>
          <w:sz w:val="22"/>
          <w:lang w:eastAsia="en-US"/>
        </w:rPr>
      </w:pPr>
    </w:p>
    <w:p w14:paraId="46B6357F" w14:textId="77777777" w:rsidR="0056239F" w:rsidRDefault="0056239F" w:rsidP="002F131C">
      <w:pPr>
        <w:jc w:val="both"/>
        <w:rPr>
          <w:rFonts w:ascii="Montserrat Medium" w:eastAsia="Times New Roman" w:hAnsi="Montserrat Medium" w:cs="Arial"/>
          <w:b/>
          <w:i/>
          <w:color w:val="595959"/>
          <w:sz w:val="22"/>
          <w:lang w:eastAsia="en-US"/>
        </w:rPr>
      </w:pPr>
    </w:p>
    <w:p w14:paraId="572F2F56" w14:textId="77777777" w:rsidR="0056239F" w:rsidRDefault="0056239F" w:rsidP="002F131C">
      <w:pPr>
        <w:jc w:val="both"/>
        <w:rPr>
          <w:rFonts w:ascii="Montserrat Medium" w:eastAsia="Times New Roman" w:hAnsi="Montserrat Medium" w:cs="Arial"/>
          <w:b/>
          <w:i/>
          <w:color w:val="595959"/>
          <w:sz w:val="22"/>
          <w:lang w:eastAsia="en-US"/>
        </w:rPr>
      </w:pPr>
    </w:p>
    <w:p w14:paraId="60535039" w14:textId="44F3120D" w:rsidR="001E3866" w:rsidRPr="00D56579" w:rsidRDefault="002409FD" w:rsidP="002F131C">
      <w:pPr>
        <w:jc w:val="both"/>
        <w:rPr>
          <w:rFonts w:ascii="Montserrat Medium" w:eastAsia="Times New Roman" w:hAnsi="Montserrat Medium" w:cs="Arial"/>
          <w:b/>
          <w:i/>
          <w:color w:val="595959"/>
          <w:sz w:val="22"/>
          <w:lang w:eastAsia="en-US"/>
        </w:rPr>
      </w:pPr>
      <w:r w:rsidRPr="00D56579">
        <w:rPr>
          <w:rFonts w:ascii="Montserrat Medium" w:eastAsia="Times New Roman" w:hAnsi="Montserrat Medium" w:cs="Arial"/>
          <w:b/>
          <w:i/>
          <w:color w:val="595959"/>
          <w:sz w:val="22"/>
          <w:lang w:eastAsia="en-US"/>
        </w:rPr>
        <w:lastRenderedPageBreak/>
        <w:t>Cuentas de Orden Presupuestario</w:t>
      </w:r>
      <w:r w:rsidR="001E3866" w:rsidRPr="00D56579">
        <w:rPr>
          <w:rFonts w:ascii="Montserrat Medium" w:eastAsia="Times New Roman" w:hAnsi="Montserrat Medium" w:cs="Arial"/>
          <w:b/>
          <w:i/>
          <w:color w:val="595959"/>
          <w:sz w:val="22"/>
          <w:lang w:eastAsia="en-US"/>
        </w:rPr>
        <w:t xml:space="preserve"> </w:t>
      </w:r>
    </w:p>
    <w:p w14:paraId="77398181" w14:textId="77777777" w:rsidR="001E3866" w:rsidRPr="00D56579" w:rsidRDefault="001E3866" w:rsidP="002F131C">
      <w:pPr>
        <w:jc w:val="both"/>
        <w:rPr>
          <w:rFonts w:ascii="Montserrat Medium" w:eastAsia="Times New Roman" w:hAnsi="Montserrat Medium" w:cs="Arial"/>
          <w:b/>
          <w:color w:val="595959"/>
          <w:sz w:val="22"/>
          <w:lang w:eastAsia="en-US"/>
        </w:rPr>
      </w:pPr>
    </w:p>
    <w:p w14:paraId="742A3A28" w14:textId="5DDCEE54" w:rsidR="00C17793" w:rsidRPr="00D56579" w:rsidRDefault="00C17793" w:rsidP="002F131C">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El ejercicio de la Ley de Ingresos</w:t>
      </w:r>
      <w:r w:rsidR="00ED4A4B"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 xml:space="preserve">Estimada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w:t>
      </w:r>
      <w:r w:rsidR="006114AD">
        <w:rPr>
          <w:rFonts w:ascii="Montserrat Medium" w:eastAsia="Times New Roman" w:hAnsi="Montserrat Medium" w:cs="Arial"/>
          <w:color w:val="595959"/>
          <w:sz w:val="22"/>
          <w:lang w:eastAsia="en-US"/>
        </w:rPr>
        <w:t>0</w:t>
      </w:r>
      <w:r w:rsidR="00A4586C" w:rsidRPr="00D56579">
        <w:rPr>
          <w:rFonts w:ascii="Montserrat Medium" w:eastAsia="Times New Roman" w:hAnsi="Montserrat Medium" w:cs="Arial"/>
          <w:color w:val="595959"/>
          <w:sz w:val="22"/>
          <w:lang w:eastAsia="en-US"/>
        </w:rPr>
        <w:t xml:space="preserve"> de </w:t>
      </w:r>
      <w:r w:rsidR="006114AD">
        <w:rPr>
          <w:rFonts w:ascii="Montserrat Medium" w:eastAsia="Times New Roman" w:hAnsi="Montserrat Medium" w:cs="Arial"/>
          <w:color w:val="595959"/>
          <w:sz w:val="22"/>
          <w:lang w:eastAsia="en-US"/>
        </w:rPr>
        <w:t>junio</w:t>
      </w:r>
      <w:r w:rsidR="00A4586C" w:rsidRPr="00D56579">
        <w:rPr>
          <w:rFonts w:ascii="Montserrat Medium" w:eastAsia="Times New Roman" w:hAnsi="Montserrat Medium" w:cs="Arial"/>
          <w:color w:val="595959"/>
          <w:sz w:val="22"/>
          <w:lang w:eastAsia="en-US"/>
        </w:rPr>
        <w:t xml:space="preserve"> de 202</w:t>
      </w:r>
      <w:r w:rsidR="0073145B">
        <w:rPr>
          <w:rFonts w:ascii="Montserrat Medium" w:eastAsia="Times New Roman" w:hAnsi="Montserrat Medium" w:cs="Arial"/>
          <w:color w:val="595959"/>
          <w:sz w:val="22"/>
          <w:lang w:eastAsia="en-US"/>
        </w:rPr>
        <w:t>5</w:t>
      </w:r>
      <w:r w:rsidR="00D73B96"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se reflejó en las cuentas siguientes:</w:t>
      </w:r>
    </w:p>
    <w:p w14:paraId="1305F9F5" w14:textId="77777777" w:rsidR="0021731A" w:rsidRPr="00D56579" w:rsidRDefault="0021731A" w:rsidP="002F131C">
      <w:pPr>
        <w:jc w:val="both"/>
        <w:rPr>
          <w:rFonts w:ascii="Montserrat Medium" w:eastAsia="Times New Roman" w:hAnsi="Montserrat Medium" w:cs="Arial"/>
          <w:color w:val="595959"/>
          <w:sz w:val="20"/>
          <w:szCs w:val="20"/>
          <w:lang w:eastAsia="en-US"/>
        </w:rPr>
      </w:pPr>
    </w:p>
    <w:tbl>
      <w:tblPr>
        <w:tblW w:w="6326"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564"/>
        <w:gridCol w:w="1762"/>
      </w:tblGrid>
      <w:tr w:rsidR="00713ADD" w:rsidRPr="0073145B" w14:paraId="15CA7029" w14:textId="77777777" w:rsidTr="006114AD">
        <w:trPr>
          <w:trHeight w:hRule="exact" w:val="433"/>
          <w:jc w:val="center"/>
        </w:trPr>
        <w:tc>
          <w:tcPr>
            <w:tcW w:w="6326" w:type="dxa"/>
            <w:gridSpan w:val="2"/>
            <w:tcBorders>
              <w:top w:val="single" w:sz="4" w:space="0" w:color="auto"/>
              <w:bottom w:val="single" w:sz="4" w:space="0" w:color="auto"/>
              <w:right w:val="single" w:sz="4" w:space="0" w:color="auto"/>
            </w:tcBorders>
            <w:shd w:val="clear" w:color="auto" w:fill="BFBFBF" w:themeFill="background1" w:themeFillShade="BF"/>
            <w:noWrap/>
            <w:vAlign w:val="center"/>
          </w:tcPr>
          <w:p w14:paraId="2109F360" w14:textId="62DF3B11" w:rsidR="00713ADD" w:rsidRPr="0073145B" w:rsidRDefault="00713ADD" w:rsidP="002F131C">
            <w:pPr>
              <w:jc w:val="center"/>
              <w:rPr>
                <w:rFonts w:ascii="Montserrat Medium" w:eastAsia="Times New Roman" w:hAnsi="Montserrat Medium" w:cs="Arial"/>
                <w:b/>
                <w:sz w:val="18"/>
                <w:szCs w:val="18"/>
                <w:lang w:eastAsia="en-US"/>
              </w:rPr>
            </w:pPr>
            <w:r w:rsidRPr="0073145B">
              <w:rPr>
                <w:rFonts w:ascii="Montserrat Medium" w:eastAsia="Times New Roman" w:hAnsi="Montserrat Medium" w:cs="Arial"/>
                <w:b/>
                <w:sz w:val="18"/>
                <w:szCs w:val="18"/>
                <w:lang w:eastAsia="en-US"/>
              </w:rPr>
              <w:t>Cuentas de Orden Presupuestarias de Ingresos</w:t>
            </w:r>
          </w:p>
        </w:tc>
      </w:tr>
      <w:tr w:rsidR="000B6E10" w:rsidRPr="0073145B" w14:paraId="173FC6BC" w14:textId="77777777" w:rsidTr="006114AD">
        <w:trPr>
          <w:trHeight w:hRule="exact" w:val="567"/>
          <w:jc w:val="center"/>
        </w:trPr>
        <w:tc>
          <w:tcPr>
            <w:tcW w:w="4564" w:type="dxa"/>
            <w:tcBorders>
              <w:top w:val="single" w:sz="4" w:space="0" w:color="auto"/>
              <w:bottom w:val="single" w:sz="4" w:space="0" w:color="auto"/>
              <w:right w:val="single" w:sz="4" w:space="0" w:color="auto"/>
            </w:tcBorders>
            <w:shd w:val="clear" w:color="auto" w:fill="BFBFBF" w:themeFill="background1" w:themeFillShade="BF"/>
            <w:noWrap/>
            <w:vAlign w:val="center"/>
            <w:hideMark/>
          </w:tcPr>
          <w:p w14:paraId="6752F55B" w14:textId="77777777" w:rsidR="000B6E10" w:rsidRPr="0073145B" w:rsidRDefault="000B6E10" w:rsidP="002F131C">
            <w:pPr>
              <w:jc w:val="center"/>
              <w:rPr>
                <w:rFonts w:ascii="Montserrat Medium" w:eastAsia="Times New Roman" w:hAnsi="Montserrat Medium" w:cs="Arial"/>
                <w:b/>
                <w:bCs/>
                <w:sz w:val="18"/>
                <w:szCs w:val="18"/>
                <w:lang w:eastAsia="en-US"/>
              </w:rPr>
            </w:pPr>
            <w:r w:rsidRPr="0073145B">
              <w:rPr>
                <w:rFonts w:ascii="Montserrat Medium" w:eastAsia="Times New Roman" w:hAnsi="Montserrat Medium" w:cs="Arial"/>
                <w:b/>
                <w:bCs/>
                <w:sz w:val="18"/>
                <w:szCs w:val="18"/>
                <w:lang w:eastAsia="en-US"/>
              </w:rPr>
              <w:t>Concepto</w:t>
            </w:r>
          </w:p>
        </w:tc>
        <w:tc>
          <w:tcPr>
            <w:tcW w:w="1762" w:type="dxa"/>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14:paraId="10F99B86" w14:textId="26E84ADD" w:rsidR="000B6E10" w:rsidRPr="0073145B" w:rsidRDefault="0073145B" w:rsidP="002F131C">
            <w:pPr>
              <w:jc w:val="center"/>
              <w:rPr>
                <w:rFonts w:ascii="Montserrat Medium" w:eastAsia="Times New Roman" w:hAnsi="Montserrat Medium" w:cs="Arial"/>
                <w:b/>
                <w:bCs/>
                <w:sz w:val="18"/>
                <w:szCs w:val="18"/>
                <w:lang w:eastAsia="en-US"/>
              </w:rPr>
            </w:pPr>
            <w:r w:rsidRPr="0073145B">
              <w:rPr>
                <w:rFonts w:ascii="Montserrat Medium" w:eastAsia="Times New Roman" w:hAnsi="Montserrat Medium" w:cs="Arial"/>
                <w:b/>
                <w:sz w:val="18"/>
                <w:szCs w:val="18"/>
                <w:lang w:eastAsia="en-US"/>
              </w:rPr>
              <w:t>Al 3</w:t>
            </w:r>
            <w:r w:rsidR="006114AD">
              <w:rPr>
                <w:rFonts w:ascii="Montserrat Medium" w:eastAsia="Times New Roman" w:hAnsi="Montserrat Medium" w:cs="Arial"/>
                <w:b/>
                <w:sz w:val="18"/>
                <w:szCs w:val="18"/>
                <w:lang w:eastAsia="en-US"/>
              </w:rPr>
              <w:t>0</w:t>
            </w:r>
            <w:r w:rsidRPr="0073145B">
              <w:rPr>
                <w:rFonts w:ascii="Montserrat Medium" w:eastAsia="Times New Roman" w:hAnsi="Montserrat Medium" w:cs="Arial"/>
                <w:b/>
                <w:sz w:val="18"/>
                <w:szCs w:val="18"/>
                <w:lang w:eastAsia="en-US"/>
              </w:rPr>
              <w:t xml:space="preserve"> de </w:t>
            </w:r>
            <w:r w:rsidR="006114AD">
              <w:rPr>
                <w:rFonts w:ascii="Montserrat Medium" w:eastAsia="Times New Roman" w:hAnsi="Montserrat Medium" w:cs="Arial"/>
                <w:b/>
                <w:sz w:val="18"/>
                <w:szCs w:val="18"/>
                <w:lang w:eastAsia="en-US"/>
              </w:rPr>
              <w:t>junio</w:t>
            </w:r>
            <w:r w:rsidRPr="0073145B">
              <w:rPr>
                <w:rFonts w:ascii="Montserrat Medium" w:eastAsia="Times New Roman" w:hAnsi="Montserrat Medium" w:cs="Arial"/>
                <w:b/>
                <w:sz w:val="18"/>
                <w:szCs w:val="18"/>
                <w:lang w:eastAsia="en-US"/>
              </w:rPr>
              <w:t xml:space="preserve"> de 2025</w:t>
            </w:r>
          </w:p>
        </w:tc>
      </w:tr>
      <w:tr w:rsidR="006114AD" w:rsidRPr="0073145B" w14:paraId="7ED878A6" w14:textId="77777777" w:rsidTr="006114AD">
        <w:trPr>
          <w:trHeight w:hRule="exact" w:val="255"/>
          <w:jc w:val="center"/>
        </w:trPr>
        <w:tc>
          <w:tcPr>
            <w:tcW w:w="4564" w:type="dxa"/>
            <w:tcBorders>
              <w:top w:val="single" w:sz="4" w:space="0" w:color="auto"/>
              <w:right w:val="single" w:sz="4" w:space="0" w:color="000000"/>
            </w:tcBorders>
            <w:shd w:val="clear" w:color="auto" w:fill="auto"/>
            <w:vAlign w:val="center"/>
            <w:hideMark/>
          </w:tcPr>
          <w:p w14:paraId="04B7E873" w14:textId="77777777" w:rsidR="006114AD" w:rsidRPr="0073145B" w:rsidRDefault="006114AD" w:rsidP="002F131C">
            <w:pPr>
              <w:jc w:val="both"/>
              <w:rPr>
                <w:rFonts w:ascii="Montserrat Medium" w:eastAsia="Times New Roman" w:hAnsi="Montserrat Medium" w:cs="Arial"/>
                <w:sz w:val="18"/>
                <w:szCs w:val="18"/>
                <w:lang w:eastAsia="en-US"/>
              </w:rPr>
            </w:pPr>
            <w:r w:rsidRPr="0073145B">
              <w:rPr>
                <w:rFonts w:ascii="Montserrat Medium" w:eastAsia="Times New Roman" w:hAnsi="Montserrat Medium" w:cs="Arial"/>
                <w:sz w:val="18"/>
                <w:szCs w:val="18"/>
                <w:lang w:eastAsia="en-US"/>
              </w:rPr>
              <w:t>Ley de ingresos estimada</w:t>
            </w:r>
          </w:p>
        </w:tc>
        <w:tc>
          <w:tcPr>
            <w:tcW w:w="1762" w:type="dxa"/>
            <w:tcBorders>
              <w:top w:val="single" w:sz="4" w:space="0" w:color="000000"/>
              <w:left w:val="single" w:sz="4" w:space="0" w:color="000000"/>
              <w:bottom w:val="nil"/>
              <w:right w:val="single" w:sz="4" w:space="0" w:color="000000"/>
            </w:tcBorders>
            <w:shd w:val="clear" w:color="auto" w:fill="auto"/>
            <w:vAlign w:val="center"/>
          </w:tcPr>
          <w:p w14:paraId="1E5D4890" w14:textId="34BFFC65" w:rsidR="006114AD" w:rsidRPr="006114AD" w:rsidRDefault="006114AD" w:rsidP="002F131C">
            <w:pPr>
              <w:jc w:val="right"/>
              <w:rPr>
                <w:rFonts w:ascii="Montserrat Medium" w:eastAsia="Times New Roman" w:hAnsi="Montserrat Medium" w:cs="Arial"/>
                <w:sz w:val="18"/>
                <w:szCs w:val="18"/>
                <w:lang w:eastAsia="en-US"/>
              </w:rPr>
            </w:pPr>
            <w:r w:rsidRPr="006114AD">
              <w:rPr>
                <w:rFonts w:ascii="Montserrat Medium" w:hAnsi="Montserrat Medium" w:cs="Calibri"/>
                <w:color w:val="000000"/>
                <w:sz w:val="18"/>
                <w:szCs w:val="18"/>
              </w:rPr>
              <w:t>51,473,800,044.00</w:t>
            </w:r>
          </w:p>
        </w:tc>
      </w:tr>
      <w:tr w:rsidR="006114AD" w:rsidRPr="0073145B" w14:paraId="5E970B29" w14:textId="77777777" w:rsidTr="006114AD">
        <w:trPr>
          <w:trHeight w:hRule="exact" w:val="255"/>
          <w:jc w:val="center"/>
        </w:trPr>
        <w:tc>
          <w:tcPr>
            <w:tcW w:w="4564" w:type="dxa"/>
            <w:tcBorders>
              <w:right w:val="single" w:sz="4" w:space="0" w:color="000000"/>
            </w:tcBorders>
            <w:shd w:val="clear" w:color="auto" w:fill="auto"/>
            <w:vAlign w:val="center"/>
            <w:hideMark/>
          </w:tcPr>
          <w:p w14:paraId="519976B5" w14:textId="77777777" w:rsidR="006114AD" w:rsidRPr="0073145B" w:rsidRDefault="006114AD" w:rsidP="002F131C">
            <w:pPr>
              <w:jc w:val="both"/>
              <w:rPr>
                <w:rFonts w:ascii="Montserrat Medium" w:eastAsia="Times New Roman" w:hAnsi="Montserrat Medium" w:cs="Arial"/>
                <w:sz w:val="18"/>
                <w:szCs w:val="18"/>
                <w:lang w:eastAsia="en-US"/>
              </w:rPr>
            </w:pPr>
            <w:r w:rsidRPr="0073145B">
              <w:rPr>
                <w:rFonts w:ascii="Montserrat Medium" w:eastAsia="Times New Roman" w:hAnsi="Montserrat Medium" w:cs="Arial"/>
                <w:sz w:val="18"/>
                <w:szCs w:val="18"/>
                <w:lang w:eastAsia="en-US"/>
              </w:rPr>
              <w:t>Ley de ingresos por ejecutar</w:t>
            </w:r>
          </w:p>
        </w:tc>
        <w:tc>
          <w:tcPr>
            <w:tcW w:w="1762" w:type="dxa"/>
            <w:tcBorders>
              <w:top w:val="nil"/>
              <w:left w:val="single" w:sz="4" w:space="0" w:color="000000"/>
              <w:bottom w:val="nil"/>
              <w:right w:val="single" w:sz="4" w:space="0" w:color="000000"/>
            </w:tcBorders>
            <w:shd w:val="clear" w:color="auto" w:fill="auto"/>
            <w:vAlign w:val="center"/>
          </w:tcPr>
          <w:p w14:paraId="076BE815" w14:textId="44CD99FD" w:rsidR="006114AD" w:rsidRPr="006114AD" w:rsidRDefault="006114AD" w:rsidP="002F131C">
            <w:pPr>
              <w:jc w:val="right"/>
              <w:rPr>
                <w:rFonts w:ascii="Montserrat Medium" w:eastAsia="Times New Roman" w:hAnsi="Montserrat Medium" w:cs="Arial"/>
                <w:sz w:val="18"/>
                <w:szCs w:val="18"/>
                <w:lang w:eastAsia="en-US"/>
              </w:rPr>
            </w:pPr>
            <w:r w:rsidRPr="006114AD">
              <w:rPr>
                <w:rFonts w:ascii="Montserrat Medium" w:hAnsi="Montserrat Medium" w:cs="Calibri"/>
                <w:color w:val="000000"/>
                <w:sz w:val="18"/>
                <w:szCs w:val="18"/>
              </w:rPr>
              <w:t>51,473,800,044.00</w:t>
            </w:r>
          </w:p>
        </w:tc>
      </w:tr>
      <w:tr w:rsidR="006114AD" w:rsidRPr="0073145B" w14:paraId="6C53B811" w14:textId="77777777" w:rsidTr="006114AD">
        <w:trPr>
          <w:trHeight w:hRule="exact" w:val="255"/>
          <w:jc w:val="center"/>
        </w:trPr>
        <w:tc>
          <w:tcPr>
            <w:tcW w:w="4564" w:type="dxa"/>
            <w:tcBorders>
              <w:right w:val="single" w:sz="4" w:space="0" w:color="000000"/>
            </w:tcBorders>
            <w:shd w:val="clear" w:color="auto" w:fill="auto"/>
            <w:vAlign w:val="center"/>
            <w:hideMark/>
          </w:tcPr>
          <w:p w14:paraId="63941E2D" w14:textId="77777777" w:rsidR="006114AD" w:rsidRPr="0073145B" w:rsidRDefault="006114AD" w:rsidP="002F131C">
            <w:pPr>
              <w:jc w:val="both"/>
              <w:rPr>
                <w:rFonts w:ascii="Montserrat Medium" w:eastAsia="Times New Roman" w:hAnsi="Montserrat Medium" w:cs="Arial"/>
                <w:sz w:val="18"/>
                <w:szCs w:val="18"/>
                <w:lang w:eastAsia="en-US"/>
              </w:rPr>
            </w:pPr>
            <w:r w:rsidRPr="0073145B">
              <w:rPr>
                <w:rFonts w:ascii="Montserrat Medium" w:eastAsia="Times New Roman" w:hAnsi="Montserrat Medium" w:cs="Arial"/>
                <w:sz w:val="18"/>
                <w:szCs w:val="18"/>
                <w:lang w:eastAsia="en-US"/>
              </w:rPr>
              <w:t>Modificaciones a la Ley de Ingresos estimada</w:t>
            </w:r>
          </w:p>
        </w:tc>
        <w:tc>
          <w:tcPr>
            <w:tcW w:w="1762" w:type="dxa"/>
            <w:tcBorders>
              <w:top w:val="nil"/>
              <w:left w:val="single" w:sz="4" w:space="0" w:color="000000"/>
              <w:bottom w:val="nil"/>
              <w:right w:val="single" w:sz="4" w:space="0" w:color="000000"/>
            </w:tcBorders>
            <w:shd w:val="clear" w:color="auto" w:fill="auto"/>
            <w:vAlign w:val="center"/>
          </w:tcPr>
          <w:p w14:paraId="44568EF8" w14:textId="79FD45CB" w:rsidR="006114AD" w:rsidRPr="006114AD" w:rsidRDefault="006114AD" w:rsidP="002F131C">
            <w:pPr>
              <w:jc w:val="right"/>
              <w:rPr>
                <w:rFonts w:ascii="Montserrat Medium" w:eastAsia="Times New Roman" w:hAnsi="Montserrat Medium" w:cs="Arial"/>
                <w:sz w:val="18"/>
                <w:szCs w:val="18"/>
                <w:lang w:eastAsia="en-US"/>
              </w:rPr>
            </w:pPr>
            <w:r w:rsidRPr="006114AD">
              <w:rPr>
                <w:rFonts w:ascii="Montserrat Medium" w:hAnsi="Montserrat Medium" w:cs="Calibri"/>
                <w:color w:val="000000"/>
                <w:sz w:val="18"/>
                <w:szCs w:val="18"/>
              </w:rPr>
              <w:t>0.00</w:t>
            </w:r>
          </w:p>
        </w:tc>
      </w:tr>
      <w:tr w:rsidR="006114AD" w:rsidRPr="0073145B" w14:paraId="1FE47D89" w14:textId="77777777" w:rsidTr="006114AD">
        <w:trPr>
          <w:trHeight w:hRule="exact" w:val="255"/>
          <w:jc w:val="center"/>
        </w:trPr>
        <w:tc>
          <w:tcPr>
            <w:tcW w:w="4564" w:type="dxa"/>
            <w:tcBorders>
              <w:right w:val="single" w:sz="4" w:space="0" w:color="000000"/>
            </w:tcBorders>
            <w:shd w:val="clear" w:color="auto" w:fill="auto"/>
            <w:vAlign w:val="center"/>
            <w:hideMark/>
          </w:tcPr>
          <w:p w14:paraId="62C95FF5" w14:textId="77777777" w:rsidR="006114AD" w:rsidRPr="0073145B" w:rsidRDefault="006114AD" w:rsidP="002F131C">
            <w:pPr>
              <w:jc w:val="both"/>
              <w:rPr>
                <w:rFonts w:ascii="Montserrat Medium" w:eastAsia="Times New Roman" w:hAnsi="Montserrat Medium" w:cs="Arial"/>
                <w:sz w:val="18"/>
                <w:szCs w:val="18"/>
                <w:lang w:eastAsia="en-US"/>
              </w:rPr>
            </w:pPr>
            <w:r w:rsidRPr="0073145B">
              <w:rPr>
                <w:rFonts w:ascii="Montserrat Medium" w:eastAsia="Times New Roman" w:hAnsi="Montserrat Medium" w:cs="Arial"/>
                <w:sz w:val="18"/>
                <w:szCs w:val="18"/>
                <w:lang w:eastAsia="en-US"/>
              </w:rPr>
              <w:t>Ley de ingresos devengada</w:t>
            </w:r>
          </w:p>
        </w:tc>
        <w:tc>
          <w:tcPr>
            <w:tcW w:w="1762" w:type="dxa"/>
            <w:tcBorders>
              <w:top w:val="nil"/>
              <w:left w:val="single" w:sz="4" w:space="0" w:color="000000"/>
              <w:bottom w:val="nil"/>
              <w:right w:val="single" w:sz="4" w:space="0" w:color="000000"/>
            </w:tcBorders>
            <w:shd w:val="clear" w:color="auto" w:fill="auto"/>
            <w:vAlign w:val="center"/>
          </w:tcPr>
          <w:p w14:paraId="6273168A" w14:textId="282FC446" w:rsidR="006114AD" w:rsidRPr="006114AD" w:rsidRDefault="006114AD" w:rsidP="002F131C">
            <w:pPr>
              <w:jc w:val="right"/>
              <w:rPr>
                <w:rFonts w:ascii="Montserrat Medium" w:eastAsia="Times New Roman" w:hAnsi="Montserrat Medium" w:cs="Arial"/>
                <w:sz w:val="18"/>
                <w:szCs w:val="18"/>
                <w:lang w:eastAsia="en-US"/>
              </w:rPr>
            </w:pPr>
            <w:r w:rsidRPr="006114AD">
              <w:rPr>
                <w:rFonts w:ascii="Montserrat Medium" w:hAnsi="Montserrat Medium" w:cs="Calibri"/>
                <w:color w:val="000000"/>
                <w:sz w:val="18"/>
                <w:szCs w:val="18"/>
              </w:rPr>
              <w:t>27,957,765,404.39</w:t>
            </w:r>
          </w:p>
        </w:tc>
      </w:tr>
      <w:tr w:rsidR="006114AD" w:rsidRPr="0073145B" w14:paraId="0A9ECE1B" w14:textId="77777777" w:rsidTr="006114AD">
        <w:trPr>
          <w:trHeight w:hRule="exact" w:val="255"/>
          <w:jc w:val="center"/>
        </w:trPr>
        <w:tc>
          <w:tcPr>
            <w:tcW w:w="4564" w:type="dxa"/>
            <w:tcBorders>
              <w:bottom w:val="single" w:sz="4" w:space="0" w:color="auto"/>
              <w:right w:val="single" w:sz="4" w:space="0" w:color="000000"/>
            </w:tcBorders>
            <w:shd w:val="clear" w:color="auto" w:fill="auto"/>
            <w:vAlign w:val="center"/>
            <w:hideMark/>
          </w:tcPr>
          <w:p w14:paraId="1BB0A632" w14:textId="77777777" w:rsidR="006114AD" w:rsidRPr="0073145B" w:rsidRDefault="006114AD" w:rsidP="002F131C">
            <w:pPr>
              <w:jc w:val="both"/>
              <w:rPr>
                <w:rFonts w:ascii="Montserrat Medium" w:eastAsia="Times New Roman" w:hAnsi="Montserrat Medium" w:cs="Arial"/>
                <w:sz w:val="18"/>
                <w:szCs w:val="18"/>
                <w:lang w:eastAsia="en-US"/>
              </w:rPr>
            </w:pPr>
            <w:r w:rsidRPr="0073145B">
              <w:rPr>
                <w:rFonts w:ascii="Montserrat Medium" w:eastAsia="Times New Roman" w:hAnsi="Montserrat Medium" w:cs="Arial"/>
                <w:sz w:val="18"/>
                <w:szCs w:val="18"/>
                <w:lang w:eastAsia="en-US"/>
              </w:rPr>
              <w:t>Ley de ingresos recaudada</w:t>
            </w:r>
          </w:p>
        </w:tc>
        <w:tc>
          <w:tcPr>
            <w:tcW w:w="1762" w:type="dxa"/>
            <w:tcBorders>
              <w:top w:val="nil"/>
              <w:left w:val="single" w:sz="4" w:space="0" w:color="000000"/>
              <w:bottom w:val="single" w:sz="4" w:space="0" w:color="000000"/>
              <w:right w:val="single" w:sz="4" w:space="0" w:color="000000"/>
            </w:tcBorders>
            <w:shd w:val="clear" w:color="auto" w:fill="auto"/>
            <w:vAlign w:val="center"/>
          </w:tcPr>
          <w:p w14:paraId="62E49332" w14:textId="73E4E7F0" w:rsidR="006114AD" w:rsidRPr="006114AD" w:rsidRDefault="006114AD" w:rsidP="002F131C">
            <w:pPr>
              <w:jc w:val="right"/>
              <w:rPr>
                <w:rFonts w:ascii="Montserrat Medium" w:eastAsia="Times New Roman" w:hAnsi="Montserrat Medium" w:cs="Arial"/>
                <w:sz w:val="18"/>
                <w:szCs w:val="18"/>
                <w:lang w:eastAsia="en-US"/>
              </w:rPr>
            </w:pPr>
            <w:r w:rsidRPr="006114AD">
              <w:rPr>
                <w:rFonts w:ascii="Montserrat Medium" w:hAnsi="Montserrat Medium" w:cs="Calibri"/>
                <w:color w:val="000000"/>
                <w:sz w:val="18"/>
                <w:szCs w:val="18"/>
              </w:rPr>
              <w:t>27,957,765,404.39</w:t>
            </w:r>
          </w:p>
        </w:tc>
      </w:tr>
    </w:tbl>
    <w:p w14:paraId="34BCD2A4" w14:textId="0C104DC3" w:rsidR="00437BAF" w:rsidRPr="00D56579" w:rsidRDefault="00437BAF" w:rsidP="002F131C">
      <w:pPr>
        <w:rPr>
          <w:rFonts w:ascii="Montserrat Medium" w:eastAsia="Times New Roman" w:hAnsi="Montserrat Medium" w:cs="Arial"/>
          <w:color w:val="595959"/>
          <w:sz w:val="20"/>
          <w:szCs w:val="20"/>
          <w:lang w:eastAsia="en-US"/>
        </w:rPr>
      </w:pPr>
    </w:p>
    <w:p w14:paraId="4AE99A32" w14:textId="5F925D6A" w:rsidR="00E237A6" w:rsidRPr="00D56579" w:rsidRDefault="001E3866" w:rsidP="002F131C">
      <w:pPr>
        <w:rPr>
          <w:rFonts w:ascii="Montserrat Medium" w:eastAsia="Times New Roman" w:hAnsi="Montserrat Medium" w:cs="Arial"/>
          <w:color w:val="595959"/>
          <w:lang w:eastAsia="en-US"/>
        </w:rPr>
      </w:pPr>
      <w:r w:rsidRPr="00D56579">
        <w:rPr>
          <w:rFonts w:ascii="Montserrat Medium" w:eastAsia="Times New Roman" w:hAnsi="Montserrat Medium" w:cs="Arial"/>
          <w:color w:val="595959"/>
          <w:lang w:eastAsia="en-US"/>
        </w:rPr>
        <w:t xml:space="preserve">Respecto al ejercicio del Presupuesto de Egresos las cuentas que fueron afectadas son las siguientes: </w:t>
      </w:r>
    </w:p>
    <w:p w14:paraId="7ECD47FA" w14:textId="77777777" w:rsidR="00B923F2" w:rsidRPr="00D56579" w:rsidRDefault="00B923F2" w:rsidP="002F131C">
      <w:pPr>
        <w:jc w:val="both"/>
        <w:rPr>
          <w:rFonts w:ascii="Montserrat Medium" w:eastAsia="Times New Roman" w:hAnsi="Montserrat Medium" w:cs="Arial"/>
          <w:color w:val="595959"/>
          <w:sz w:val="20"/>
          <w:szCs w:val="20"/>
          <w:lang w:eastAsia="en-US"/>
        </w:rPr>
      </w:pPr>
    </w:p>
    <w:tbl>
      <w:tblPr>
        <w:tblW w:w="6624" w:type="dxa"/>
        <w:jc w:val="center"/>
        <w:tblCellMar>
          <w:left w:w="70" w:type="dxa"/>
          <w:right w:w="70" w:type="dxa"/>
        </w:tblCellMar>
        <w:tblLook w:val="04A0" w:firstRow="1" w:lastRow="0" w:firstColumn="1" w:lastColumn="0" w:noHBand="0" w:noVBand="1"/>
      </w:tblPr>
      <w:tblGrid>
        <w:gridCol w:w="4482"/>
        <w:gridCol w:w="2142"/>
      </w:tblGrid>
      <w:tr w:rsidR="0073145B" w:rsidRPr="0073145B" w14:paraId="52A3D371" w14:textId="5F7C7289" w:rsidTr="00686B85">
        <w:trPr>
          <w:trHeight w:hRule="exact" w:val="651"/>
          <w:tblHeader/>
          <w:jc w:val="center"/>
        </w:trPr>
        <w:tc>
          <w:tcPr>
            <w:tcW w:w="448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44F3D87" w14:textId="77777777" w:rsidR="0073145B" w:rsidRPr="0073145B" w:rsidRDefault="0073145B" w:rsidP="002F131C">
            <w:pPr>
              <w:jc w:val="center"/>
              <w:rPr>
                <w:rFonts w:ascii="Montserrat Medium" w:eastAsia="Times New Roman" w:hAnsi="Montserrat Medium" w:cs="Arial"/>
                <w:b/>
                <w:bCs/>
                <w:sz w:val="18"/>
                <w:szCs w:val="18"/>
                <w:lang w:eastAsia="en-US"/>
              </w:rPr>
            </w:pPr>
            <w:r w:rsidRPr="0073145B">
              <w:rPr>
                <w:rFonts w:ascii="Montserrat Medium" w:eastAsia="Times New Roman" w:hAnsi="Montserrat Medium" w:cs="Arial"/>
                <w:b/>
                <w:bCs/>
                <w:sz w:val="18"/>
                <w:szCs w:val="18"/>
                <w:lang w:eastAsia="en-US"/>
              </w:rPr>
              <w:t>Concepto</w:t>
            </w:r>
          </w:p>
        </w:tc>
        <w:tc>
          <w:tcPr>
            <w:tcW w:w="21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42D640" w14:textId="78E5B0FC" w:rsidR="0073145B" w:rsidRPr="0073145B" w:rsidRDefault="006D4017" w:rsidP="002F131C">
            <w:pPr>
              <w:jc w:val="center"/>
              <w:rPr>
                <w:rFonts w:ascii="Montserrat Medium" w:eastAsia="Times New Roman" w:hAnsi="Montserrat Medium" w:cs="Arial"/>
                <w:b/>
                <w:sz w:val="18"/>
                <w:szCs w:val="18"/>
                <w:lang w:eastAsia="en-US"/>
              </w:rPr>
            </w:pPr>
            <w:r>
              <w:rPr>
                <w:rFonts w:ascii="Montserrat Medium" w:eastAsia="Times New Roman" w:hAnsi="Montserrat Medium" w:cs="Arial"/>
                <w:b/>
                <w:sz w:val="18"/>
                <w:szCs w:val="18"/>
                <w:lang w:eastAsia="en-US"/>
              </w:rPr>
              <w:t>Al 30</w:t>
            </w:r>
            <w:r w:rsidR="0073145B" w:rsidRPr="0073145B">
              <w:rPr>
                <w:rFonts w:ascii="Montserrat Medium" w:eastAsia="Times New Roman" w:hAnsi="Montserrat Medium" w:cs="Arial"/>
                <w:b/>
                <w:sz w:val="18"/>
                <w:szCs w:val="18"/>
                <w:lang w:eastAsia="en-US"/>
              </w:rPr>
              <w:t xml:space="preserve"> de </w:t>
            </w:r>
            <w:r>
              <w:rPr>
                <w:rFonts w:ascii="Montserrat Medium" w:eastAsia="Times New Roman" w:hAnsi="Montserrat Medium" w:cs="Arial"/>
                <w:b/>
                <w:sz w:val="18"/>
                <w:szCs w:val="18"/>
                <w:lang w:eastAsia="en-US"/>
              </w:rPr>
              <w:t>junio</w:t>
            </w:r>
            <w:r w:rsidR="0073145B" w:rsidRPr="0073145B">
              <w:rPr>
                <w:rFonts w:ascii="Montserrat Medium" w:eastAsia="Times New Roman" w:hAnsi="Montserrat Medium" w:cs="Arial"/>
                <w:b/>
                <w:sz w:val="18"/>
                <w:szCs w:val="18"/>
                <w:lang w:eastAsia="en-US"/>
              </w:rPr>
              <w:t xml:space="preserve"> de 2025</w:t>
            </w:r>
          </w:p>
        </w:tc>
      </w:tr>
      <w:tr w:rsidR="006D4017" w:rsidRPr="0073145B" w14:paraId="553E9524" w14:textId="53221EFB" w:rsidTr="0073145B">
        <w:trPr>
          <w:trHeight w:hRule="exact" w:val="227"/>
          <w:jc w:val="center"/>
        </w:trPr>
        <w:tc>
          <w:tcPr>
            <w:tcW w:w="4482" w:type="dxa"/>
            <w:tcBorders>
              <w:top w:val="single" w:sz="4" w:space="0" w:color="auto"/>
              <w:left w:val="single" w:sz="4" w:space="0" w:color="auto"/>
              <w:bottom w:val="nil"/>
              <w:right w:val="single" w:sz="4" w:space="0" w:color="auto"/>
            </w:tcBorders>
            <w:shd w:val="clear" w:color="auto" w:fill="auto"/>
            <w:vAlign w:val="center"/>
            <w:hideMark/>
          </w:tcPr>
          <w:p w14:paraId="71F375A8" w14:textId="77777777" w:rsidR="006D4017" w:rsidRPr="0073145B" w:rsidRDefault="006D4017" w:rsidP="002F131C">
            <w:pPr>
              <w:jc w:val="both"/>
              <w:rPr>
                <w:rFonts w:ascii="Montserrat Medium" w:eastAsia="Times New Roman" w:hAnsi="Montserrat Medium" w:cs="Arial"/>
                <w:sz w:val="18"/>
                <w:szCs w:val="18"/>
                <w:lang w:eastAsia="en-US"/>
              </w:rPr>
            </w:pPr>
            <w:r w:rsidRPr="0073145B">
              <w:rPr>
                <w:rFonts w:ascii="Montserrat Medium" w:eastAsia="Times New Roman" w:hAnsi="Montserrat Medium" w:cs="Arial"/>
                <w:sz w:val="18"/>
                <w:szCs w:val="18"/>
                <w:lang w:eastAsia="en-US"/>
              </w:rPr>
              <w:t>Presupuesto de egresos aprobado</w:t>
            </w:r>
          </w:p>
        </w:tc>
        <w:tc>
          <w:tcPr>
            <w:tcW w:w="2142" w:type="dxa"/>
            <w:tcBorders>
              <w:top w:val="single" w:sz="4" w:space="0" w:color="auto"/>
              <w:left w:val="single" w:sz="4" w:space="0" w:color="auto"/>
              <w:bottom w:val="nil"/>
              <w:right w:val="single" w:sz="4" w:space="0" w:color="auto"/>
            </w:tcBorders>
            <w:vAlign w:val="center"/>
          </w:tcPr>
          <w:p w14:paraId="5F0B52D5" w14:textId="3868EBC5" w:rsidR="006D4017" w:rsidRPr="006D4017" w:rsidRDefault="006D4017" w:rsidP="002F131C">
            <w:pPr>
              <w:jc w:val="right"/>
              <w:rPr>
                <w:rFonts w:ascii="Montserrat Medium" w:hAnsi="Montserrat Medium" w:cs="Calibri"/>
                <w:sz w:val="18"/>
                <w:szCs w:val="18"/>
              </w:rPr>
            </w:pPr>
            <w:r w:rsidRPr="006D4017">
              <w:rPr>
                <w:rFonts w:ascii="Montserrat Medium" w:hAnsi="Montserrat Medium" w:cs="Calibri"/>
                <w:color w:val="000000"/>
                <w:sz w:val="18"/>
                <w:szCs w:val="18"/>
              </w:rPr>
              <w:t>51,473,800,044.00</w:t>
            </w:r>
          </w:p>
        </w:tc>
      </w:tr>
      <w:tr w:rsidR="006D4017" w:rsidRPr="0073145B" w14:paraId="4FD6618D" w14:textId="50759270" w:rsidTr="0073145B">
        <w:trPr>
          <w:trHeight w:hRule="exact" w:val="227"/>
          <w:jc w:val="center"/>
        </w:trPr>
        <w:tc>
          <w:tcPr>
            <w:tcW w:w="4482" w:type="dxa"/>
            <w:tcBorders>
              <w:top w:val="nil"/>
              <w:left w:val="single" w:sz="4" w:space="0" w:color="auto"/>
              <w:bottom w:val="nil"/>
              <w:right w:val="single" w:sz="4" w:space="0" w:color="auto"/>
            </w:tcBorders>
            <w:shd w:val="clear" w:color="auto" w:fill="auto"/>
            <w:vAlign w:val="center"/>
            <w:hideMark/>
          </w:tcPr>
          <w:p w14:paraId="5CEC6B14" w14:textId="77777777" w:rsidR="006D4017" w:rsidRPr="0073145B" w:rsidRDefault="006D4017" w:rsidP="002F131C">
            <w:pPr>
              <w:jc w:val="both"/>
              <w:rPr>
                <w:rFonts w:ascii="Montserrat Medium" w:eastAsia="Times New Roman" w:hAnsi="Montserrat Medium" w:cs="Arial"/>
                <w:sz w:val="18"/>
                <w:szCs w:val="18"/>
                <w:lang w:eastAsia="en-US"/>
              </w:rPr>
            </w:pPr>
            <w:r w:rsidRPr="0073145B">
              <w:rPr>
                <w:rFonts w:ascii="Montserrat Medium" w:eastAsia="Times New Roman" w:hAnsi="Montserrat Medium" w:cs="Arial"/>
                <w:sz w:val="18"/>
                <w:szCs w:val="18"/>
                <w:lang w:eastAsia="en-US"/>
              </w:rPr>
              <w:t>Presupuesto de egresos por ejercer</w:t>
            </w:r>
          </w:p>
        </w:tc>
        <w:tc>
          <w:tcPr>
            <w:tcW w:w="2142" w:type="dxa"/>
            <w:tcBorders>
              <w:top w:val="nil"/>
              <w:left w:val="single" w:sz="4" w:space="0" w:color="auto"/>
              <w:bottom w:val="nil"/>
              <w:right w:val="single" w:sz="4" w:space="0" w:color="auto"/>
            </w:tcBorders>
            <w:vAlign w:val="center"/>
          </w:tcPr>
          <w:p w14:paraId="497FC374" w14:textId="56A8C267" w:rsidR="006D4017" w:rsidRPr="006D4017" w:rsidRDefault="006D4017" w:rsidP="002F131C">
            <w:pPr>
              <w:jc w:val="right"/>
              <w:rPr>
                <w:rFonts w:ascii="Montserrat Medium" w:hAnsi="Montserrat Medium" w:cs="Calibri"/>
                <w:sz w:val="18"/>
                <w:szCs w:val="18"/>
              </w:rPr>
            </w:pPr>
            <w:r w:rsidRPr="006D4017">
              <w:rPr>
                <w:rFonts w:ascii="Montserrat Medium" w:hAnsi="Montserrat Medium" w:cs="Calibri"/>
                <w:color w:val="000000"/>
                <w:sz w:val="18"/>
                <w:szCs w:val="18"/>
              </w:rPr>
              <w:t>55,964,006,249.43</w:t>
            </w:r>
          </w:p>
        </w:tc>
      </w:tr>
      <w:tr w:rsidR="006D4017" w:rsidRPr="0073145B" w14:paraId="40D1C4D6" w14:textId="457A2124" w:rsidTr="0073145B">
        <w:trPr>
          <w:trHeight w:hRule="exact" w:val="227"/>
          <w:jc w:val="center"/>
        </w:trPr>
        <w:tc>
          <w:tcPr>
            <w:tcW w:w="4482" w:type="dxa"/>
            <w:tcBorders>
              <w:top w:val="nil"/>
              <w:left w:val="single" w:sz="4" w:space="0" w:color="auto"/>
              <w:right w:val="single" w:sz="4" w:space="0" w:color="auto"/>
            </w:tcBorders>
            <w:shd w:val="clear" w:color="auto" w:fill="auto"/>
            <w:vAlign w:val="center"/>
            <w:hideMark/>
          </w:tcPr>
          <w:p w14:paraId="6E694446" w14:textId="77777777" w:rsidR="006D4017" w:rsidRPr="0073145B" w:rsidRDefault="006D4017" w:rsidP="002F131C">
            <w:pPr>
              <w:rPr>
                <w:rFonts w:ascii="Montserrat Medium" w:eastAsia="Times New Roman" w:hAnsi="Montserrat Medium" w:cs="Arial"/>
                <w:sz w:val="18"/>
                <w:szCs w:val="18"/>
                <w:lang w:eastAsia="en-US"/>
              </w:rPr>
            </w:pPr>
            <w:r w:rsidRPr="0073145B">
              <w:rPr>
                <w:rFonts w:ascii="Montserrat Medium" w:eastAsia="Times New Roman" w:hAnsi="Montserrat Medium" w:cs="Arial"/>
                <w:sz w:val="18"/>
                <w:szCs w:val="18"/>
                <w:lang w:eastAsia="en-US"/>
              </w:rPr>
              <w:t>Modificaciones al presupuesto de egresos aprobado</w:t>
            </w:r>
          </w:p>
        </w:tc>
        <w:tc>
          <w:tcPr>
            <w:tcW w:w="2142" w:type="dxa"/>
            <w:tcBorders>
              <w:top w:val="nil"/>
              <w:left w:val="single" w:sz="4" w:space="0" w:color="auto"/>
              <w:right w:val="single" w:sz="4" w:space="0" w:color="auto"/>
            </w:tcBorders>
            <w:vAlign w:val="center"/>
          </w:tcPr>
          <w:p w14:paraId="79564069" w14:textId="092C72C9" w:rsidR="006D4017" w:rsidRPr="006D4017" w:rsidRDefault="006D4017" w:rsidP="002F131C">
            <w:pPr>
              <w:jc w:val="right"/>
              <w:rPr>
                <w:rFonts w:ascii="Montserrat Medium" w:hAnsi="Montserrat Medium" w:cs="Calibri"/>
                <w:sz w:val="18"/>
                <w:szCs w:val="18"/>
              </w:rPr>
            </w:pPr>
            <w:r w:rsidRPr="006D4017">
              <w:rPr>
                <w:rFonts w:ascii="Montserrat Medium" w:hAnsi="Montserrat Medium" w:cs="Calibri"/>
                <w:color w:val="000000"/>
                <w:sz w:val="18"/>
                <w:szCs w:val="18"/>
              </w:rPr>
              <w:t>4,490,206,205.43</w:t>
            </w:r>
          </w:p>
        </w:tc>
      </w:tr>
      <w:tr w:rsidR="006D4017" w:rsidRPr="0073145B" w14:paraId="0C401418" w14:textId="7CF1F048" w:rsidTr="0073145B">
        <w:trPr>
          <w:trHeight w:hRule="exact" w:val="227"/>
          <w:jc w:val="center"/>
        </w:trPr>
        <w:tc>
          <w:tcPr>
            <w:tcW w:w="4482" w:type="dxa"/>
            <w:tcBorders>
              <w:top w:val="nil"/>
              <w:left w:val="single" w:sz="4" w:space="0" w:color="auto"/>
              <w:right w:val="single" w:sz="4" w:space="0" w:color="auto"/>
            </w:tcBorders>
            <w:shd w:val="clear" w:color="auto" w:fill="auto"/>
            <w:vAlign w:val="center"/>
            <w:hideMark/>
          </w:tcPr>
          <w:p w14:paraId="4A790ECC" w14:textId="77777777" w:rsidR="006D4017" w:rsidRPr="0073145B" w:rsidRDefault="006D4017" w:rsidP="002F131C">
            <w:pPr>
              <w:jc w:val="both"/>
              <w:rPr>
                <w:rFonts w:ascii="Montserrat Medium" w:eastAsia="Times New Roman" w:hAnsi="Montserrat Medium" w:cs="Arial"/>
                <w:sz w:val="18"/>
                <w:szCs w:val="18"/>
                <w:lang w:eastAsia="en-US"/>
              </w:rPr>
            </w:pPr>
            <w:r w:rsidRPr="0073145B">
              <w:rPr>
                <w:rFonts w:ascii="Montserrat Medium" w:eastAsia="Times New Roman" w:hAnsi="Montserrat Medium" w:cs="Arial"/>
                <w:sz w:val="18"/>
                <w:szCs w:val="18"/>
                <w:lang w:eastAsia="en-US"/>
              </w:rPr>
              <w:t>Presupuesto de egresos comprometido</w:t>
            </w:r>
          </w:p>
        </w:tc>
        <w:tc>
          <w:tcPr>
            <w:tcW w:w="2142" w:type="dxa"/>
            <w:tcBorders>
              <w:top w:val="nil"/>
              <w:left w:val="single" w:sz="4" w:space="0" w:color="auto"/>
              <w:right w:val="single" w:sz="4" w:space="0" w:color="auto"/>
            </w:tcBorders>
            <w:vAlign w:val="center"/>
          </w:tcPr>
          <w:p w14:paraId="689BE8F9" w14:textId="69CF4471" w:rsidR="006D4017" w:rsidRPr="006D4017" w:rsidRDefault="006D4017" w:rsidP="002F131C">
            <w:pPr>
              <w:jc w:val="right"/>
              <w:rPr>
                <w:rFonts w:ascii="Montserrat Medium" w:hAnsi="Montserrat Medium" w:cs="Calibri"/>
                <w:sz w:val="18"/>
                <w:szCs w:val="18"/>
              </w:rPr>
            </w:pPr>
            <w:r w:rsidRPr="006D4017">
              <w:rPr>
                <w:rFonts w:ascii="Montserrat Medium" w:hAnsi="Montserrat Medium" w:cs="Calibri"/>
                <w:color w:val="000000"/>
                <w:sz w:val="18"/>
                <w:szCs w:val="18"/>
              </w:rPr>
              <w:t>32,531,846,303.63</w:t>
            </w:r>
          </w:p>
        </w:tc>
      </w:tr>
      <w:tr w:rsidR="006D4017" w:rsidRPr="0073145B" w14:paraId="506770DA" w14:textId="40458B2C" w:rsidTr="0073145B">
        <w:trPr>
          <w:trHeight w:hRule="exact" w:val="227"/>
          <w:jc w:val="center"/>
        </w:trPr>
        <w:tc>
          <w:tcPr>
            <w:tcW w:w="4482" w:type="dxa"/>
            <w:tcBorders>
              <w:left w:val="single" w:sz="4" w:space="0" w:color="auto"/>
              <w:bottom w:val="nil"/>
              <w:right w:val="single" w:sz="4" w:space="0" w:color="auto"/>
            </w:tcBorders>
            <w:shd w:val="clear" w:color="auto" w:fill="auto"/>
            <w:vAlign w:val="center"/>
            <w:hideMark/>
          </w:tcPr>
          <w:p w14:paraId="114F97B1" w14:textId="77777777" w:rsidR="006D4017" w:rsidRPr="0073145B" w:rsidRDefault="006D4017" w:rsidP="002F131C">
            <w:pPr>
              <w:jc w:val="both"/>
              <w:rPr>
                <w:rFonts w:ascii="Montserrat Medium" w:eastAsia="Times New Roman" w:hAnsi="Montserrat Medium" w:cs="Arial"/>
                <w:sz w:val="18"/>
                <w:szCs w:val="18"/>
                <w:lang w:eastAsia="en-US"/>
              </w:rPr>
            </w:pPr>
            <w:r w:rsidRPr="0073145B">
              <w:rPr>
                <w:rFonts w:ascii="Montserrat Medium" w:eastAsia="Times New Roman" w:hAnsi="Montserrat Medium" w:cs="Arial"/>
                <w:sz w:val="18"/>
                <w:szCs w:val="18"/>
                <w:lang w:eastAsia="en-US"/>
              </w:rPr>
              <w:t>Presupuesto de egresos devengado</w:t>
            </w:r>
          </w:p>
        </w:tc>
        <w:tc>
          <w:tcPr>
            <w:tcW w:w="2142" w:type="dxa"/>
            <w:tcBorders>
              <w:left w:val="single" w:sz="4" w:space="0" w:color="auto"/>
              <w:bottom w:val="nil"/>
              <w:right w:val="single" w:sz="4" w:space="0" w:color="auto"/>
            </w:tcBorders>
            <w:vAlign w:val="center"/>
          </w:tcPr>
          <w:p w14:paraId="46F8F458" w14:textId="37337665" w:rsidR="006D4017" w:rsidRPr="006D4017" w:rsidRDefault="006D4017" w:rsidP="002F131C">
            <w:pPr>
              <w:jc w:val="right"/>
              <w:rPr>
                <w:rFonts w:ascii="Montserrat Medium" w:hAnsi="Montserrat Medium" w:cs="Calibri"/>
                <w:sz w:val="18"/>
                <w:szCs w:val="18"/>
              </w:rPr>
            </w:pPr>
            <w:r w:rsidRPr="006D4017">
              <w:rPr>
                <w:rFonts w:ascii="Montserrat Medium" w:hAnsi="Montserrat Medium" w:cs="Calibri"/>
                <w:color w:val="000000"/>
                <w:sz w:val="18"/>
                <w:szCs w:val="18"/>
              </w:rPr>
              <w:t>22,625,261,506.55</w:t>
            </w:r>
          </w:p>
        </w:tc>
      </w:tr>
      <w:tr w:rsidR="006D4017" w:rsidRPr="0073145B" w14:paraId="4015FBD1" w14:textId="57C2BA3F" w:rsidTr="0073145B">
        <w:trPr>
          <w:trHeight w:hRule="exact" w:val="227"/>
          <w:jc w:val="center"/>
        </w:trPr>
        <w:tc>
          <w:tcPr>
            <w:tcW w:w="4482" w:type="dxa"/>
            <w:tcBorders>
              <w:top w:val="nil"/>
              <w:left w:val="single" w:sz="4" w:space="0" w:color="auto"/>
              <w:bottom w:val="nil"/>
              <w:right w:val="single" w:sz="4" w:space="0" w:color="auto"/>
            </w:tcBorders>
            <w:shd w:val="clear" w:color="auto" w:fill="auto"/>
            <w:vAlign w:val="center"/>
            <w:hideMark/>
          </w:tcPr>
          <w:p w14:paraId="2B61466B" w14:textId="77777777" w:rsidR="006D4017" w:rsidRPr="0073145B" w:rsidRDefault="006D4017" w:rsidP="002F131C">
            <w:pPr>
              <w:jc w:val="both"/>
              <w:rPr>
                <w:rFonts w:ascii="Montserrat Medium" w:eastAsia="Times New Roman" w:hAnsi="Montserrat Medium" w:cs="Arial"/>
                <w:sz w:val="18"/>
                <w:szCs w:val="18"/>
                <w:lang w:eastAsia="en-US"/>
              </w:rPr>
            </w:pPr>
            <w:r w:rsidRPr="0073145B">
              <w:rPr>
                <w:rFonts w:ascii="Montserrat Medium" w:eastAsia="Times New Roman" w:hAnsi="Montserrat Medium" w:cs="Arial"/>
                <w:sz w:val="18"/>
                <w:szCs w:val="18"/>
                <w:lang w:eastAsia="en-US"/>
              </w:rPr>
              <w:t>Presupuesto de egresos ejercido</w:t>
            </w:r>
          </w:p>
        </w:tc>
        <w:tc>
          <w:tcPr>
            <w:tcW w:w="2142" w:type="dxa"/>
            <w:tcBorders>
              <w:top w:val="nil"/>
              <w:left w:val="single" w:sz="4" w:space="0" w:color="auto"/>
              <w:bottom w:val="nil"/>
              <w:right w:val="single" w:sz="4" w:space="0" w:color="auto"/>
            </w:tcBorders>
            <w:vAlign w:val="center"/>
          </w:tcPr>
          <w:p w14:paraId="646FDA67" w14:textId="7AEEA870" w:rsidR="006D4017" w:rsidRPr="006D4017" w:rsidRDefault="006D4017" w:rsidP="002F131C">
            <w:pPr>
              <w:jc w:val="right"/>
              <w:rPr>
                <w:rFonts w:ascii="Montserrat Medium" w:hAnsi="Montserrat Medium" w:cs="Calibri"/>
                <w:sz w:val="18"/>
                <w:szCs w:val="18"/>
              </w:rPr>
            </w:pPr>
            <w:r w:rsidRPr="006D4017">
              <w:rPr>
                <w:rFonts w:ascii="Montserrat Medium" w:hAnsi="Montserrat Medium" w:cs="Calibri"/>
                <w:color w:val="000000"/>
                <w:sz w:val="18"/>
                <w:szCs w:val="18"/>
              </w:rPr>
              <w:t>21,955,626,818.91</w:t>
            </w:r>
          </w:p>
        </w:tc>
      </w:tr>
      <w:tr w:rsidR="006D4017" w:rsidRPr="0073145B" w14:paraId="63FC044D" w14:textId="321A8141" w:rsidTr="0073145B">
        <w:trPr>
          <w:trHeight w:hRule="exact" w:val="227"/>
          <w:jc w:val="center"/>
        </w:trPr>
        <w:tc>
          <w:tcPr>
            <w:tcW w:w="4482" w:type="dxa"/>
            <w:tcBorders>
              <w:top w:val="nil"/>
              <w:left w:val="single" w:sz="4" w:space="0" w:color="auto"/>
              <w:bottom w:val="single" w:sz="4" w:space="0" w:color="auto"/>
              <w:right w:val="single" w:sz="4" w:space="0" w:color="auto"/>
            </w:tcBorders>
            <w:shd w:val="clear" w:color="auto" w:fill="auto"/>
            <w:vAlign w:val="center"/>
            <w:hideMark/>
          </w:tcPr>
          <w:p w14:paraId="266A67A8" w14:textId="77777777" w:rsidR="006D4017" w:rsidRPr="0073145B" w:rsidRDefault="006D4017" w:rsidP="002F131C">
            <w:pPr>
              <w:jc w:val="both"/>
              <w:rPr>
                <w:rFonts w:ascii="Montserrat Medium" w:eastAsia="Times New Roman" w:hAnsi="Montserrat Medium" w:cs="Arial"/>
                <w:sz w:val="18"/>
                <w:szCs w:val="18"/>
                <w:lang w:eastAsia="en-US"/>
              </w:rPr>
            </w:pPr>
            <w:r w:rsidRPr="0073145B">
              <w:rPr>
                <w:rFonts w:ascii="Montserrat Medium" w:eastAsia="Times New Roman" w:hAnsi="Montserrat Medium" w:cs="Arial"/>
                <w:sz w:val="18"/>
                <w:szCs w:val="18"/>
                <w:lang w:eastAsia="en-US"/>
              </w:rPr>
              <w:t>Presupuesto de egresos pagado</w:t>
            </w:r>
          </w:p>
        </w:tc>
        <w:tc>
          <w:tcPr>
            <w:tcW w:w="2142" w:type="dxa"/>
            <w:tcBorders>
              <w:top w:val="nil"/>
              <w:left w:val="single" w:sz="4" w:space="0" w:color="auto"/>
              <w:bottom w:val="single" w:sz="4" w:space="0" w:color="auto"/>
              <w:right w:val="single" w:sz="4" w:space="0" w:color="auto"/>
            </w:tcBorders>
            <w:vAlign w:val="center"/>
          </w:tcPr>
          <w:p w14:paraId="3DDD5A4E" w14:textId="6ED89B0F" w:rsidR="006D4017" w:rsidRPr="006D4017" w:rsidRDefault="006D4017" w:rsidP="002F131C">
            <w:pPr>
              <w:jc w:val="right"/>
              <w:rPr>
                <w:rFonts w:ascii="Montserrat Medium" w:hAnsi="Montserrat Medium" w:cs="Calibri"/>
                <w:sz w:val="18"/>
                <w:szCs w:val="18"/>
              </w:rPr>
            </w:pPr>
            <w:r w:rsidRPr="006D4017">
              <w:rPr>
                <w:rFonts w:ascii="Montserrat Medium" w:hAnsi="Montserrat Medium" w:cs="Calibri"/>
                <w:color w:val="000000"/>
                <w:sz w:val="18"/>
                <w:szCs w:val="18"/>
              </w:rPr>
              <w:t>21,955,626,818.91</w:t>
            </w:r>
          </w:p>
        </w:tc>
      </w:tr>
    </w:tbl>
    <w:p w14:paraId="563DF82E" w14:textId="77777777" w:rsidR="00DE310A" w:rsidRPr="00D56579" w:rsidRDefault="00DE310A" w:rsidP="002F131C">
      <w:pPr>
        <w:jc w:val="both"/>
        <w:rPr>
          <w:rFonts w:ascii="Montserrat Medium" w:eastAsia="Times New Roman" w:hAnsi="Montserrat Medium" w:cs="Tahoma"/>
          <w:b/>
          <w:color w:val="595959"/>
          <w:sz w:val="20"/>
          <w:szCs w:val="20"/>
          <w:lang w:eastAsia="en-US"/>
        </w:rPr>
      </w:pPr>
    </w:p>
    <w:p w14:paraId="5A993AF6" w14:textId="77777777" w:rsidR="00C91E23" w:rsidRDefault="00C91E23" w:rsidP="002F131C">
      <w:pPr>
        <w:keepNext/>
        <w:keepLines/>
        <w:jc w:val="both"/>
        <w:outlineLvl w:val="6"/>
        <w:rPr>
          <w:rFonts w:ascii="Montserrat Medium" w:eastAsia="Times New Roman" w:hAnsi="Montserrat Medium" w:cs="Arial"/>
          <w:iCs/>
          <w:color w:val="595959"/>
          <w:sz w:val="20"/>
          <w:szCs w:val="20"/>
        </w:rPr>
      </w:pPr>
    </w:p>
    <w:p w14:paraId="07344A43" w14:textId="4837ED27" w:rsidR="003F7B66" w:rsidRPr="00D56579" w:rsidRDefault="00A9797D" w:rsidP="0056239F">
      <w:pPr>
        <w:keepNext/>
        <w:keepLines/>
        <w:jc w:val="both"/>
        <w:outlineLvl w:val="6"/>
        <w:rPr>
          <w:rFonts w:ascii="Montserrat Medium" w:eastAsia="Times New Roman" w:hAnsi="Montserrat Medium" w:cs="Arial"/>
          <w:b/>
          <w:lang w:eastAsia="en-US"/>
        </w:rPr>
      </w:pPr>
      <w:r w:rsidRPr="00D56579">
        <w:rPr>
          <w:rFonts w:ascii="Montserrat Medium" w:hAnsi="Montserrat Medium"/>
          <w:noProof/>
          <w:lang w:val="es-MX" w:eastAsia="es-MX"/>
        </w:rPr>
        <mc:AlternateContent>
          <mc:Choice Requires="wps">
            <w:drawing>
              <wp:anchor distT="0" distB="0" distL="114300" distR="114300" simplePos="0" relativeHeight="251656704" behindDoc="0" locked="0" layoutInCell="1" allowOverlap="1" wp14:anchorId="7D0A9A04" wp14:editId="1AB46B5F">
                <wp:simplePos x="0" y="0"/>
                <wp:positionH relativeFrom="column">
                  <wp:posOffset>-10795</wp:posOffset>
                </wp:positionH>
                <wp:positionV relativeFrom="paragraph">
                  <wp:posOffset>140031</wp:posOffset>
                </wp:positionV>
                <wp:extent cx="3013710" cy="1430655"/>
                <wp:effectExtent l="0" t="0" r="0" b="0"/>
                <wp:wrapNone/>
                <wp:docPr id="521" name="1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3710" cy="1430655"/>
                        </a:xfrm>
                        <a:prstGeom prst="rect">
                          <a:avLst/>
                        </a:prstGeom>
                        <a:noFill/>
                        <a:ln w="9525" cmpd="sng">
                          <a:noFill/>
                        </a:ln>
                        <a:effectLst/>
                      </wps:spPr>
                      <wps:txbx>
                        <w:txbxContent>
                          <w:p w14:paraId="629167B2" w14:textId="1A530890" w:rsidR="00E92510" w:rsidRPr="00FF44D8" w:rsidRDefault="00E92510" w:rsidP="003F7B66">
                            <w:pPr>
                              <w:pStyle w:val="NormalWeb"/>
                              <w:spacing w:before="0" w:beforeAutospacing="0" w:after="0" w:afterAutospacing="0"/>
                              <w:jc w:val="center"/>
                              <w:rPr>
                                <w:rFonts w:ascii="Montserrat Medium" w:hAnsi="Montserrat Medium"/>
                                <w:b/>
                                <w:bCs/>
                                <w:color w:val="000000"/>
                                <w:sz w:val="20"/>
                                <w:szCs w:val="20"/>
                              </w:rPr>
                            </w:pPr>
                            <w:r>
                              <w:rPr>
                                <w:rFonts w:ascii="Montserrat Medium" w:hAnsi="Montserrat Medium"/>
                                <w:b/>
                                <w:bCs/>
                                <w:color w:val="000000"/>
                                <w:sz w:val="20"/>
                                <w:szCs w:val="20"/>
                              </w:rPr>
                              <w:t>LA SECRETARIA</w:t>
                            </w:r>
                            <w:r w:rsidRPr="00FF44D8">
                              <w:rPr>
                                <w:rFonts w:ascii="Montserrat Medium" w:hAnsi="Montserrat Medium"/>
                                <w:b/>
                                <w:bCs/>
                                <w:color w:val="000000"/>
                                <w:sz w:val="20"/>
                                <w:szCs w:val="20"/>
                              </w:rPr>
                              <w:t xml:space="preserve"> DE FINANZAS Y PLANEACIÓN</w:t>
                            </w:r>
                          </w:p>
                          <w:p w14:paraId="7F440F3F" w14:textId="77777777" w:rsidR="00E92510" w:rsidRPr="00FF44D8" w:rsidRDefault="00E92510" w:rsidP="003F7B66">
                            <w:pPr>
                              <w:pStyle w:val="NormalWeb"/>
                              <w:spacing w:before="0" w:beforeAutospacing="0" w:after="0" w:afterAutospacing="0"/>
                              <w:jc w:val="center"/>
                              <w:rPr>
                                <w:rFonts w:ascii="Montserrat Medium" w:hAnsi="Montserrat Medium"/>
                                <w:b/>
                                <w:bCs/>
                                <w:color w:val="000000"/>
                                <w:sz w:val="20"/>
                                <w:szCs w:val="20"/>
                              </w:rPr>
                            </w:pPr>
                          </w:p>
                          <w:p w14:paraId="7109E031" w14:textId="77777777" w:rsidR="00E92510" w:rsidRPr="00FF44D8" w:rsidRDefault="00E92510" w:rsidP="003F7B66">
                            <w:pPr>
                              <w:pStyle w:val="NormalWeb"/>
                              <w:spacing w:before="0" w:beforeAutospacing="0" w:after="0" w:afterAutospacing="0"/>
                              <w:jc w:val="center"/>
                              <w:rPr>
                                <w:rFonts w:ascii="Montserrat Medium" w:hAnsi="Montserrat Medium"/>
                                <w:sz w:val="20"/>
                                <w:szCs w:val="20"/>
                              </w:rPr>
                            </w:pPr>
                          </w:p>
                          <w:p w14:paraId="22EA9ED4" w14:textId="77777777" w:rsidR="00E92510" w:rsidRPr="00FF44D8" w:rsidRDefault="00E92510" w:rsidP="003F7B66">
                            <w:pPr>
                              <w:pStyle w:val="NormalWeb"/>
                              <w:spacing w:before="0" w:beforeAutospacing="0" w:after="0" w:afterAutospacing="0"/>
                              <w:jc w:val="center"/>
                              <w:rPr>
                                <w:rFonts w:ascii="Montserrat Medium" w:hAnsi="Montserrat Medium"/>
                                <w:sz w:val="20"/>
                                <w:szCs w:val="20"/>
                              </w:rPr>
                            </w:pPr>
                          </w:p>
                          <w:p w14:paraId="1DDBFB91" w14:textId="040927AC" w:rsidR="00E92510" w:rsidRPr="006D63D9" w:rsidRDefault="00E92510" w:rsidP="003F7B66">
                            <w:pPr>
                              <w:pStyle w:val="NormalWeb"/>
                              <w:spacing w:before="0" w:beforeAutospacing="0" w:after="0" w:afterAutospacing="0"/>
                              <w:jc w:val="center"/>
                              <w:rPr>
                                <w:rFonts w:ascii="Montserrat Medium" w:hAnsi="Montserrat Medium"/>
                                <w:sz w:val="20"/>
                                <w:szCs w:val="20"/>
                              </w:rPr>
                            </w:pPr>
                            <w:r>
                              <w:rPr>
                                <w:rFonts w:ascii="Montserrat Medium" w:hAnsi="Montserrat Medium"/>
                                <w:b/>
                                <w:bCs/>
                                <w:color w:val="000000"/>
                                <w:sz w:val="20"/>
                                <w:szCs w:val="20"/>
                                <w:lang w:val="es-ES_tradnl"/>
                              </w:rPr>
                              <w:t>LIC. MARTHA PARROQUÍN PÉREZ</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6 CuadroTexto" o:spid="_x0000_s1026" type="#_x0000_t202" style="position:absolute;left:0;text-align:left;margin-left:-.85pt;margin-top:11.05pt;width:237.3pt;height:11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" filled="f" stroked="f">
                <v:path arrowok="t"/>
                <v:textbox>
                  <w:txbxContent>
                    <w:p w14:paraId="629167B2" w14:textId="1A530890" w:rsidR="00E92510" w:rsidRPr="00FF44D8" w:rsidRDefault="00E92510" w:rsidP="003F7B66">
                      <w:pPr>
                        <w:pStyle w:val="NormalWeb"/>
                        <w:spacing w:before="0" w:beforeAutospacing="0" w:after="0" w:afterAutospacing="0"/>
                        <w:jc w:val="center"/>
                        <w:rPr>
                          <w:rFonts w:ascii="Montserrat Medium" w:hAnsi="Montserrat Medium"/>
                          <w:b/>
                          <w:bCs/>
                          <w:color w:val="000000"/>
                          <w:sz w:val="20"/>
                          <w:szCs w:val="20"/>
                        </w:rPr>
                      </w:pPr>
                      <w:r>
                        <w:rPr>
                          <w:rFonts w:ascii="Montserrat Medium" w:hAnsi="Montserrat Medium"/>
                          <w:b/>
                          <w:bCs/>
                          <w:color w:val="000000"/>
                          <w:sz w:val="20"/>
                          <w:szCs w:val="20"/>
                        </w:rPr>
                        <w:t>LA SECRETARIA</w:t>
                      </w:r>
                      <w:r w:rsidRPr="00FF44D8">
                        <w:rPr>
                          <w:rFonts w:ascii="Montserrat Medium" w:hAnsi="Montserrat Medium"/>
                          <w:b/>
                          <w:bCs/>
                          <w:color w:val="000000"/>
                          <w:sz w:val="20"/>
                          <w:szCs w:val="20"/>
                        </w:rPr>
                        <w:t xml:space="preserve"> DE FINANZAS Y PLANEACIÓN</w:t>
                      </w:r>
                    </w:p>
                    <w:p w14:paraId="7F440F3F" w14:textId="77777777" w:rsidR="00E92510" w:rsidRPr="00FF44D8" w:rsidRDefault="00E92510" w:rsidP="003F7B66">
                      <w:pPr>
                        <w:pStyle w:val="NormalWeb"/>
                        <w:spacing w:before="0" w:beforeAutospacing="0" w:after="0" w:afterAutospacing="0"/>
                        <w:jc w:val="center"/>
                        <w:rPr>
                          <w:rFonts w:ascii="Montserrat Medium" w:hAnsi="Montserrat Medium"/>
                          <w:b/>
                          <w:bCs/>
                          <w:color w:val="000000"/>
                          <w:sz w:val="20"/>
                          <w:szCs w:val="20"/>
                        </w:rPr>
                      </w:pPr>
                    </w:p>
                    <w:p w14:paraId="7109E031" w14:textId="77777777" w:rsidR="00E92510" w:rsidRPr="00FF44D8" w:rsidRDefault="00E92510" w:rsidP="003F7B66">
                      <w:pPr>
                        <w:pStyle w:val="NormalWeb"/>
                        <w:spacing w:before="0" w:beforeAutospacing="0" w:after="0" w:afterAutospacing="0"/>
                        <w:jc w:val="center"/>
                        <w:rPr>
                          <w:rFonts w:ascii="Montserrat Medium" w:hAnsi="Montserrat Medium"/>
                          <w:sz w:val="20"/>
                          <w:szCs w:val="20"/>
                        </w:rPr>
                      </w:pPr>
                    </w:p>
                    <w:p w14:paraId="22EA9ED4" w14:textId="77777777" w:rsidR="00E92510" w:rsidRPr="00FF44D8" w:rsidRDefault="00E92510" w:rsidP="003F7B66">
                      <w:pPr>
                        <w:pStyle w:val="NormalWeb"/>
                        <w:spacing w:before="0" w:beforeAutospacing="0" w:after="0" w:afterAutospacing="0"/>
                        <w:jc w:val="center"/>
                        <w:rPr>
                          <w:rFonts w:ascii="Montserrat Medium" w:hAnsi="Montserrat Medium"/>
                          <w:sz w:val="20"/>
                          <w:szCs w:val="20"/>
                        </w:rPr>
                      </w:pPr>
                    </w:p>
                    <w:p w14:paraId="1DDBFB91" w14:textId="040927AC" w:rsidR="00E92510" w:rsidRPr="006D63D9" w:rsidRDefault="00E92510" w:rsidP="003F7B66">
                      <w:pPr>
                        <w:pStyle w:val="NormalWeb"/>
                        <w:spacing w:before="0" w:beforeAutospacing="0" w:after="0" w:afterAutospacing="0"/>
                        <w:jc w:val="center"/>
                        <w:rPr>
                          <w:rFonts w:ascii="Montserrat Medium" w:hAnsi="Montserrat Medium"/>
                          <w:sz w:val="20"/>
                          <w:szCs w:val="20"/>
                        </w:rPr>
                      </w:pPr>
                      <w:r>
                        <w:rPr>
                          <w:rFonts w:ascii="Montserrat Medium" w:hAnsi="Montserrat Medium"/>
                          <w:b/>
                          <w:bCs/>
                          <w:color w:val="000000"/>
                          <w:sz w:val="20"/>
                          <w:szCs w:val="20"/>
                          <w:lang w:val="es-ES_tradnl"/>
                        </w:rPr>
                        <w:t>LIC. MARTHA PARROQUÍN PÉREZ</w:t>
                      </w:r>
                    </w:p>
                  </w:txbxContent>
                </v:textbox>
              </v:shape>
            </w:pict>
          </mc:Fallback>
        </mc:AlternateContent>
      </w:r>
      <w:r w:rsidR="00861788" w:rsidRPr="00D56579">
        <w:rPr>
          <w:rFonts w:ascii="Montserrat Medium" w:hAnsi="Montserrat Medium"/>
          <w:noProof/>
          <w:lang w:val="es-MX" w:eastAsia="es-MX"/>
        </w:rPr>
        <mc:AlternateContent>
          <mc:Choice Requires="wps">
            <w:drawing>
              <wp:anchor distT="0" distB="0" distL="114300" distR="114300" simplePos="0" relativeHeight="251657728" behindDoc="0" locked="0" layoutInCell="1" allowOverlap="1" wp14:anchorId="7F7A5045" wp14:editId="24604FD9">
                <wp:simplePos x="0" y="0"/>
                <wp:positionH relativeFrom="column">
                  <wp:posOffset>2969315</wp:posOffset>
                </wp:positionH>
                <wp:positionV relativeFrom="paragraph">
                  <wp:posOffset>129706</wp:posOffset>
                </wp:positionV>
                <wp:extent cx="3323645" cy="1488440"/>
                <wp:effectExtent l="0" t="0" r="0" b="0"/>
                <wp:wrapNone/>
                <wp:docPr id="524" name="1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3645" cy="1488440"/>
                        </a:xfrm>
                        <a:prstGeom prst="rect">
                          <a:avLst/>
                        </a:prstGeom>
                        <a:noFill/>
                        <a:ln w="9525" cmpd="sng">
                          <a:noFill/>
                        </a:ln>
                        <a:effectLst/>
                      </wps:spPr>
                      <wps:txbx>
                        <w:txbxContent>
                          <w:p w14:paraId="7DA42498" w14:textId="7C91D0BD" w:rsidR="00E92510" w:rsidRPr="006D63D9" w:rsidRDefault="00E92510"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 xml:space="preserve">EL TESORERO GENERAL DEL ESTADO </w:t>
                            </w:r>
                          </w:p>
                          <w:p w14:paraId="1D1CE65D" w14:textId="77777777" w:rsidR="00E92510" w:rsidRPr="006D63D9" w:rsidRDefault="00E92510" w:rsidP="003F7B66">
                            <w:pPr>
                              <w:pStyle w:val="NormalWeb"/>
                              <w:spacing w:before="0" w:beforeAutospacing="0" w:after="0" w:afterAutospacing="0"/>
                              <w:jc w:val="center"/>
                              <w:rPr>
                                <w:rFonts w:ascii="Montserrat Medium" w:hAnsi="Montserrat Medium"/>
                                <w:b/>
                                <w:bCs/>
                                <w:color w:val="000000"/>
                                <w:sz w:val="20"/>
                                <w:szCs w:val="20"/>
                              </w:rPr>
                            </w:pPr>
                          </w:p>
                          <w:p w14:paraId="78BE3D19" w14:textId="77777777" w:rsidR="00E92510" w:rsidRPr="006D63D9" w:rsidRDefault="00E92510" w:rsidP="003F7B66">
                            <w:pPr>
                              <w:pStyle w:val="NormalWeb"/>
                              <w:spacing w:before="0" w:beforeAutospacing="0" w:after="0" w:afterAutospacing="0"/>
                              <w:jc w:val="center"/>
                              <w:rPr>
                                <w:rFonts w:ascii="Montserrat Medium" w:hAnsi="Montserrat Medium"/>
                                <w:b/>
                                <w:bCs/>
                                <w:color w:val="000000"/>
                                <w:sz w:val="20"/>
                                <w:szCs w:val="20"/>
                              </w:rPr>
                            </w:pPr>
                          </w:p>
                          <w:p w14:paraId="353AD494" w14:textId="77777777" w:rsidR="00E92510" w:rsidRDefault="00E92510" w:rsidP="003F7B66">
                            <w:pPr>
                              <w:pStyle w:val="NormalWeb"/>
                              <w:spacing w:before="0" w:beforeAutospacing="0" w:after="0" w:afterAutospacing="0"/>
                              <w:jc w:val="center"/>
                              <w:rPr>
                                <w:rFonts w:ascii="Montserrat Medium" w:hAnsi="Montserrat Medium"/>
                                <w:sz w:val="20"/>
                                <w:szCs w:val="20"/>
                              </w:rPr>
                            </w:pPr>
                          </w:p>
                          <w:p w14:paraId="0101D7A1" w14:textId="77777777" w:rsidR="00E92510" w:rsidRPr="006D63D9" w:rsidRDefault="00E92510" w:rsidP="003F7B66">
                            <w:pPr>
                              <w:pStyle w:val="NormalWeb"/>
                              <w:spacing w:before="0" w:beforeAutospacing="0" w:after="0" w:afterAutospacing="0"/>
                              <w:jc w:val="center"/>
                              <w:rPr>
                                <w:rFonts w:ascii="Montserrat Medium" w:hAnsi="Montserrat Medium"/>
                                <w:sz w:val="20"/>
                                <w:szCs w:val="20"/>
                              </w:rPr>
                            </w:pPr>
                          </w:p>
                          <w:p w14:paraId="2CFA0C35" w14:textId="77777777" w:rsidR="00E92510" w:rsidRPr="006D63D9" w:rsidRDefault="00E92510"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LIC. JOSÉ CUAUHTÉMOC IRABURO ZÁRATE</w:t>
                            </w:r>
                          </w:p>
                        </w:txbxContent>
                      </wps:txbx>
                      <wps:bodyPr wrap="square" rtlCol="0" anchor="t">
                        <a:noAutofit/>
                      </wps:bodyPr>
                    </wps:wsp>
                  </a:graphicData>
                </a:graphic>
                <wp14:sizeRelH relativeFrom="margin">
                  <wp14:pctWidth>0</wp14:pctWidth>
                </wp14:sizeRelH>
                <wp14:sizeRelV relativeFrom="page">
                  <wp14:pctHeight>0</wp14:pctHeight>
                </wp14:sizeRelV>
              </wp:anchor>
            </w:drawing>
          </mc:Choice>
          <mc:Fallback>
            <w:pict>
              <v:shape id="19 CuadroTexto" o:spid="_x0000_s1027" type="#_x0000_t202" style="position:absolute;left:0;text-align:left;margin-left:233.8pt;margin-top:10.2pt;width:261.7pt;height:11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" filled="f" stroked="f">
                <v:path arrowok="t"/>
                <v:textbox>
                  <w:txbxContent>
                    <w:p w14:paraId="7DA42498" w14:textId="7C91D0BD" w:rsidR="00E92510" w:rsidRPr="006D63D9" w:rsidRDefault="00E92510"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 xml:space="preserve">EL TESORERO GENERAL DEL ESTADO </w:t>
                      </w:r>
                    </w:p>
                    <w:p w14:paraId="1D1CE65D" w14:textId="77777777" w:rsidR="00E92510" w:rsidRPr="006D63D9" w:rsidRDefault="00E92510" w:rsidP="003F7B66">
                      <w:pPr>
                        <w:pStyle w:val="NormalWeb"/>
                        <w:spacing w:before="0" w:beforeAutospacing="0" w:after="0" w:afterAutospacing="0"/>
                        <w:jc w:val="center"/>
                        <w:rPr>
                          <w:rFonts w:ascii="Montserrat Medium" w:hAnsi="Montserrat Medium"/>
                          <w:b/>
                          <w:bCs/>
                          <w:color w:val="000000"/>
                          <w:sz w:val="20"/>
                          <w:szCs w:val="20"/>
                        </w:rPr>
                      </w:pPr>
                    </w:p>
                    <w:p w14:paraId="78BE3D19" w14:textId="77777777" w:rsidR="00E92510" w:rsidRPr="006D63D9" w:rsidRDefault="00E92510" w:rsidP="003F7B66">
                      <w:pPr>
                        <w:pStyle w:val="NormalWeb"/>
                        <w:spacing w:before="0" w:beforeAutospacing="0" w:after="0" w:afterAutospacing="0"/>
                        <w:jc w:val="center"/>
                        <w:rPr>
                          <w:rFonts w:ascii="Montserrat Medium" w:hAnsi="Montserrat Medium"/>
                          <w:b/>
                          <w:bCs/>
                          <w:color w:val="000000"/>
                          <w:sz w:val="20"/>
                          <w:szCs w:val="20"/>
                        </w:rPr>
                      </w:pPr>
                    </w:p>
                    <w:p w14:paraId="353AD494" w14:textId="77777777" w:rsidR="00E92510" w:rsidRDefault="00E92510" w:rsidP="003F7B66">
                      <w:pPr>
                        <w:pStyle w:val="NormalWeb"/>
                        <w:spacing w:before="0" w:beforeAutospacing="0" w:after="0" w:afterAutospacing="0"/>
                        <w:jc w:val="center"/>
                        <w:rPr>
                          <w:rFonts w:ascii="Montserrat Medium" w:hAnsi="Montserrat Medium"/>
                          <w:sz w:val="20"/>
                          <w:szCs w:val="20"/>
                        </w:rPr>
                      </w:pPr>
                    </w:p>
                    <w:p w14:paraId="0101D7A1" w14:textId="77777777" w:rsidR="00E92510" w:rsidRPr="006D63D9" w:rsidRDefault="00E92510" w:rsidP="003F7B66">
                      <w:pPr>
                        <w:pStyle w:val="NormalWeb"/>
                        <w:spacing w:before="0" w:beforeAutospacing="0" w:after="0" w:afterAutospacing="0"/>
                        <w:jc w:val="center"/>
                        <w:rPr>
                          <w:rFonts w:ascii="Montserrat Medium" w:hAnsi="Montserrat Medium"/>
                          <w:sz w:val="20"/>
                          <w:szCs w:val="20"/>
                        </w:rPr>
                      </w:pPr>
                    </w:p>
                    <w:p w14:paraId="2CFA0C35" w14:textId="77777777" w:rsidR="00E92510" w:rsidRPr="006D63D9" w:rsidRDefault="00E92510"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LIC. JOSÉ CUAUHTÉMOC IRABURO ZÁRATE</w:t>
                      </w:r>
                    </w:p>
                  </w:txbxContent>
                </v:textbox>
              </v:shape>
            </w:pict>
          </mc:Fallback>
        </mc:AlternateContent>
      </w:r>
    </w:p>
    <w:p w14:paraId="7C119EEA" w14:textId="77777777" w:rsidR="003F7B66" w:rsidRPr="00D56579" w:rsidRDefault="003F7B66" w:rsidP="002F131C">
      <w:pPr>
        <w:rPr>
          <w:rFonts w:ascii="Montserrat Medium" w:eastAsia="Times New Roman" w:hAnsi="Montserrat Medium" w:cs="Arial"/>
          <w:b/>
          <w:lang w:eastAsia="en-US"/>
        </w:rPr>
      </w:pPr>
    </w:p>
    <w:p w14:paraId="4B0A6826" w14:textId="77777777" w:rsidR="003F7B66" w:rsidRPr="00D56579" w:rsidRDefault="003F7B66" w:rsidP="002F131C">
      <w:pPr>
        <w:rPr>
          <w:rFonts w:ascii="Montserrat Medium" w:eastAsia="Times New Roman" w:hAnsi="Montserrat Medium" w:cs="Arial"/>
          <w:b/>
          <w:lang w:eastAsia="en-US"/>
        </w:rPr>
      </w:pPr>
    </w:p>
    <w:p w14:paraId="694A5E6E" w14:textId="77777777" w:rsidR="003F7B66" w:rsidRPr="00D56579" w:rsidRDefault="003F7B66" w:rsidP="002F131C">
      <w:pPr>
        <w:spacing w:after="160"/>
        <w:jc w:val="both"/>
        <w:rPr>
          <w:rFonts w:ascii="Montserrat Medium" w:eastAsia="Times New Roman" w:hAnsi="Montserrat Medium" w:cs="Tahoma"/>
          <w:i/>
          <w:color w:val="595959"/>
          <w:lang w:eastAsia="en-US"/>
        </w:rPr>
      </w:pPr>
    </w:p>
    <w:p w14:paraId="65159FFD" w14:textId="77777777" w:rsidR="003F7B66" w:rsidRPr="00D56579" w:rsidRDefault="003F7B66" w:rsidP="002F131C">
      <w:pPr>
        <w:spacing w:after="160"/>
        <w:jc w:val="both"/>
        <w:rPr>
          <w:rFonts w:ascii="Montserrat Medium" w:eastAsia="Times New Roman" w:hAnsi="Montserrat Medium" w:cs="Tahoma"/>
          <w:i/>
          <w:color w:val="595959"/>
          <w:lang w:eastAsia="en-US"/>
        </w:rPr>
      </w:pPr>
    </w:p>
    <w:p w14:paraId="1CF7C0D7" w14:textId="77777777" w:rsidR="005A20CA" w:rsidRPr="00D56579" w:rsidRDefault="005A20CA" w:rsidP="002F131C">
      <w:pPr>
        <w:spacing w:after="160"/>
        <w:jc w:val="both"/>
        <w:rPr>
          <w:rFonts w:ascii="Montserrat Medium" w:eastAsia="Times New Roman" w:hAnsi="Montserrat Medium" w:cs="Tahoma"/>
          <w:i/>
          <w:color w:val="595959"/>
          <w:lang w:eastAsia="en-US"/>
        </w:rPr>
      </w:pPr>
    </w:p>
    <w:p w14:paraId="09A79AAF" w14:textId="1101B28B" w:rsidR="003F7B66" w:rsidRPr="00B874E5" w:rsidRDefault="003F7B66" w:rsidP="002F131C">
      <w:pPr>
        <w:spacing w:after="160"/>
        <w:jc w:val="both"/>
        <w:rPr>
          <w:rFonts w:ascii="Montserrat Medium" w:eastAsia="Times New Roman" w:hAnsi="Montserrat Medium" w:cs="Tahoma"/>
          <w:i/>
          <w:color w:val="595959"/>
          <w:lang w:eastAsia="en-US"/>
        </w:rPr>
      </w:pPr>
    </w:p>
    <w:p w14:paraId="7DE5E305" w14:textId="029FB334" w:rsidR="003F7B66" w:rsidRPr="00B874E5" w:rsidRDefault="003F7B66" w:rsidP="002F131C">
      <w:pPr>
        <w:spacing w:after="160"/>
        <w:jc w:val="both"/>
        <w:rPr>
          <w:rFonts w:ascii="Montserrat Medium" w:eastAsia="Times New Roman" w:hAnsi="Montserrat Medium" w:cs="Tahoma"/>
          <w:i/>
          <w:color w:val="595959"/>
          <w:lang w:eastAsia="en-US"/>
        </w:rPr>
      </w:pPr>
    </w:p>
    <w:p w14:paraId="7743208A" w14:textId="43AA8D75" w:rsidR="003F7B66" w:rsidRPr="00B874E5" w:rsidRDefault="00407330" w:rsidP="002F131C">
      <w:pPr>
        <w:spacing w:after="160"/>
        <w:jc w:val="both"/>
        <w:rPr>
          <w:rFonts w:ascii="Montserrat Medium" w:eastAsia="Times New Roman" w:hAnsi="Montserrat Medium" w:cs="Tahoma"/>
          <w:i/>
          <w:color w:val="595959"/>
          <w:lang w:eastAsia="en-US"/>
        </w:rPr>
      </w:pPr>
      <w:r w:rsidRPr="00D56579">
        <w:rPr>
          <w:rFonts w:ascii="Montserrat Medium" w:hAnsi="Montserrat Medium"/>
          <w:noProof/>
          <w:lang w:val="es-MX" w:eastAsia="es-MX"/>
        </w:rPr>
        <mc:AlternateContent>
          <mc:Choice Requires="wps">
            <w:drawing>
              <wp:anchor distT="0" distB="0" distL="114300" distR="114300" simplePos="0" relativeHeight="251658752" behindDoc="0" locked="0" layoutInCell="1" allowOverlap="1" wp14:anchorId="5CB18841" wp14:editId="704AA04D">
                <wp:simplePos x="0" y="0"/>
                <wp:positionH relativeFrom="column">
                  <wp:posOffset>868680</wp:posOffset>
                </wp:positionH>
                <wp:positionV relativeFrom="paragraph">
                  <wp:posOffset>53036</wp:posOffset>
                </wp:positionV>
                <wp:extent cx="4142105" cy="1261110"/>
                <wp:effectExtent l="0" t="0" r="0" b="0"/>
                <wp:wrapNone/>
                <wp:docPr id="525" name="20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2105" cy="1261110"/>
                        </a:xfrm>
                        <a:prstGeom prst="rect">
                          <a:avLst/>
                        </a:prstGeom>
                        <a:noFill/>
                        <a:ln w="9525" cmpd="sng">
                          <a:noFill/>
                        </a:ln>
                        <a:effectLst/>
                      </wps:spPr>
                      <wps:txbx>
                        <w:txbxContent>
                          <w:p w14:paraId="3373C162" w14:textId="7B70A9AA" w:rsidR="00E92510" w:rsidRPr="006D63D9" w:rsidRDefault="00E92510" w:rsidP="003F7B66">
                            <w:pPr>
                              <w:pStyle w:val="NormalWeb"/>
                              <w:spacing w:before="0" w:beforeAutospacing="0" w:after="0" w:afterAutospacing="0"/>
                              <w:jc w:val="center"/>
                              <w:rPr>
                                <w:rFonts w:ascii="Montserrat Medium" w:hAnsi="Montserrat Medium"/>
                                <w:b/>
                                <w:bCs/>
                                <w:color w:val="000000"/>
                                <w:sz w:val="20"/>
                                <w:szCs w:val="20"/>
                              </w:rPr>
                            </w:pPr>
                            <w:r w:rsidRPr="006D63D9">
                              <w:rPr>
                                <w:rFonts w:ascii="Montserrat Medium" w:hAnsi="Montserrat Medium"/>
                                <w:b/>
                                <w:bCs/>
                                <w:color w:val="000000"/>
                                <w:sz w:val="20"/>
                                <w:szCs w:val="20"/>
                              </w:rPr>
                              <w:t xml:space="preserve">EL DIRECTOR DE CONTABILIDAD </w:t>
                            </w:r>
                            <w:r>
                              <w:rPr>
                                <w:rFonts w:ascii="Montserrat Medium" w:hAnsi="Montserrat Medium"/>
                                <w:b/>
                                <w:bCs/>
                                <w:color w:val="000000"/>
                                <w:sz w:val="20"/>
                                <w:szCs w:val="20"/>
                              </w:rPr>
                              <w:t>G</w:t>
                            </w:r>
                            <w:r w:rsidRPr="006D63D9">
                              <w:rPr>
                                <w:rFonts w:ascii="Montserrat Medium" w:hAnsi="Montserrat Medium"/>
                                <w:b/>
                                <w:bCs/>
                                <w:color w:val="000000"/>
                                <w:sz w:val="20"/>
                                <w:szCs w:val="20"/>
                              </w:rPr>
                              <w:t>UBERNAMENTAL</w:t>
                            </w:r>
                          </w:p>
                          <w:p w14:paraId="7ACE92BB" w14:textId="77777777" w:rsidR="00E92510" w:rsidRPr="006D63D9" w:rsidRDefault="00E92510" w:rsidP="003F7B66">
                            <w:pPr>
                              <w:pStyle w:val="NormalWeb"/>
                              <w:spacing w:before="0" w:beforeAutospacing="0" w:after="0" w:afterAutospacing="0"/>
                              <w:jc w:val="center"/>
                              <w:rPr>
                                <w:rFonts w:ascii="Montserrat Medium" w:hAnsi="Montserrat Medium"/>
                                <w:b/>
                                <w:bCs/>
                                <w:color w:val="000000"/>
                                <w:sz w:val="20"/>
                                <w:szCs w:val="20"/>
                              </w:rPr>
                            </w:pPr>
                          </w:p>
                          <w:p w14:paraId="61E010BC" w14:textId="77777777" w:rsidR="00E92510" w:rsidRPr="006D63D9" w:rsidRDefault="00E92510" w:rsidP="003F7B66">
                            <w:pPr>
                              <w:pStyle w:val="NormalWeb"/>
                              <w:spacing w:before="0" w:beforeAutospacing="0" w:after="0" w:afterAutospacing="0"/>
                              <w:jc w:val="center"/>
                              <w:rPr>
                                <w:rFonts w:ascii="Montserrat Medium" w:hAnsi="Montserrat Medium"/>
                                <w:b/>
                                <w:bCs/>
                                <w:color w:val="000000"/>
                                <w:sz w:val="20"/>
                                <w:szCs w:val="20"/>
                              </w:rPr>
                            </w:pPr>
                          </w:p>
                          <w:p w14:paraId="6BEEDF6D" w14:textId="4B105D3D" w:rsidR="00E92510" w:rsidRPr="006D63D9" w:rsidRDefault="00E92510" w:rsidP="003F7B66">
                            <w:pPr>
                              <w:pStyle w:val="NormalWeb"/>
                              <w:spacing w:before="0" w:beforeAutospacing="0" w:after="0" w:afterAutospacing="0"/>
                              <w:jc w:val="center"/>
                              <w:rPr>
                                <w:rFonts w:ascii="Montserrat Medium" w:hAnsi="Montserrat Medium"/>
                                <w:sz w:val="20"/>
                                <w:szCs w:val="20"/>
                              </w:rPr>
                            </w:pPr>
                          </w:p>
                          <w:p w14:paraId="45FE3E5A" w14:textId="77777777" w:rsidR="00E92510" w:rsidRPr="006D63D9" w:rsidRDefault="00E92510" w:rsidP="003F7B66">
                            <w:pPr>
                              <w:pStyle w:val="NormalWeb"/>
                              <w:spacing w:before="0" w:beforeAutospacing="0" w:after="0" w:afterAutospacing="0"/>
                              <w:jc w:val="center"/>
                              <w:rPr>
                                <w:rFonts w:ascii="Montserrat Medium" w:hAnsi="Montserrat Medium"/>
                                <w:b/>
                                <w:bCs/>
                                <w:color w:val="000000"/>
                                <w:sz w:val="20"/>
                                <w:szCs w:val="20"/>
                              </w:rPr>
                            </w:pPr>
                            <w:r w:rsidRPr="006D63D9">
                              <w:rPr>
                                <w:rFonts w:ascii="Montserrat Medium" w:hAnsi="Montserrat Medium"/>
                                <w:b/>
                                <w:bCs/>
                                <w:color w:val="000000"/>
                                <w:sz w:val="20"/>
                                <w:szCs w:val="20"/>
                              </w:rPr>
                              <w:t>MTRO. EVELIO SOSA BATÚN</w:t>
                            </w:r>
                          </w:p>
                        </w:txbxContent>
                      </wps:txbx>
                      <wps:bodyPr wrap="square" rtlCol="0" anchor="t">
                        <a:noAutofit/>
                      </wps:bodyPr>
                    </wps:wsp>
                  </a:graphicData>
                </a:graphic>
                <wp14:sizeRelH relativeFrom="margin">
                  <wp14:pctWidth>0</wp14:pctWidth>
                </wp14:sizeRelH>
                <wp14:sizeRelV relativeFrom="page">
                  <wp14:pctHeight>0</wp14:pctHeight>
                </wp14:sizeRelV>
              </wp:anchor>
            </w:drawing>
          </mc:Choice>
          <mc:Fallback>
            <w:pict>
              <v:shape id="20 CuadroTexto" o:spid="_x0000_s1028" type="#_x0000_t202" style="position:absolute;left:0;text-align:left;margin-left:68.4pt;margin-top:4.2pt;width:326.15pt;height:9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" filled="f" stroked="f">
                <v:path arrowok="t"/>
                <v:textbox>
                  <w:txbxContent>
                    <w:p w14:paraId="3373C162" w14:textId="7B70A9AA" w:rsidR="00E92510" w:rsidRPr="006D63D9" w:rsidRDefault="00E92510" w:rsidP="003F7B66">
                      <w:pPr>
                        <w:pStyle w:val="NormalWeb"/>
                        <w:spacing w:before="0" w:beforeAutospacing="0" w:after="0" w:afterAutospacing="0"/>
                        <w:jc w:val="center"/>
                        <w:rPr>
                          <w:rFonts w:ascii="Montserrat Medium" w:hAnsi="Montserrat Medium"/>
                          <w:b/>
                          <w:bCs/>
                          <w:color w:val="000000"/>
                          <w:sz w:val="20"/>
                          <w:szCs w:val="20"/>
                        </w:rPr>
                      </w:pPr>
                      <w:r w:rsidRPr="006D63D9">
                        <w:rPr>
                          <w:rFonts w:ascii="Montserrat Medium" w:hAnsi="Montserrat Medium"/>
                          <w:b/>
                          <w:bCs/>
                          <w:color w:val="000000"/>
                          <w:sz w:val="20"/>
                          <w:szCs w:val="20"/>
                        </w:rPr>
                        <w:t xml:space="preserve">EL DIRECTOR DE CONTABILIDAD </w:t>
                      </w:r>
                      <w:r>
                        <w:rPr>
                          <w:rFonts w:ascii="Montserrat Medium" w:hAnsi="Montserrat Medium"/>
                          <w:b/>
                          <w:bCs/>
                          <w:color w:val="000000"/>
                          <w:sz w:val="20"/>
                          <w:szCs w:val="20"/>
                        </w:rPr>
                        <w:t>G</w:t>
                      </w:r>
                      <w:r w:rsidRPr="006D63D9">
                        <w:rPr>
                          <w:rFonts w:ascii="Montserrat Medium" w:hAnsi="Montserrat Medium"/>
                          <w:b/>
                          <w:bCs/>
                          <w:color w:val="000000"/>
                          <w:sz w:val="20"/>
                          <w:szCs w:val="20"/>
                        </w:rPr>
                        <w:t>UBERNAMENTAL</w:t>
                      </w:r>
                    </w:p>
                    <w:p w14:paraId="7ACE92BB" w14:textId="77777777" w:rsidR="00E92510" w:rsidRPr="006D63D9" w:rsidRDefault="00E92510" w:rsidP="003F7B66">
                      <w:pPr>
                        <w:pStyle w:val="NormalWeb"/>
                        <w:spacing w:before="0" w:beforeAutospacing="0" w:after="0" w:afterAutospacing="0"/>
                        <w:jc w:val="center"/>
                        <w:rPr>
                          <w:rFonts w:ascii="Montserrat Medium" w:hAnsi="Montserrat Medium"/>
                          <w:b/>
                          <w:bCs/>
                          <w:color w:val="000000"/>
                          <w:sz w:val="20"/>
                          <w:szCs w:val="20"/>
                        </w:rPr>
                      </w:pPr>
                    </w:p>
                    <w:p w14:paraId="61E010BC" w14:textId="77777777" w:rsidR="00E92510" w:rsidRPr="006D63D9" w:rsidRDefault="00E92510" w:rsidP="003F7B66">
                      <w:pPr>
                        <w:pStyle w:val="NormalWeb"/>
                        <w:spacing w:before="0" w:beforeAutospacing="0" w:after="0" w:afterAutospacing="0"/>
                        <w:jc w:val="center"/>
                        <w:rPr>
                          <w:rFonts w:ascii="Montserrat Medium" w:hAnsi="Montserrat Medium"/>
                          <w:b/>
                          <w:bCs/>
                          <w:color w:val="000000"/>
                          <w:sz w:val="20"/>
                          <w:szCs w:val="20"/>
                        </w:rPr>
                      </w:pPr>
                    </w:p>
                    <w:p w14:paraId="6BEEDF6D" w14:textId="4B105D3D" w:rsidR="00E92510" w:rsidRPr="006D63D9" w:rsidRDefault="00E92510" w:rsidP="003F7B66">
                      <w:pPr>
                        <w:pStyle w:val="NormalWeb"/>
                        <w:spacing w:before="0" w:beforeAutospacing="0" w:after="0" w:afterAutospacing="0"/>
                        <w:jc w:val="center"/>
                        <w:rPr>
                          <w:rFonts w:ascii="Montserrat Medium" w:hAnsi="Montserrat Medium"/>
                          <w:sz w:val="20"/>
                          <w:szCs w:val="20"/>
                        </w:rPr>
                      </w:pPr>
                    </w:p>
                    <w:p w14:paraId="45FE3E5A" w14:textId="77777777" w:rsidR="00E92510" w:rsidRPr="006D63D9" w:rsidRDefault="00E92510" w:rsidP="003F7B66">
                      <w:pPr>
                        <w:pStyle w:val="NormalWeb"/>
                        <w:spacing w:before="0" w:beforeAutospacing="0" w:after="0" w:afterAutospacing="0"/>
                        <w:jc w:val="center"/>
                        <w:rPr>
                          <w:rFonts w:ascii="Montserrat Medium" w:hAnsi="Montserrat Medium"/>
                          <w:b/>
                          <w:bCs/>
                          <w:color w:val="000000"/>
                          <w:sz w:val="20"/>
                          <w:szCs w:val="20"/>
                        </w:rPr>
                      </w:pPr>
                      <w:r w:rsidRPr="006D63D9">
                        <w:rPr>
                          <w:rFonts w:ascii="Montserrat Medium" w:hAnsi="Montserrat Medium"/>
                          <w:b/>
                          <w:bCs/>
                          <w:color w:val="000000"/>
                          <w:sz w:val="20"/>
                          <w:szCs w:val="20"/>
                        </w:rPr>
                        <w:t>MTRO. EVELIO SOSA BATÚN</w:t>
                      </w:r>
                    </w:p>
                  </w:txbxContent>
                </v:textbox>
              </v:shape>
            </w:pict>
          </mc:Fallback>
        </mc:AlternateContent>
      </w:r>
    </w:p>
    <w:sectPr w:rsidR="003F7B66" w:rsidRPr="00B874E5" w:rsidSect="00940104">
      <w:headerReference w:type="default" r:id="rId9"/>
      <w:footerReference w:type="even" r:id="rId10"/>
      <w:footerReference w:type="default" r:id="rId11"/>
      <w:pgSz w:w="12240" w:h="15840" w:code="1"/>
      <w:pgMar w:top="1985" w:right="1134" w:bottom="1276" w:left="1134" w:header="340" w:footer="229"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7D4B1" w14:textId="77777777" w:rsidR="008F6EBA" w:rsidRDefault="008F6EBA" w:rsidP="00315CBE">
      <w:r>
        <w:separator/>
      </w:r>
    </w:p>
  </w:endnote>
  <w:endnote w:type="continuationSeparator" w:id="0">
    <w:p w14:paraId="413E1BD2" w14:textId="77777777" w:rsidR="008F6EBA" w:rsidRDefault="008F6EBA" w:rsidP="0031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utura Lt BT">
    <w:altName w:val="Segoe UI Semilight"/>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EurekaSans-Regular">
    <w:panose1 w:val="00000000000000000000"/>
    <w:charset w:val="00"/>
    <w:family w:val="modern"/>
    <w:notTrueType/>
    <w:pitch w:val="variable"/>
    <w:sig w:usb0="00000003" w:usb1="00000000" w:usb2="00000000" w:usb3="00000000" w:csb0="00000001" w:csb1="00000000"/>
  </w:font>
  <w:font w:name="Eureka Sans Light">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EurekaSans-Ligh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tisSansSerif">
    <w:altName w:val="RotisSansSerif"/>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EurekaSans-Bold">
    <w:panose1 w:val="00000000000000000000"/>
    <w:charset w:val="00"/>
    <w:family w:val="modern"/>
    <w:notTrueType/>
    <w:pitch w:val="variable"/>
    <w:sig w:usb0="00000003" w:usb1="00000000" w:usb2="00000000" w:usb3="00000000" w:csb0="00000001" w:csb1="00000000"/>
  </w:font>
  <w:font w:name="Presidencia Fina">
    <w:panose1 w:val="00000000000000000000"/>
    <w:charset w:val="00"/>
    <w:family w:val="modern"/>
    <w:notTrueType/>
    <w:pitch w:val="variable"/>
    <w:sig w:usb0="800000AF" w:usb1="4000004A" w:usb2="00000000" w:usb3="00000000" w:csb0="00000001" w:csb1="00000000"/>
  </w:font>
  <w:font w:name="Presidencia Base">
    <w:panose1 w:val="00000000000000000000"/>
    <w:charset w:val="00"/>
    <w:family w:val="modern"/>
    <w:notTrueType/>
    <w:pitch w:val="variable"/>
    <w:sig w:usb0="800000AF" w:usb1="4000004A" w:usb2="00000000" w:usb3="00000000" w:csb0="00000001" w:csb1="00000000"/>
  </w:font>
  <w:font w:name="Presidencia Fuerte">
    <w:panose1 w:val="00000000000000000000"/>
    <w:charset w:val="00"/>
    <w:family w:val="modern"/>
    <w:notTrueType/>
    <w:pitch w:val="variable"/>
    <w:sig w:usb0="00000003" w:usb1="00000000" w:usb2="00000000" w:usb3="00000000" w:csb0="00000001" w:csb1="00000000"/>
  </w:font>
  <w:font w:name="PresidenciaFirme">
    <w:altName w:val="Times New Roman"/>
    <w:charset w:val="00"/>
    <w:family w:val="auto"/>
    <w:pitch w:val="default"/>
  </w:font>
  <w:font w:name="Futura Md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 w:name="¹Å">
    <w:altName w:val="Times New Roman"/>
    <w:panose1 w:val="00000000000000000000"/>
    <w:charset w:val="00"/>
    <w:family w:val="roman"/>
    <w:notTrueType/>
    <w:pitch w:val="default"/>
  </w:font>
  <w:font w:name="Futura Medium">
    <w:altName w:val="Lucida Sans Unicode"/>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9EDE6" w14:textId="77777777" w:rsidR="00E92510" w:rsidRDefault="00E92510" w:rsidP="00BB534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783C03" w14:textId="77777777" w:rsidR="00E92510" w:rsidRDefault="00E92510" w:rsidP="00A17DB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CFBAC" w14:textId="5A7D4CB7" w:rsidR="00E92510" w:rsidRDefault="00E92510" w:rsidP="005365AD">
    <w:pPr>
      <w:pStyle w:val="Piedepgina"/>
      <w:jc w:val="right"/>
      <w:rPr>
        <w:rFonts w:asciiTheme="majorHAnsi" w:eastAsiaTheme="majorEastAsia" w:hAnsiTheme="majorHAnsi" w:cstheme="majorBidi"/>
        <w:sz w:val="28"/>
        <w:szCs w:val="28"/>
        <w:lang w:val="es-ES"/>
      </w:rPr>
    </w:pPr>
    <w:r>
      <w:rPr>
        <w:noProof/>
        <w:lang w:val="es-MX" w:eastAsia="es-MX"/>
      </w:rPr>
      <mc:AlternateContent>
        <mc:Choice Requires="wps">
          <w:drawing>
            <wp:anchor distT="0" distB="0" distL="114300" distR="114300" simplePos="0" relativeHeight="251664384" behindDoc="0" locked="0" layoutInCell="1" allowOverlap="1" wp14:anchorId="23426CED" wp14:editId="6189DF2C">
              <wp:simplePos x="0" y="0"/>
              <wp:positionH relativeFrom="column">
                <wp:posOffset>213360</wp:posOffset>
              </wp:positionH>
              <wp:positionV relativeFrom="paragraph">
                <wp:posOffset>172838</wp:posOffset>
              </wp:positionV>
              <wp:extent cx="6324600" cy="0"/>
              <wp:effectExtent l="0" t="19050" r="0" b="19050"/>
              <wp:wrapNone/>
              <wp:docPr id="1" name="1 Conector recto"/>
              <wp:cNvGraphicFramePr/>
              <a:graphic xmlns:a="http://schemas.openxmlformats.org/drawingml/2006/main">
                <a:graphicData uri="http://schemas.microsoft.com/office/word/2010/wordprocessingShape">
                  <wps:wsp>
                    <wps:cNvCnPr/>
                    <wps:spPr>
                      <a:xfrm>
                        <a:off x="0" y="0"/>
                        <a:ext cx="632460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1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8pt,13.6pt" to="514.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" strokecolor="#bc4542 [3045]" strokeweight="2.25pt"/>
          </w:pict>
        </mc:Fallback>
      </mc:AlternateContent>
    </w:r>
  </w:p>
  <w:p w14:paraId="09F2F2C3" w14:textId="23EFE68E" w:rsidR="00E92510" w:rsidRPr="005365AD" w:rsidRDefault="008F6EBA" w:rsidP="005365AD">
    <w:pPr>
      <w:pStyle w:val="Piedepgina"/>
      <w:spacing w:line="480" w:lineRule="auto"/>
      <w:jc w:val="right"/>
      <w:rPr>
        <w:rFonts w:eastAsiaTheme="majorEastAsia" w:cs="Arial"/>
      </w:rPr>
    </w:pPr>
    <w:sdt>
      <w:sdtPr>
        <w:rPr>
          <w:rFonts w:asciiTheme="majorHAnsi" w:eastAsiaTheme="majorEastAsia" w:hAnsiTheme="majorHAnsi" w:cstheme="majorBidi"/>
          <w:sz w:val="28"/>
          <w:szCs w:val="28"/>
          <w:lang w:val="es-ES"/>
        </w:rPr>
        <w:id w:val="1380969604"/>
        <w:docPartObj>
          <w:docPartGallery w:val="Page Numbers (Bottom of Page)"/>
          <w:docPartUnique/>
        </w:docPartObj>
      </w:sdtPr>
      <w:sdtEndPr>
        <w:rPr>
          <w:rFonts w:ascii="Arial" w:hAnsi="Arial" w:cs="Arial"/>
          <w:sz w:val="24"/>
          <w:szCs w:val="24"/>
          <w:lang w:val="es-ES_tradnl"/>
        </w:rPr>
      </w:sdtEndPr>
      <w:sdtContent>
        <w:r w:rsidR="00E92510">
          <w:rPr>
            <w:rFonts w:asciiTheme="majorHAnsi" w:eastAsiaTheme="majorEastAsia" w:hAnsiTheme="majorHAnsi" w:cstheme="majorBidi"/>
            <w:sz w:val="28"/>
            <w:szCs w:val="28"/>
            <w:lang w:val="es-ES"/>
          </w:rPr>
          <w:t xml:space="preserve"> </w:t>
        </w:r>
        <w:r w:rsidR="00E92510">
          <w:rPr>
            <w:rFonts w:eastAsiaTheme="majorEastAsia" w:cs="Arial"/>
            <w:lang w:val="es-ES"/>
          </w:rPr>
          <w:t>P</w:t>
        </w:r>
        <w:r w:rsidR="00E92510" w:rsidRPr="005365AD">
          <w:rPr>
            <w:rFonts w:eastAsiaTheme="majorEastAsia" w:cs="Arial"/>
            <w:lang w:val="es-ES"/>
          </w:rPr>
          <w:t>ág</w:t>
        </w:r>
        <w:r w:rsidR="00E92510">
          <w:rPr>
            <w:rFonts w:eastAsiaTheme="majorEastAsia" w:cs="Arial"/>
            <w:lang w:val="es-ES"/>
          </w:rPr>
          <w:t>ina |</w:t>
        </w:r>
        <w:r w:rsidR="00E92510" w:rsidRPr="005365AD">
          <w:rPr>
            <w:rFonts w:eastAsiaTheme="majorEastAsia" w:cs="Arial"/>
            <w:lang w:val="es-ES"/>
          </w:rPr>
          <w:t xml:space="preserve"> </w:t>
        </w:r>
        <w:r w:rsidR="00E92510" w:rsidRPr="005365AD">
          <w:rPr>
            <w:rFonts w:eastAsiaTheme="minorEastAsia" w:cs="Arial"/>
          </w:rPr>
          <w:fldChar w:fldCharType="begin"/>
        </w:r>
        <w:r w:rsidR="00E92510" w:rsidRPr="005365AD">
          <w:rPr>
            <w:rFonts w:cs="Arial"/>
          </w:rPr>
          <w:instrText>PAGE    \* MERGEFORMAT</w:instrText>
        </w:r>
        <w:r w:rsidR="00E92510" w:rsidRPr="005365AD">
          <w:rPr>
            <w:rFonts w:eastAsiaTheme="minorEastAsia" w:cs="Arial"/>
          </w:rPr>
          <w:fldChar w:fldCharType="separate"/>
        </w:r>
        <w:r w:rsidR="004C79F2" w:rsidRPr="004C79F2">
          <w:rPr>
            <w:rFonts w:eastAsiaTheme="majorEastAsia" w:cs="Arial"/>
            <w:noProof/>
            <w:lang w:val="es-ES"/>
          </w:rPr>
          <w:t>68</w:t>
        </w:r>
        <w:r w:rsidR="00E92510" w:rsidRPr="005365AD">
          <w:rPr>
            <w:rFonts w:eastAsiaTheme="majorEastAsia" w:cs="Arial"/>
          </w:rPr>
          <w:fldChar w:fldCharType="end"/>
        </w:r>
      </w:sdtContent>
    </w:sdt>
  </w:p>
  <w:p w14:paraId="305F4A10" w14:textId="63F13042" w:rsidR="00E92510" w:rsidRDefault="00E92510" w:rsidP="004F3711">
    <w:pPr>
      <w:pStyle w:val="Piedepgina"/>
      <w:tabs>
        <w:tab w:val="center" w:pos="4097"/>
        <w:tab w:val="left" w:pos="7980"/>
      </w:tabs>
      <w:ind w:left="-1418"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6DB86" w14:textId="77777777" w:rsidR="008F6EBA" w:rsidRDefault="008F6EBA" w:rsidP="00315CBE">
      <w:r>
        <w:separator/>
      </w:r>
    </w:p>
  </w:footnote>
  <w:footnote w:type="continuationSeparator" w:id="0">
    <w:p w14:paraId="290D5369" w14:textId="77777777" w:rsidR="008F6EBA" w:rsidRDefault="008F6EBA" w:rsidP="00315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F828F" w14:textId="77777777" w:rsidR="00E92510" w:rsidRDefault="00E92510" w:rsidP="00EC50A8">
    <w:pPr>
      <w:ind w:left="-142"/>
      <w:jc w:val="center"/>
      <w:rPr>
        <w:rFonts w:ascii="Montserrat" w:eastAsia="Times New Roman" w:hAnsi="Montserrat" w:cs="Arial"/>
        <w:b/>
        <w:sz w:val="22"/>
        <w:lang w:val="es-ES" w:bidi="th-TH"/>
      </w:rPr>
    </w:pPr>
  </w:p>
  <w:p w14:paraId="790B38A9" w14:textId="0FB91385" w:rsidR="00E92510" w:rsidRPr="00C5216E" w:rsidRDefault="00E92510" w:rsidP="00EC50A8">
    <w:pPr>
      <w:ind w:left="-142"/>
      <w:jc w:val="center"/>
      <w:rPr>
        <w:rFonts w:ascii="Montserrat" w:eastAsia="Times New Roman" w:hAnsi="Montserrat" w:cs="Arial"/>
        <w:b/>
        <w:sz w:val="22"/>
        <w:lang w:val="es-ES" w:bidi="th-TH"/>
      </w:rPr>
    </w:pPr>
    <w:r w:rsidRPr="005365AD">
      <w:rPr>
        <w:rFonts w:ascii="Montserrat" w:eastAsia="Times New Roman" w:hAnsi="Montserrat" w:cs="Arial"/>
        <w:b/>
        <w:noProof/>
        <w:sz w:val="22"/>
        <w:lang w:val="es-MX" w:eastAsia="es-MX"/>
      </w:rPr>
      <w:drawing>
        <wp:anchor distT="0" distB="0" distL="114300" distR="114300" simplePos="0" relativeHeight="251661312" behindDoc="1" locked="0" layoutInCell="1" allowOverlap="1" wp14:anchorId="07A09716" wp14:editId="7275CEA2">
          <wp:simplePos x="0" y="0"/>
          <wp:positionH relativeFrom="column">
            <wp:posOffset>108585</wp:posOffset>
          </wp:positionH>
          <wp:positionV relativeFrom="paragraph">
            <wp:posOffset>13335</wp:posOffset>
          </wp:positionV>
          <wp:extent cx="524510" cy="594360"/>
          <wp:effectExtent l="0" t="0" r="8890" b="0"/>
          <wp:wrapTight wrapText="bothSides">
            <wp:wrapPolygon edited="0">
              <wp:start x="0" y="0"/>
              <wp:lineTo x="0" y="20769"/>
              <wp:lineTo x="21182" y="20769"/>
              <wp:lineTo x="21182" y="0"/>
              <wp:lineTo x="0" y="0"/>
            </wp:wrapPolygon>
          </wp:wrapTight>
          <wp:docPr id="3"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r="19823" b="7835"/>
                  <a:stretch/>
                </pic:blipFill>
                <pic:spPr bwMode="auto">
                  <a:xfrm>
                    <a:off x="0" y="0"/>
                    <a:ext cx="524510" cy="594360"/>
                  </a:xfrm>
                  <a:prstGeom prst="rect">
                    <a:avLst/>
                  </a:prstGeom>
                  <a:noFill/>
                </pic:spPr>
              </pic:pic>
            </a:graphicData>
          </a:graphic>
          <wp14:sizeRelH relativeFrom="page">
            <wp14:pctWidth>0</wp14:pctWidth>
          </wp14:sizeRelH>
          <wp14:sizeRelV relativeFrom="page">
            <wp14:pctHeight>0</wp14:pctHeight>
          </wp14:sizeRelV>
        </wp:anchor>
      </w:drawing>
    </w:r>
    <w:r w:rsidRPr="005365AD">
      <w:rPr>
        <w:rFonts w:ascii="Montserrat" w:eastAsia="Times New Roman" w:hAnsi="Montserrat" w:cs="Arial"/>
        <w:b/>
        <w:noProof/>
        <w:sz w:val="22"/>
        <w:lang w:val="es-MX" w:eastAsia="es-MX"/>
      </w:rPr>
      <w:drawing>
        <wp:anchor distT="0" distB="0" distL="114300" distR="114300" simplePos="0" relativeHeight="251662336" behindDoc="1" locked="0" layoutInCell="1" allowOverlap="1" wp14:anchorId="075F67FE" wp14:editId="6861292F">
          <wp:simplePos x="0" y="0"/>
          <wp:positionH relativeFrom="column">
            <wp:posOffset>5166360</wp:posOffset>
          </wp:positionH>
          <wp:positionV relativeFrom="paragraph">
            <wp:posOffset>123190</wp:posOffset>
          </wp:positionV>
          <wp:extent cx="1463040" cy="494030"/>
          <wp:effectExtent l="0" t="0" r="3810" b="1270"/>
          <wp:wrapTight wrapText="bothSides">
            <wp:wrapPolygon edited="0">
              <wp:start x="1688" y="0"/>
              <wp:lineTo x="0" y="5830"/>
              <wp:lineTo x="0" y="7496"/>
              <wp:lineTo x="563" y="20823"/>
              <wp:lineTo x="21375" y="20823"/>
              <wp:lineTo x="21375" y="4997"/>
              <wp:lineTo x="4781" y="0"/>
              <wp:lineTo x="168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494030"/>
                  </a:xfrm>
                  <a:prstGeom prst="rect">
                    <a:avLst/>
                  </a:prstGeom>
                  <a:noFill/>
                </pic:spPr>
              </pic:pic>
            </a:graphicData>
          </a:graphic>
          <wp14:sizeRelH relativeFrom="page">
            <wp14:pctWidth>0</wp14:pctWidth>
          </wp14:sizeRelH>
          <wp14:sizeRelV relativeFrom="page">
            <wp14:pctHeight>0</wp14:pctHeight>
          </wp14:sizeRelV>
        </wp:anchor>
      </w:drawing>
    </w:r>
    <w:r w:rsidRPr="00C5216E">
      <w:rPr>
        <w:rFonts w:ascii="Montserrat" w:eastAsia="Times New Roman" w:hAnsi="Montserrat" w:cs="Arial"/>
        <w:b/>
        <w:sz w:val="22"/>
        <w:lang w:val="es-ES" w:bidi="th-TH"/>
      </w:rPr>
      <w:t xml:space="preserve">GOBIERNO DEL ESTADO LIBRE Y SOBERANO </w:t>
    </w:r>
  </w:p>
  <w:p w14:paraId="4FAB0D7F" w14:textId="1E2CC02D" w:rsidR="00E92510" w:rsidRPr="00C5216E" w:rsidRDefault="00E92510" w:rsidP="008352AF">
    <w:pPr>
      <w:tabs>
        <w:tab w:val="center" w:pos="4915"/>
        <w:tab w:val="left" w:pos="9081"/>
      </w:tabs>
      <w:ind w:left="-142"/>
      <w:rPr>
        <w:rFonts w:ascii="Montserrat" w:eastAsia="Times New Roman" w:hAnsi="Montserrat" w:cs="Arial"/>
        <w:b/>
        <w:sz w:val="22"/>
        <w:lang w:val="es-ES" w:bidi="th-TH"/>
      </w:rPr>
    </w:pPr>
    <w:r>
      <w:rPr>
        <w:rFonts w:ascii="Montserrat" w:eastAsia="Times New Roman" w:hAnsi="Montserrat" w:cs="Arial"/>
        <w:b/>
        <w:sz w:val="22"/>
        <w:lang w:val="es-ES" w:bidi="th-TH"/>
      </w:rPr>
      <w:tab/>
    </w:r>
    <w:r w:rsidRPr="00C5216E">
      <w:rPr>
        <w:rFonts w:ascii="Montserrat" w:eastAsia="Times New Roman" w:hAnsi="Montserrat" w:cs="Arial"/>
        <w:b/>
        <w:sz w:val="22"/>
        <w:lang w:val="es-ES" w:bidi="th-TH"/>
      </w:rPr>
      <w:t>DE QUINTANA ROO</w:t>
    </w:r>
    <w:r>
      <w:rPr>
        <w:rFonts w:ascii="Montserrat" w:eastAsia="Times New Roman" w:hAnsi="Montserrat" w:cs="Arial"/>
        <w:b/>
        <w:sz w:val="22"/>
        <w:lang w:val="es-ES" w:bidi="th-TH"/>
      </w:rPr>
      <w:tab/>
    </w:r>
  </w:p>
  <w:p w14:paraId="7031908F" w14:textId="7FFCE25F" w:rsidR="00E92510" w:rsidRPr="00C5216E" w:rsidRDefault="00E92510" w:rsidP="00EC50A8">
    <w:pPr>
      <w:ind w:left="-142"/>
      <w:jc w:val="center"/>
      <w:rPr>
        <w:rFonts w:ascii="Montserrat" w:eastAsia="Times New Roman" w:hAnsi="Montserrat" w:cs="Arial"/>
        <w:b/>
        <w:sz w:val="22"/>
        <w:lang w:val="es-ES" w:bidi="th-TH"/>
      </w:rPr>
    </w:pPr>
    <w:r w:rsidRPr="00C5216E">
      <w:rPr>
        <w:rFonts w:ascii="Montserrat" w:eastAsia="Times New Roman" w:hAnsi="Montserrat" w:cs="Arial"/>
        <w:b/>
        <w:sz w:val="22"/>
        <w:lang w:val="es-ES" w:bidi="th-TH"/>
      </w:rPr>
      <w:t>NOTAS A LOS ESTADOS FINANCIEROS</w:t>
    </w:r>
  </w:p>
  <w:p w14:paraId="3883AC78" w14:textId="714EA1BC" w:rsidR="00E92510" w:rsidRPr="00C5216E" w:rsidRDefault="00E92510" w:rsidP="00EC50A8">
    <w:pPr>
      <w:ind w:left="-142"/>
      <w:jc w:val="center"/>
      <w:rPr>
        <w:rFonts w:ascii="Montserrat" w:eastAsia="Times New Roman" w:hAnsi="Montserrat" w:cs="Arial"/>
        <w:b/>
        <w:sz w:val="22"/>
        <w:lang w:val="es-ES" w:bidi="th-TH"/>
      </w:rPr>
    </w:pPr>
    <w:r>
      <w:rPr>
        <w:rFonts w:ascii="Montserrat" w:eastAsia="Times New Roman" w:hAnsi="Montserrat" w:cs="Arial"/>
        <w:b/>
        <w:sz w:val="22"/>
        <w:lang w:val="es-ES" w:bidi="th-TH"/>
      </w:rPr>
      <w:t>Al 30 de junio de 2025</w:t>
    </w:r>
    <w:r w:rsidRPr="00C5216E">
      <w:rPr>
        <w:rFonts w:ascii="Montserrat" w:eastAsia="Times New Roman" w:hAnsi="Montserrat" w:cs="Arial"/>
        <w:b/>
        <w:sz w:val="22"/>
        <w:lang w:val="es-ES" w:bidi="th-TH"/>
      </w:rPr>
      <w:t xml:space="preserve"> </w:t>
    </w:r>
  </w:p>
  <w:p w14:paraId="2E7C4E70" w14:textId="13AF7EE1" w:rsidR="00E92510" w:rsidRPr="00C5216E" w:rsidRDefault="00E92510" w:rsidP="00EC50A8">
    <w:pPr>
      <w:ind w:left="-142"/>
      <w:jc w:val="center"/>
      <w:rPr>
        <w:rFonts w:ascii="Montserrat" w:eastAsia="Times New Roman" w:hAnsi="Montserrat" w:cs="Arial"/>
        <w:b/>
        <w:color w:val="4BACC6"/>
        <w:sz w:val="22"/>
        <w:lang w:val="es-ES" w:bidi="th-TH"/>
      </w:rPr>
    </w:pPr>
    <w:r>
      <w:rPr>
        <w:rFonts w:ascii="Montserrat" w:eastAsia="Times New Roman" w:hAnsi="Montserrat" w:cs="Arial"/>
        <w:b/>
        <w:sz w:val="22"/>
        <w:lang w:val="es-ES" w:bidi="th-TH"/>
      </w:rPr>
      <w:t>(Pesos con centavos</w:t>
    </w:r>
    <w:r w:rsidRPr="00C5216E">
      <w:rPr>
        <w:rFonts w:ascii="Montserrat" w:eastAsia="Times New Roman" w:hAnsi="Montserrat" w:cs="Arial"/>
        <w:b/>
        <w:sz w:val="22"/>
        <w:lang w:val="es-ES" w:bidi="th-TH"/>
      </w:rPr>
      <w:t>)</w:t>
    </w:r>
  </w:p>
  <w:p w14:paraId="2057FD89" w14:textId="2BF1CABB" w:rsidR="00E92510" w:rsidRDefault="00E92510" w:rsidP="00125E63">
    <w:pPr>
      <w:pStyle w:val="Encabezado"/>
      <w:tabs>
        <w:tab w:val="clear" w:pos="4252"/>
        <w:tab w:val="clear" w:pos="8504"/>
        <w:tab w:val="left" w:pos="776"/>
        <w:tab w:val="left" w:pos="9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ABE386A"/>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68F02C5A"/>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44F4B65E"/>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0E906443"/>
    <w:multiLevelType w:val="hybridMultilevel"/>
    <w:tmpl w:val="FBEE8C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693328"/>
    <w:multiLevelType w:val="hybridMultilevel"/>
    <w:tmpl w:val="77EACC70"/>
    <w:lvl w:ilvl="0" w:tplc="7862B0A6">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5">
    <w:nsid w:val="170545FD"/>
    <w:multiLevelType w:val="hybridMultilevel"/>
    <w:tmpl w:val="97529EB0"/>
    <w:lvl w:ilvl="0" w:tplc="49D277B6">
      <w:start w:val="1"/>
      <w:numFmt w:val="bullet"/>
      <w:pStyle w:val="VIETA1BALANEGRA"/>
      <w:lvlText w:val=""/>
      <w:lvlJc w:val="left"/>
      <w:pPr>
        <w:tabs>
          <w:tab w:val="num" w:pos="397"/>
        </w:tabs>
        <w:ind w:left="397" w:hanging="397"/>
      </w:pPr>
      <w:rPr>
        <w:rFonts w:ascii="Symbol" w:hAnsi="Symbol" w:hint="default"/>
        <w:sz w:val="22"/>
        <w:szCs w:val="22"/>
      </w:rPr>
    </w:lvl>
    <w:lvl w:ilvl="1" w:tplc="B16AB476">
      <w:start w:val="1"/>
      <w:numFmt w:val="bullet"/>
      <w:lvlText w:val="-"/>
      <w:lvlJc w:val="left"/>
      <w:pPr>
        <w:tabs>
          <w:tab w:val="num" w:pos="1363"/>
        </w:tabs>
        <w:ind w:left="1363" w:hanging="283"/>
      </w:pPr>
      <w:rPr>
        <w:rFonts w:ascii="Wide Latin" w:hAnsi="Wide Latin" w:hint="default"/>
        <w:color w:val="808080"/>
        <w:sz w:val="20"/>
        <w:szCs w:val="2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B79253A"/>
    <w:multiLevelType w:val="hybridMultilevel"/>
    <w:tmpl w:val="A4689A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B85641B"/>
    <w:multiLevelType w:val="multilevel"/>
    <w:tmpl w:val="03B0D946"/>
    <w:lvl w:ilvl="0">
      <w:start w:val="1"/>
      <w:numFmt w:val="decimal"/>
      <w:pStyle w:val="Ttulo1"/>
      <w:lvlText w:val="%1"/>
      <w:lvlJc w:val="left"/>
      <w:pPr>
        <w:ind w:left="432" w:hanging="432"/>
      </w:pPr>
    </w:lvl>
    <w:lvl w:ilvl="1">
      <w:start w:val="1"/>
      <w:numFmt w:val="decimal"/>
      <w:pStyle w:val="Ttulo2"/>
      <w:lvlText w:val="%2"/>
      <w:lvlJc w:val="left"/>
      <w:pPr>
        <w:ind w:left="718" w:hanging="576"/>
      </w:pPr>
      <w:rPr>
        <w:rFonts w:ascii="Futura Lt BT" w:eastAsia="Times New Roman" w:hAnsi="Futura Lt BT" w:cs="Times New Roman"/>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nsid w:val="20B74004"/>
    <w:multiLevelType w:val="hybridMultilevel"/>
    <w:tmpl w:val="87E86F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240E557A"/>
    <w:multiLevelType w:val="hybridMultilevel"/>
    <w:tmpl w:val="A5C629DE"/>
    <w:lvl w:ilvl="0" w:tplc="803CF2BC">
      <w:start w:val="1"/>
      <w:numFmt w:val="bullet"/>
      <w:pStyle w:val="Listaconvietas"/>
      <w:lvlText w:val=""/>
      <w:lvlJc w:val="left"/>
      <w:pPr>
        <w:tabs>
          <w:tab w:val="num" w:pos="323"/>
        </w:tabs>
        <w:ind w:left="323" w:hanging="323"/>
      </w:pPr>
      <w:rPr>
        <w:rFonts w:ascii="Symbol" w:hAnsi="Symbol" w:hint="default"/>
        <w:b w:val="0"/>
        <w:i w:val="0"/>
        <w:caps w:val="0"/>
        <w:strike w:val="0"/>
        <w:dstrike w:val="0"/>
        <w:vanish w:val="0"/>
        <w:color w:val="auto"/>
        <w:kern w:val="0"/>
        <w:sz w:val="20"/>
        <w:szCs w:val="20"/>
        <w:effect w:val="none"/>
        <w:vertAlign w:val="base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40E728D"/>
    <w:multiLevelType w:val="hybridMultilevel"/>
    <w:tmpl w:val="6D04C1C0"/>
    <w:lvl w:ilvl="0" w:tplc="9F6A46CC">
      <w:start w:val="1"/>
      <w:numFmt w:val="bullet"/>
      <w:pStyle w:val="vietacuadro"/>
      <w:lvlText w:val=""/>
      <w:lvlJc w:val="left"/>
      <w:pPr>
        <w:tabs>
          <w:tab w:val="num" w:pos="360"/>
        </w:tabs>
        <w:ind w:left="0" w:firstLine="0"/>
      </w:pPr>
      <w:rPr>
        <w:rFonts w:ascii="Symbol" w:hAnsi="Symbol" w:hint="default"/>
        <w:sz w:val="16"/>
      </w:rPr>
    </w:lvl>
    <w:lvl w:ilvl="1" w:tplc="68D0916E">
      <w:start w:val="1"/>
      <w:numFmt w:val="bullet"/>
      <w:lvlText w:val=""/>
      <w:lvlJc w:val="left"/>
      <w:pPr>
        <w:tabs>
          <w:tab w:val="num" w:pos="1174"/>
        </w:tabs>
        <w:ind w:left="1174" w:hanging="454"/>
      </w:pPr>
      <w:rPr>
        <w:rFonts w:ascii="Symbol" w:hAnsi="Symbol" w:hint="default"/>
        <w:sz w:val="18"/>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26BD5D0D"/>
    <w:multiLevelType w:val="hybridMultilevel"/>
    <w:tmpl w:val="3BFC9A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BC26F5A"/>
    <w:multiLevelType w:val="hybridMultilevel"/>
    <w:tmpl w:val="0610F606"/>
    <w:lvl w:ilvl="0" w:tplc="E5E8AF7E">
      <w:start w:val="1"/>
      <w:numFmt w:val="bullet"/>
      <w:pStyle w:val="VIETA2GUION"/>
      <w:lvlText w:val="-"/>
      <w:lvlJc w:val="left"/>
      <w:pPr>
        <w:tabs>
          <w:tab w:val="num" w:pos="567"/>
        </w:tabs>
        <w:ind w:left="567" w:hanging="170"/>
      </w:pPr>
      <w:rPr>
        <w:rFonts w:ascii="Wide Latin" w:hAnsi="Wide Latin" w:hint="default"/>
        <w:color w:val="auto"/>
        <w:sz w:val="16"/>
        <w:szCs w:val="24"/>
      </w:rPr>
    </w:lvl>
    <w:lvl w:ilvl="1" w:tplc="B16AB476">
      <w:start w:val="1"/>
      <w:numFmt w:val="bullet"/>
      <w:lvlText w:val="-"/>
      <w:lvlJc w:val="left"/>
      <w:pPr>
        <w:tabs>
          <w:tab w:val="num" w:pos="1760"/>
        </w:tabs>
        <w:ind w:left="1760" w:hanging="283"/>
      </w:pPr>
      <w:rPr>
        <w:rFonts w:ascii="Wide Latin" w:hAnsi="Wide Latin" w:hint="default"/>
        <w:color w:val="808080"/>
        <w:sz w:val="20"/>
        <w:szCs w:val="24"/>
      </w:rPr>
    </w:lvl>
    <w:lvl w:ilvl="2" w:tplc="0C0A0005" w:tentative="1">
      <w:start w:val="1"/>
      <w:numFmt w:val="bullet"/>
      <w:lvlText w:val=""/>
      <w:lvlJc w:val="left"/>
      <w:pPr>
        <w:tabs>
          <w:tab w:val="num" w:pos="2557"/>
        </w:tabs>
        <w:ind w:left="2557" w:hanging="360"/>
      </w:pPr>
      <w:rPr>
        <w:rFonts w:ascii="Wingdings" w:hAnsi="Wingdings" w:hint="default"/>
      </w:rPr>
    </w:lvl>
    <w:lvl w:ilvl="3" w:tplc="0C0A0001" w:tentative="1">
      <w:start w:val="1"/>
      <w:numFmt w:val="bullet"/>
      <w:lvlText w:val=""/>
      <w:lvlJc w:val="left"/>
      <w:pPr>
        <w:tabs>
          <w:tab w:val="num" w:pos="3277"/>
        </w:tabs>
        <w:ind w:left="3277" w:hanging="360"/>
      </w:pPr>
      <w:rPr>
        <w:rFonts w:ascii="Symbol" w:hAnsi="Symbol" w:hint="default"/>
      </w:rPr>
    </w:lvl>
    <w:lvl w:ilvl="4" w:tplc="0C0A0003" w:tentative="1">
      <w:start w:val="1"/>
      <w:numFmt w:val="bullet"/>
      <w:lvlText w:val="o"/>
      <w:lvlJc w:val="left"/>
      <w:pPr>
        <w:tabs>
          <w:tab w:val="num" w:pos="3997"/>
        </w:tabs>
        <w:ind w:left="3997" w:hanging="360"/>
      </w:pPr>
      <w:rPr>
        <w:rFonts w:ascii="Courier New" w:hAnsi="Courier New" w:cs="Courier New" w:hint="default"/>
      </w:rPr>
    </w:lvl>
    <w:lvl w:ilvl="5" w:tplc="0C0A0005" w:tentative="1">
      <w:start w:val="1"/>
      <w:numFmt w:val="bullet"/>
      <w:lvlText w:val=""/>
      <w:lvlJc w:val="left"/>
      <w:pPr>
        <w:tabs>
          <w:tab w:val="num" w:pos="4717"/>
        </w:tabs>
        <w:ind w:left="4717" w:hanging="360"/>
      </w:pPr>
      <w:rPr>
        <w:rFonts w:ascii="Wingdings" w:hAnsi="Wingdings" w:hint="default"/>
      </w:rPr>
    </w:lvl>
    <w:lvl w:ilvl="6" w:tplc="0C0A0001" w:tentative="1">
      <w:start w:val="1"/>
      <w:numFmt w:val="bullet"/>
      <w:lvlText w:val=""/>
      <w:lvlJc w:val="left"/>
      <w:pPr>
        <w:tabs>
          <w:tab w:val="num" w:pos="5437"/>
        </w:tabs>
        <w:ind w:left="5437" w:hanging="360"/>
      </w:pPr>
      <w:rPr>
        <w:rFonts w:ascii="Symbol" w:hAnsi="Symbol" w:hint="default"/>
      </w:rPr>
    </w:lvl>
    <w:lvl w:ilvl="7" w:tplc="0C0A0003" w:tentative="1">
      <w:start w:val="1"/>
      <w:numFmt w:val="bullet"/>
      <w:lvlText w:val="o"/>
      <w:lvlJc w:val="left"/>
      <w:pPr>
        <w:tabs>
          <w:tab w:val="num" w:pos="6157"/>
        </w:tabs>
        <w:ind w:left="6157" w:hanging="360"/>
      </w:pPr>
      <w:rPr>
        <w:rFonts w:ascii="Courier New" w:hAnsi="Courier New" w:cs="Courier New" w:hint="default"/>
      </w:rPr>
    </w:lvl>
    <w:lvl w:ilvl="8" w:tplc="0C0A0005" w:tentative="1">
      <w:start w:val="1"/>
      <w:numFmt w:val="bullet"/>
      <w:lvlText w:val=""/>
      <w:lvlJc w:val="left"/>
      <w:pPr>
        <w:tabs>
          <w:tab w:val="num" w:pos="6877"/>
        </w:tabs>
        <w:ind w:left="6877" w:hanging="360"/>
      </w:pPr>
      <w:rPr>
        <w:rFonts w:ascii="Wingdings" w:hAnsi="Wingdings" w:hint="default"/>
      </w:rPr>
    </w:lvl>
  </w:abstractNum>
  <w:abstractNum w:abstractNumId="13">
    <w:nsid w:val="2C061830"/>
    <w:multiLevelType w:val="hybridMultilevel"/>
    <w:tmpl w:val="407C23E6"/>
    <w:lvl w:ilvl="0" w:tplc="5CE08498">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FF63BBE"/>
    <w:multiLevelType w:val="hybridMultilevel"/>
    <w:tmpl w:val="389AFFB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5A1144F"/>
    <w:multiLevelType w:val="hybridMultilevel"/>
    <w:tmpl w:val="CD885614"/>
    <w:lvl w:ilvl="0" w:tplc="EB665218">
      <w:start w:val="1"/>
      <w:numFmt w:val="bullet"/>
      <w:pStyle w:val="vietabala"/>
      <w:lvlText w:val=""/>
      <w:lvlJc w:val="left"/>
      <w:pPr>
        <w:tabs>
          <w:tab w:val="num" w:pos="360"/>
        </w:tabs>
        <w:ind w:left="170" w:hanging="170"/>
      </w:pPr>
      <w:rPr>
        <w:rFonts w:ascii="Wingdings" w:hAnsi="Wingdings" w:hint="default"/>
        <w:sz w:val="10"/>
      </w:rPr>
    </w:lvl>
    <w:lvl w:ilvl="1" w:tplc="68D0916E">
      <w:start w:val="1"/>
      <w:numFmt w:val="bullet"/>
      <w:lvlText w:val=""/>
      <w:lvlJc w:val="left"/>
      <w:pPr>
        <w:tabs>
          <w:tab w:val="num" w:pos="1174"/>
        </w:tabs>
        <w:ind w:left="1174" w:hanging="454"/>
      </w:pPr>
      <w:rPr>
        <w:rFonts w:ascii="Symbol" w:hAnsi="Symbol" w:hint="default"/>
        <w:sz w:val="18"/>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nsid w:val="36C201F0"/>
    <w:multiLevelType w:val="multilevel"/>
    <w:tmpl w:val="81FC32FE"/>
    <w:lvl w:ilvl="0">
      <w:start w:val="1"/>
      <w:numFmt w:val="bullet"/>
      <w:pStyle w:val="vinro"/>
      <w:lvlText w:val=""/>
      <w:lvlJc w:val="left"/>
      <w:pPr>
        <w:tabs>
          <w:tab w:val="num" w:pos="720"/>
        </w:tabs>
        <w:ind w:left="720" w:hanging="432"/>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6EC456A"/>
    <w:multiLevelType w:val="hybridMultilevel"/>
    <w:tmpl w:val="3B9400EE"/>
    <w:lvl w:ilvl="0" w:tplc="EF288636">
      <w:numFmt w:val="bullet"/>
      <w:pStyle w:val="bala"/>
      <w:lvlText w:val=""/>
      <w:lvlJc w:val="left"/>
      <w:pPr>
        <w:tabs>
          <w:tab w:val="num" w:pos="340"/>
        </w:tabs>
        <w:ind w:left="340" w:hanging="283"/>
      </w:pPr>
      <w:rPr>
        <w:rFonts w:ascii="Symbol" w:hAnsi="Symbol" w:cs="Times New Roman" w:hint="default"/>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85C6098"/>
    <w:multiLevelType w:val="hybridMultilevel"/>
    <w:tmpl w:val="E08874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86E02A6"/>
    <w:multiLevelType w:val="hybridMultilevel"/>
    <w:tmpl w:val="A82AD7BC"/>
    <w:lvl w:ilvl="0" w:tplc="040A0001">
      <w:start w:val="1"/>
      <w:numFmt w:val="bullet"/>
      <w:lvlText w:val=""/>
      <w:lvlJc w:val="left"/>
      <w:pPr>
        <w:tabs>
          <w:tab w:val="num" w:pos="720"/>
        </w:tabs>
        <w:ind w:left="720" w:hanging="360"/>
      </w:pPr>
      <w:rPr>
        <w:rFonts w:ascii="Symbol" w:eastAsia="Times New Roman" w:hAnsi="Symbol" w:hint="default"/>
      </w:rPr>
    </w:lvl>
    <w:lvl w:ilvl="1" w:tplc="E08E5FE4">
      <w:start w:val="1"/>
      <w:numFmt w:val="bullet"/>
      <w:pStyle w:val="Vieta2"/>
      <w:lvlText w:val="–"/>
      <w:lvlJc w:val="left"/>
      <w:pPr>
        <w:tabs>
          <w:tab w:val="num" w:pos="120"/>
        </w:tabs>
        <w:ind w:left="360"/>
      </w:pPr>
      <w:rPr>
        <w:rFonts w:ascii="EurekaSans-Regular" w:hAnsi="EurekaSans-Regular" w:hint="default"/>
      </w:rPr>
    </w:lvl>
    <w:lvl w:ilvl="2" w:tplc="151C14AA">
      <w:start w:val="1"/>
      <w:numFmt w:val="bullet"/>
      <w:lvlText w:val="∞"/>
      <w:lvlJc w:val="left"/>
      <w:pPr>
        <w:tabs>
          <w:tab w:val="num" w:pos="2160"/>
        </w:tabs>
        <w:ind w:left="2160" w:hanging="360"/>
      </w:pPr>
      <w:rPr>
        <w:rFonts w:ascii="Eureka Sans Light" w:hAnsi="Eureka Sans Light" w:hint="default"/>
        <w:sz w:val="24"/>
      </w:rPr>
    </w:lvl>
    <w:lvl w:ilvl="3" w:tplc="BEE6F250">
      <w:start w:val="1"/>
      <w:numFmt w:val="bullet"/>
      <w:lvlText w:val="∞"/>
      <w:lvlJc w:val="left"/>
      <w:pPr>
        <w:tabs>
          <w:tab w:val="num" w:pos="2880"/>
        </w:tabs>
        <w:ind w:left="2880" w:hanging="360"/>
      </w:pPr>
      <w:rPr>
        <w:rFonts w:ascii="Eureka Sans Light" w:hAnsi="Eureka Sans Light" w:hint="default"/>
        <w:sz w:val="24"/>
      </w:rPr>
    </w:lvl>
    <w:lvl w:ilvl="4" w:tplc="040A0003">
      <w:start w:val="1"/>
      <w:numFmt w:val="bullet"/>
      <w:lvlText w:val="o"/>
      <w:lvlJc w:val="left"/>
      <w:pPr>
        <w:tabs>
          <w:tab w:val="num" w:pos="3600"/>
        </w:tabs>
        <w:ind w:left="3600" w:hanging="360"/>
      </w:pPr>
      <w:rPr>
        <w:rFonts w:ascii="Courier" w:hAnsi="Courier" w:hint="default"/>
      </w:rPr>
    </w:lvl>
    <w:lvl w:ilvl="5" w:tplc="040A0005">
      <w:start w:val="1"/>
      <w:numFmt w:val="bullet"/>
      <w:lvlText w:val=""/>
      <w:lvlJc w:val="left"/>
      <w:pPr>
        <w:tabs>
          <w:tab w:val="num" w:pos="4320"/>
        </w:tabs>
        <w:ind w:left="4320" w:hanging="360"/>
      </w:pPr>
      <w:rPr>
        <w:rFonts w:ascii="Symbol" w:eastAsia="Times New Roman" w:hAnsi="Symbol" w:hint="default"/>
      </w:rPr>
    </w:lvl>
    <w:lvl w:ilvl="6" w:tplc="040A0001">
      <w:start w:val="1"/>
      <w:numFmt w:val="bullet"/>
      <w:lvlText w:val=""/>
      <w:lvlJc w:val="left"/>
      <w:pPr>
        <w:tabs>
          <w:tab w:val="num" w:pos="5040"/>
        </w:tabs>
        <w:ind w:left="5040" w:hanging="360"/>
      </w:pPr>
      <w:rPr>
        <w:rFonts w:ascii="Symbol" w:eastAsia="Times New Roman" w:hAnsi="Symbol" w:hint="default"/>
      </w:rPr>
    </w:lvl>
    <w:lvl w:ilvl="7" w:tplc="040A0003">
      <w:start w:val="1"/>
      <w:numFmt w:val="bullet"/>
      <w:lvlText w:val="o"/>
      <w:lvlJc w:val="left"/>
      <w:pPr>
        <w:tabs>
          <w:tab w:val="num" w:pos="5760"/>
        </w:tabs>
        <w:ind w:left="5760" w:hanging="360"/>
      </w:pPr>
      <w:rPr>
        <w:rFonts w:ascii="Courier" w:hAnsi="Courier" w:hint="default"/>
      </w:rPr>
    </w:lvl>
    <w:lvl w:ilvl="8" w:tplc="040A0005">
      <w:start w:val="1"/>
      <w:numFmt w:val="bullet"/>
      <w:lvlText w:val=""/>
      <w:lvlJc w:val="left"/>
      <w:pPr>
        <w:tabs>
          <w:tab w:val="num" w:pos="6480"/>
        </w:tabs>
        <w:ind w:left="6480" w:hanging="360"/>
      </w:pPr>
      <w:rPr>
        <w:rFonts w:ascii="Symbol" w:eastAsia="Times New Roman" w:hAnsi="Symbol" w:hint="default"/>
      </w:rPr>
    </w:lvl>
  </w:abstractNum>
  <w:abstractNum w:abstractNumId="20">
    <w:nsid w:val="3A5A3E57"/>
    <w:multiLevelType w:val="hybridMultilevel"/>
    <w:tmpl w:val="9ABC95E6"/>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21">
    <w:nsid w:val="3A976761"/>
    <w:multiLevelType w:val="hybridMultilevel"/>
    <w:tmpl w:val="88DAB34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nsid w:val="3E3E0299"/>
    <w:multiLevelType w:val="hybridMultilevel"/>
    <w:tmpl w:val="3CD88C1C"/>
    <w:lvl w:ilvl="0" w:tplc="45205598">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23">
    <w:nsid w:val="453128FB"/>
    <w:multiLevelType w:val="hybridMultilevel"/>
    <w:tmpl w:val="514899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6B67FF6"/>
    <w:multiLevelType w:val="hybridMultilevel"/>
    <w:tmpl w:val="BA1067B4"/>
    <w:lvl w:ilvl="0" w:tplc="080A0001">
      <w:start w:val="1"/>
      <w:numFmt w:val="bullet"/>
      <w:lvlText w:val=""/>
      <w:lvlJc w:val="left"/>
      <w:pPr>
        <w:ind w:left="1492" w:hanging="360"/>
      </w:pPr>
      <w:rPr>
        <w:rFonts w:ascii="Symbol" w:hAnsi="Symbol" w:hint="default"/>
      </w:rPr>
    </w:lvl>
    <w:lvl w:ilvl="1" w:tplc="080A0003" w:tentative="1">
      <w:start w:val="1"/>
      <w:numFmt w:val="bullet"/>
      <w:lvlText w:val="o"/>
      <w:lvlJc w:val="left"/>
      <w:pPr>
        <w:ind w:left="2212" w:hanging="360"/>
      </w:pPr>
      <w:rPr>
        <w:rFonts w:ascii="Courier New" w:hAnsi="Courier New" w:cs="Courier New" w:hint="default"/>
      </w:rPr>
    </w:lvl>
    <w:lvl w:ilvl="2" w:tplc="080A0005" w:tentative="1">
      <w:start w:val="1"/>
      <w:numFmt w:val="bullet"/>
      <w:lvlText w:val=""/>
      <w:lvlJc w:val="left"/>
      <w:pPr>
        <w:ind w:left="2932" w:hanging="360"/>
      </w:pPr>
      <w:rPr>
        <w:rFonts w:ascii="Wingdings" w:hAnsi="Wingdings" w:hint="default"/>
      </w:rPr>
    </w:lvl>
    <w:lvl w:ilvl="3" w:tplc="080A0001" w:tentative="1">
      <w:start w:val="1"/>
      <w:numFmt w:val="bullet"/>
      <w:lvlText w:val=""/>
      <w:lvlJc w:val="left"/>
      <w:pPr>
        <w:ind w:left="3652" w:hanging="360"/>
      </w:pPr>
      <w:rPr>
        <w:rFonts w:ascii="Symbol" w:hAnsi="Symbol" w:hint="default"/>
      </w:rPr>
    </w:lvl>
    <w:lvl w:ilvl="4" w:tplc="080A0003" w:tentative="1">
      <w:start w:val="1"/>
      <w:numFmt w:val="bullet"/>
      <w:lvlText w:val="o"/>
      <w:lvlJc w:val="left"/>
      <w:pPr>
        <w:ind w:left="4372" w:hanging="360"/>
      </w:pPr>
      <w:rPr>
        <w:rFonts w:ascii="Courier New" w:hAnsi="Courier New" w:cs="Courier New" w:hint="default"/>
      </w:rPr>
    </w:lvl>
    <w:lvl w:ilvl="5" w:tplc="080A0005" w:tentative="1">
      <w:start w:val="1"/>
      <w:numFmt w:val="bullet"/>
      <w:lvlText w:val=""/>
      <w:lvlJc w:val="left"/>
      <w:pPr>
        <w:ind w:left="5092" w:hanging="360"/>
      </w:pPr>
      <w:rPr>
        <w:rFonts w:ascii="Wingdings" w:hAnsi="Wingdings" w:hint="default"/>
      </w:rPr>
    </w:lvl>
    <w:lvl w:ilvl="6" w:tplc="080A0001" w:tentative="1">
      <w:start w:val="1"/>
      <w:numFmt w:val="bullet"/>
      <w:lvlText w:val=""/>
      <w:lvlJc w:val="left"/>
      <w:pPr>
        <w:ind w:left="5812" w:hanging="360"/>
      </w:pPr>
      <w:rPr>
        <w:rFonts w:ascii="Symbol" w:hAnsi="Symbol" w:hint="default"/>
      </w:rPr>
    </w:lvl>
    <w:lvl w:ilvl="7" w:tplc="080A0003" w:tentative="1">
      <w:start w:val="1"/>
      <w:numFmt w:val="bullet"/>
      <w:lvlText w:val="o"/>
      <w:lvlJc w:val="left"/>
      <w:pPr>
        <w:ind w:left="6532" w:hanging="360"/>
      </w:pPr>
      <w:rPr>
        <w:rFonts w:ascii="Courier New" w:hAnsi="Courier New" w:cs="Courier New" w:hint="default"/>
      </w:rPr>
    </w:lvl>
    <w:lvl w:ilvl="8" w:tplc="080A0005" w:tentative="1">
      <w:start w:val="1"/>
      <w:numFmt w:val="bullet"/>
      <w:lvlText w:val=""/>
      <w:lvlJc w:val="left"/>
      <w:pPr>
        <w:ind w:left="7252" w:hanging="360"/>
      </w:pPr>
      <w:rPr>
        <w:rFonts w:ascii="Wingdings" w:hAnsi="Wingdings" w:hint="default"/>
      </w:rPr>
    </w:lvl>
  </w:abstractNum>
  <w:abstractNum w:abstractNumId="25">
    <w:nsid w:val="47B10252"/>
    <w:multiLevelType w:val="hybridMultilevel"/>
    <w:tmpl w:val="EC9489FE"/>
    <w:lvl w:ilvl="0" w:tplc="8534A7DA">
      <w:start w:val="1"/>
      <w:numFmt w:val="lowerLetter"/>
      <w:lvlText w:val="%1)"/>
      <w:lvlJc w:val="left"/>
      <w:pPr>
        <w:ind w:left="928"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6">
    <w:nsid w:val="4A9F76F8"/>
    <w:multiLevelType w:val="hybridMultilevel"/>
    <w:tmpl w:val="DB4ECDD0"/>
    <w:lvl w:ilvl="0" w:tplc="11122228">
      <w:start w:val="1"/>
      <w:numFmt w:val="bullet"/>
      <w:pStyle w:val="vietarombo"/>
      <w:lvlText w:val=""/>
      <w:lvlJc w:val="left"/>
      <w:pPr>
        <w:tabs>
          <w:tab w:val="num" w:pos="360"/>
        </w:tabs>
        <w:ind w:left="170" w:hanging="170"/>
      </w:pPr>
      <w:rPr>
        <w:rFonts w:ascii="Symbol" w:hAnsi="Symbol" w:hint="default"/>
        <w:sz w:val="12"/>
      </w:rPr>
    </w:lvl>
    <w:lvl w:ilvl="1" w:tplc="68D0916E">
      <w:start w:val="1"/>
      <w:numFmt w:val="bullet"/>
      <w:lvlText w:val=""/>
      <w:lvlJc w:val="left"/>
      <w:pPr>
        <w:tabs>
          <w:tab w:val="num" w:pos="1174"/>
        </w:tabs>
        <w:ind w:left="1174" w:hanging="454"/>
      </w:pPr>
      <w:rPr>
        <w:rFonts w:ascii="Symbol" w:hAnsi="Symbol" w:hint="default"/>
        <w:sz w:val="18"/>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7">
    <w:nsid w:val="4B2D3203"/>
    <w:multiLevelType w:val="hybridMultilevel"/>
    <w:tmpl w:val="B68CA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DC41832"/>
    <w:multiLevelType w:val="hybridMultilevel"/>
    <w:tmpl w:val="A6BC1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2891482"/>
    <w:multiLevelType w:val="hybridMultilevel"/>
    <w:tmpl w:val="044C43EA"/>
    <w:lvl w:ilvl="0" w:tplc="41A4AE8C">
      <w:start w:val="1"/>
      <w:numFmt w:val="bullet"/>
      <w:pStyle w:val="49VietaPrimerNivel"/>
      <w:lvlText w:val=""/>
      <w:lvlJc w:val="left"/>
      <w:pPr>
        <w:tabs>
          <w:tab w:val="num" w:pos="720"/>
        </w:tabs>
        <w:ind w:left="720" w:hanging="360"/>
      </w:pPr>
      <w:rPr>
        <w:rFonts w:ascii="Symbol" w:hAnsi="Symbol" w:hint="default"/>
        <w:b w:val="0"/>
        <w:i w:val="0"/>
        <w:caps w:val="0"/>
        <w:strike w:val="0"/>
        <w:dstrike w:val="0"/>
        <w:vanish w:val="0"/>
        <w:color w:val="auto"/>
        <w:sz w:val="18"/>
        <w:vertAlign w:val="base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799528C"/>
    <w:multiLevelType w:val="hybridMultilevel"/>
    <w:tmpl w:val="3B84C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8754C8F"/>
    <w:multiLevelType w:val="hybridMultilevel"/>
    <w:tmpl w:val="98D24E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98A3F7E"/>
    <w:multiLevelType w:val="multilevel"/>
    <w:tmpl w:val="8A2AD09E"/>
    <w:lvl w:ilvl="0">
      <w:start w:val="1"/>
      <w:numFmt w:val="decimal"/>
      <w:pStyle w:val="MMTopic1"/>
      <w:suff w:val="space"/>
      <w:lvlText w:val="%1"/>
      <w:lvlJc w:val="left"/>
      <w:pPr>
        <w:tabs>
          <w:tab w:val="num" w:pos="360"/>
        </w:tabs>
        <w:ind w:left="0" w:firstLine="0"/>
      </w:pPr>
    </w:lvl>
    <w:lvl w:ilvl="1">
      <w:start w:val="1"/>
      <w:numFmt w:val="decimal"/>
      <w:suff w:val="space"/>
      <w:lvlText w:val="%1.%2"/>
      <w:lvlJc w:val="left"/>
      <w:pPr>
        <w:tabs>
          <w:tab w:val="num" w:pos="1560"/>
        </w:tabs>
        <w:ind w:left="840" w:firstLine="0"/>
      </w:pPr>
    </w:lvl>
    <w:lvl w:ilvl="2">
      <w:start w:val="1"/>
      <w:numFmt w:val="decimal"/>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D0143B0"/>
    <w:multiLevelType w:val="hybridMultilevel"/>
    <w:tmpl w:val="DF288D46"/>
    <w:lvl w:ilvl="0" w:tplc="080A0017">
      <w:start w:val="1"/>
      <w:numFmt w:val="lowerLetter"/>
      <w:lvlText w:val="%1)"/>
      <w:lvlJc w:val="left"/>
      <w:pPr>
        <w:ind w:left="927"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34">
    <w:nsid w:val="60C9497C"/>
    <w:multiLevelType w:val="hybridMultilevel"/>
    <w:tmpl w:val="11C4D8EA"/>
    <w:lvl w:ilvl="0" w:tplc="A8C28A8A">
      <w:start w:val="1"/>
      <w:numFmt w:val="bullet"/>
      <w:pStyle w:val="Bulletredondo"/>
      <w:lvlText w:val=""/>
      <w:lvlJc w:val="left"/>
      <w:pPr>
        <w:tabs>
          <w:tab w:val="num" w:pos="340"/>
        </w:tabs>
        <w:ind w:left="340" w:hanging="340"/>
      </w:pPr>
      <w:rPr>
        <w:rFonts w:ascii="Symbol" w:hAnsi="Symbol" w:hint="default"/>
        <w:b w:val="0"/>
        <w:i w:val="0"/>
        <w:caps w:val="0"/>
        <w:strike w:val="0"/>
        <w:dstrike w:val="0"/>
        <w:vanish w:val="0"/>
        <w:color w:val="auto"/>
        <w:sz w:val="22"/>
        <w:szCs w:val="22"/>
        <w:vertAlign w:val="baseline"/>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3E10B85"/>
    <w:multiLevelType w:val="hybridMultilevel"/>
    <w:tmpl w:val="97B46A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0D86BAC"/>
    <w:multiLevelType w:val="hybridMultilevel"/>
    <w:tmpl w:val="39C0E542"/>
    <w:lvl w:ilvl="0" w:tplc="1B726B14">
      <w:start w:val="2"/>
      <w:numFmt w:val="bullet"/>
      <w:lvlText w:val="-"/>
      <w:lvlJc w:val="left"/>
      <w:pPr>
        <w:ind w:left="358" w:hanging="360"/>
      </w:pPr>
      <w:rPr>
        <w:rFonts w:ascii="Montserrat Medium" w:eastAsia="Montserrat Medium" w:hAnsi="Montserrat Medium" w:cs="Montserrat Medium" w:hint="default"/>
      </w:rPr>
    </w:lvl>
    <w:lvl w:ilvl="1" w:tplc="080A0003" w:tentative="1">
      <w:start w:val="1"/>
      <w:numFmt w:val="bullet"/>
      <w:lvlText w:val="o"/>
      <w:lvlJc w:val="left"/>
      <w:pPr>
        <w:ind w:left="1078" w:hanging="360"/>
      </w:pPr>
      <w:rPr>
        <w:rFonts w:ascii="Courier New" w:hAnsi="Courier New" w:cs="Courier New" w:hint="default"/>
      </w:rPr>
    </w:lvl>
    <w:lvl w:ilvl="2" w:tplc="080A0005" w:tentative="1">
      <w:start w:val="1"/>
      <w:numFmt w:val="bullet"/>
      <w:lvlText w:val=""/>
      <w:lvlJc w:val="left"/>
      <w:pPr>
        <w:ind w:left="1798" w:hanging="360"/>
      </w:pPr>
      <w:rPr>
        <w:rFonts w:ascii="Wingdings" w:hAnsi="Wingdings" w:hint="default"/>
      </w:rPr>
    </w:lvl>
    <w:lvl w:ilvl="3" w:tplc="080A0001" w:tentative="1">
      <w:start w:val="1"/>
      <w:numFmt w:val="bullet"/>
      <w:lvlText w:val=""/>
      <w:lvlJc w:val="left"/>
      <w:pPr>
        <w:ind w:left="2518" w:hanging="360"/>
      </w:pPr>
      <w:rPr>
        <w:rFonts w:ascii="Symbol" w:hAnsi="Symbol" w:hint="default"/>
      </w:rPr>
    </w:lvl>
    <w:lvl w:ilvl="4" w:tplc="080A0003" w:tentative="1">
      <w:start w:val="1"/>
      <w:numFmt w:val="bullet"/>
      <w:lvlText w:val="o"/>
      <w:lvlJc w:val="left"/>
      <w:pPr>
        <w:ind w:left="3238" w:hanging="360"/>
      </w:pPr>
      <w:rPr>
        <w:rFonts w:ascii="Courier New" w:hAnsi="Courier New" w:cs="Courier New" w:hint="default"/>
      </w:rPr>
    </w:lvl>
    <w:lvl w:ilvl="5" w:tplc="080A0005" w:tentative="1">
      <w:start w:val="1"/>
      <w:numFmt w:val="bullet"/>
      <w:lvlText w:val=""/>
      <w:lvlJc w:val="left"/>
      <w:pPr>
        <w:ind w:left="3958" w:hanging="360"/>
      </w:pPr>
      <w:rPr>
        <w:rFonts w:ascii="Wingdings" w:hAnsi="Wingdings" w:hint="default"/>
      </w:rPr>
    </w:lvl>
    <w:lvl w:ilvl="6" w:tplc="080A0001" w:tentative="1">
      <w:start w:val="1"/>
      <w:numFmt w:val="bullet"/>
      <w:lvlText w:val=""/>
      <w:lvlJc w:val="left"/>
      <w:pPr>
        <w:ind w:left="4678" w:hanging="360"/>
      </w:pPr>
      <w:rPr>
        <w:rFonts w:ascii="Symbol" w:hAnsi="Symbol" w:hint="default"/>
      </w:rPr>
    </w:lvl>
    <w:lvl w:ilvl="7" w:tplc="080A0003" w:tentative="1">
      <w:start w:val="1"/>
      <w:numFmt w:val="bullet"/>
      <w:lvlText w:val="o"/>
      <w:lvlJc w:val="left"/>
      <w:pPr>
        <w:ind w:left="5398" w:hanging="360"/>
      </w:pPr>
      <w:rPr>
        <w:rFonts w:ascii="Courier New" w:hAnsi="Courier New" w:cs="Courier New" w:hint="default"/>
      </w:rPr>
    </w:lvl>
    <w:lvl w:ilvl="8" w:tplc="080A0005" w:tentative="1">
      <w:start w:val="1"/>
      <w:numFmt w:val="bullet"/>
      <w:lvlText w:val=""/>
      <w:lvlJc w:val="left"/>
      <w:pPr>
        <w:ind w:left="6118" w:hanging="360"/>
      </w:pPr>
      <w:rPr>
        <w:rFonts w:ascii="Wingdings" w:hAnsi="Wingdings" w:hint="default"/>
      </w:rPr>
    </w:lvl>
  </w:abstractNum>
  <w:abstractNum w:abstractNumId="37">
    <w:nsid w:val="73734A24"/>
    <w:multiLevelType w:val="hybridMultilevel"/>
    <w:tmpl w:val="1E62DC52"/>
    <w:lvl w:ilvl="0" w:tplc="85A808A6">
      <w:start w:val="1"/>
      <w:numFmt w:val="lowerLetter"/>
      <w:lvlText w:val="%1)"/>
      <w:lvlJc w:val="left"/>
      <w:pPr>
        <w:ind w:left="1068" w:hanging="360"/>
      </w:pPr>
      <w:rPr>
        <w:rFonts w:cs="Tahoma"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nsid w:val="73A24F7C"/>
    <w:multiLevelType w:val="multilevel"/>
    <w:tmpl w:val="824E78AE"/>
    <w:lvl w:ilvl="0">
      <w:start w:val="1"/>
      <w:numFmt w:val="upperRoman"/>
      <w:lvlText w:val="%1."/>
      <w:lvlJc w:val="right"/>
      <w:pPr>
        <w:ind w:left="432" w:hanging="432"/>
      </w:pPr>
    </w:lvl>
    <w:lvl w:ilvl="1">
      <w:start w:val="1"/>
      <w:numFmt w:val="decimal"/>
      <w:pStyle w:val="Cuenta"/>
      <w:lvlText w:val="%1.%2"/>
      <w:lvlJc w:val="left"/>
      <w:pPr>
        <w:ind w:left="576" w:hanging="576"/>
      </w:pPr>
      <w:rPr>
        <w:sz w:val="24"/>
      </w:rPr>
    </w:lvl>
    <w:lvl w:ilvl="2">
      <w:start w:val="1"/>
      <w:numFmt w:val="decimal"/>
      <w:lvlText w:val="%1.%2.%3"/>
      <w:lvlJc w:val="left"/>
      <w:pPr>
        <w:ind w:left="720" w:hanging="720"/>
      </w:pPr>
      <w:rPr>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nsid w:val="7471727E"/>
    <w:multiLevelType w:val="hybridMultilevel"/>
    <w:tmpl w:val="14D6AD94"/>
    <w:lvl w:ilvl="0" w:tplc="92681FFA">
      <w:start w:val="1"/>
      <w:numFmt w:val="bullet"/>
      <w:pStyle w:val="cuadrado"/>
      <w:lvlText w:val="▪"/>
      <w:lvlJc w:val="left"/>
      <w:pPr>
        <w:tabs>
          <w:tab w:val="num" w:pos="454"/>
        </w:tabs>
        <w:ind w:left="510" w:hanging="397"/>
      </w:pPr>
      <w:rPr>
        <w:rFonts w:ascii="Palatino Linotype" w:hAnsi="Palatino Linotype" w:hint="default"/>
        <w:color w:val="auto"/>
        <w:sz w:val="24"/>
        <w:szCs w:val="24"/>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0">
    <w:nsid w:val="77E14875"/>
    <w:multiLevelType w:val="hybridMultilevel"/>
    <w:tmpl w:val="D578F926"/>
    <w:lvl w:ilvl="0" w:tplc="AFC22BDC">
      <w:start w:val="1"/>
      <w:numFmt w:val="bullet"/>
      <w:pStyle w:val="VIETA4BLANCA"/>
      <w:lvlText w:val="o"/>
      <w:lvlJc w:val="left"/>
      <w:pPr>
        <w:tabs>
          <w:tab w:val="num" w:pos="903"/>
        </w:tabs>
        <w:ind w:left="903" w:hanging="360"/>
      </w:pPr>
      <w:rPr>
        <w:rFonts w:ascii="EurekaSans-Light" w:hAnsi="EurekaSans-Light" w:hint="default"/>
        <w:sz w:val="16"/>
        <w:szCs w:val="16"/>
      </w:rPr>
    </w:lvl>
    <w:lvl w:ilvl="1" w:tplc="B16AB476">
      <w:start w:val="1"/>
      <w:numFmt w:val="bullet"/>
      <w:lvlText w:val="-"/>
      <w:lvlJc w:val="left"/>
      <w:pPr>
        <w:tabs>
          <w:tab w:val="num" w:pos="1906"/>
        </w:tabs>
        <w:ind w:left="1906" w:hanging="283"/>
      </w:pPr>
      <w:rPr>
        <w:rFonts w:ascii="Wide Latin" w:hAnsi="Wide Latin" w:hint="default"/>
        <w:color w:val="808080"/>
        <w:sz w:val="20"/>
        <w:szCs w:val="24"/>
      </w:rPr>
    </w:lvl>
    <w:lvl w:ilvl="2" w:tplc="0C0A0005" w:tentative="1">
      <w:start w:val="1"/>
      <w:numFmt w:val="bullet"/>
      <w:lvlText w:val=""/>
      <w:lvlJc w:val="left"/>
      <w:pPr>
        <w:tabs>
          <w:tab w:val="num" w:pos="2703"/>
        </w:tabs>
        <w:ind w:left="2703" w:hanging="360"/>
      </w:pPr>
      <w:rPr>
        <w:rFonts w:ascii="Wingdings" w:hAnsi="Wingdings" w:hint="default"/>
      </w:rPr>
    </w:lvl>
    <w:lvl w:ilvl="3" w:tplc="0C0A0001" w:tentative="1">
      <w:start w:val="1"/>
      <w:numFmt w:val="bullet"/>
      <w:lvlText w:val=""/>
      <w:lvlJc w:val="left"/>
      <w:pPr>
        <w:tabs>
          <w:tab w:val="num" w:pos="3423"/>
        </w:tabs>
        <w:ind w:left="3423" w:hanging="360"/>
      </w:pPr>
      <w:rPr>
        <w:rFonts w:ascii="Symbol" w:hAnsi="Symbol" w:hint="default"/>
      </w:rPr>
    </w:lvl>
    <w:lvl w:ilvl="4" w:tplc="0C0A0003" w:tentative="1">
      <w:start w:val="1"/>
      <w:numFmt w:val="bullet"/>
      <w:lvlText w:val="o"/>
      <w:lvlJc w:val="left"/>
      <w:pPr>
        <w:tabs>
          <w:tab w:val="num" w:pos="4143"/>
        </w:tabs>
        <w:ind w:left="4143" w:hanging="360"/>
      </w:pPr>
      <w:rPr>
        <w:rFonts w:ascii="Courier New" w:hAnsi="Courier New" w:cs="Courier New" w:hint="default"/>
      </w:rPr>
    </w:lvl>
    <w:lvl w:ilvl="5" w:tplc="0C0A0005" w:tentative="1">
      <w:start w:val="1"/>
      <w:numFmt w:val="bullet"/>
      <w:lvlText w:val=""/>
      <w:lvlJc w:val="left"/>
      <w:pPr>
        <w:tabs>
          <w:tab w:val="num" w:pos="4863"/>
        </w:tabs>
        <w:ind w:left="4863" w:hanging="360"/>
      </w:pPr>
      <w:rPr>
        <w:rFonts w:ascii="Wingdings" w:hAnsi="Wingdings" w:hint="default"/>
      </w:rPr>
    </w:lvl>
    <w:lvl w:ilvl="6" w:tplc="0C0A0001" w:tentative="1">
      <w:start w:val="1"/>
      <w:numFmt w:val="bullet"/>
      <w:lvlText w:val=""/>
      <w:lvlJc w:val="left"/>
      <w:pPr>
        <w:tabs>
          <w:tab w:val="num" w:pos="5583"/>
        </w:tabs>
        <w:ind w:left="5583" w:hanging="360"/>
      </w:pPr>
      <w:rPr>
        <w:rFonts w:ascii="Symbol" w:hAnsi="Symbol" w:hint="default"/>
      </w:rPr>
    </w:lvl>
    <w:lvl w:ilvl="7" w:tplc="0C0A0003" w:tentative="1">
      <w:start w:val="1"/>
      <w:numFmt w:val="bullet"/>
      <w:lvlText w:val="o"/>
      <w:lvlJc w:val="left"/>
      <w:pPr>
        <w:tabs>
          <w:tab w:val="num" w:pos="6303"/>
        </w:tabs>
        <w:ind w:left="6303" w:hanging="360"/>
      </w:pPr>
      <w:rPr>
        <w:rFonts w:ascii="Courier New" w:hAnsi="Courier New" w:cs="Courier New" w:hint="default"/>
      </w:rPr>
    </w:lvl>
    <w:lvl w:ilvl="8" w:tplc="0C0A0005" w:tentative="1">
      <w:start w:val="1"/>
      <w:numFmt w:val="bullet"/>
      <w:lvlText w:val=""/>
      <w:lvlJc w:val="left"/>
      <w:pPr>
        <w:tabs>
          <w:tab w:val="num" w:pos="7023"/>
        </w:tabs>
        <w:ind w:left="7023" w:hanging="360"/>
      </w:pPr>
      <w:rPr>
        <w:rFonts w:ascii="Wingdings" w:hAnsi="Wingdings" w:hint="default"/>
      </w:rPr>
    </w:lvl>
  </w:abstractNum>
  <w:abstractNum w:abstractNumId="41">
    <w:nsid w:val="79AC12D3"/>
    <w:multiLevelType w:val="hybridMultilevel"/>
    <w:tmpl w:val="C99628B0"/>
    <w:lvl w:ilvl="0" w:tplc="41F481E6">
      <w:start w:val="1"/>
      <w:numFmt w:val="bullet"/>
      <w:pStyle w:val="VIETA3NEGRA"/>
      <w:lvlText w:val=""/>
      <w:lvlJc w:val="left"/>
      <w:pPr>
        <w:tabs>
          <w:tab w:val="num" w:pos="823"/>
        </w:tabs>
        <w:ind w:left="823" w:hanging="397"/>
      </w:pPr>
      <w:rPr>
        <w:rFonts w:ascii="EurekaSans-Light" w:hAnsi="EurekaSans-Light" w:hint="default"/>
        <w:sz w:val="24"/>
        <w:szCs w:val="20"/>
      </w:rPr>
    </w:lvl>
    <w:lvl w:ilvl="1" w:tplc="0C0A0019">
      <w:start w:val="1"/>
      <w:numFmt w:val="bullet"/>
      <w:lvlText w:val="-"/>
      <w:lvlJc w:val="left"/>
      <w:pPr>
        <w:tabs>
          <w:tab w:val="num" w:pos="1930"/>
        </w:tabs>
        <w:ind w:left="1930" w:hanging="283"/>
      </w:pPr>
      <w:rPr>
        <w:rFonts w:ascii="Wide Latin" w:hAnsi="Wide Latin" w:hint="default"/>
        <w:color w:val="808080"/>
        <w:sz w:val="20"/>
        <w:szCs w:val="24"/>
      </w:rPr>
    </w:lvl>
    <w:lvl w:ilvl="2" w:tplc="0C0A001B" w:tentative="1">
      <w:start w:val="1"/>
      <w:numFmt w:val="bullet"/>
      <w:lvlText w:val=""/>
      <w:lvlJc w:val="left"/>
      <w:pPr>
        <w:tabs>
          <w:tab w:val="num" w:pos="2727"/>
        </w:tabs>
        <w:ind w:left="2727" w:hanging="360"/>
      </w:pPr>
      <w:rPr>
        <w:rFonts w:ascii="Wingdings" w:hAnsi="Wingdings" w:hint="default"/>
      </w:rPr>
    </w:lvl>
    <w:lvl w:ilvl="3" w:tplc="0C0A000F" w:tentative="1">
      <w:start w:val="1"/>
      <w:numFmt w:val="bullet"/>
      <w:lvlText w:val=""/>
      <w:lvlJc w:val="left"/>
      <w:pPr>
        <w:tabs>
          <w:tab w:val="num" w:pos="3447"/>
        </w:tabs>
        <w:ind w:left="3447" w:hanging="360"/>
      </w:pPr>
      <w:rPr>
        <w:rFonts w:ascii="Symbol" w:hAnsi="Symbol" w:hint="default"/>
      </w:rPr>
    </w:lvl>
    <w:lvl w:ilvl="4" w:tplc="0C0A0019" w:tentative="1">
      <w:start w:val="1"/>
      <w:numFmt w:val="bullet"/>
      <w:lvlText w:val="o"/>
      <w:lvlJc w:val="left"/>
      <w:pPr>
        <w:tabs>
          <w:tab w:val="num" w:pos="4167"/>
        </w:tabs>
        <w:ind w:left="4167" w:hanging="360"/>
      </w:pPr>
      <w:rPr>
        <w:rFonts w:ascii="Courier New" w:hAnsi="Courier New" w:cs="Courier New" w:hint="default"/>
      </w:rPr>
    </w:lvl>
    <w:lvl w:ilvl="5" w:tplc="0C0A001B" w:tentative="1">
      <w:start w:val="1"/>
      <w:numFmt w:val="bullet"/>
      <w:lvlText w:val=""/>
      <w:lvlJc w:val="left"/>
      <w:pPr>
        <w:tabs>
          <w:tab w:val="num" w:pos="4887"/>
        </w:tabs>
        <w:ind w:left="4887" w:hanging="360"/>
      </w:pPr>
      <w:rPr>
        <w:rFonts w:ascii="Wingdings" w:hAnsi="Wingdings" w:hint="default"/>
      </w:rPr>
    </w:lvl>
    <w:lvl w:ilvl="6" w:tplc="0C0A000F" w:tentative="1">
      <w:start w:val="1"/>
      <w:numFmt w:val="bullet"/>
      <w:lvlText w:val=""/>
      <w:lvlJc w:val="left"/>
      <w:pPr>
        <w:tabs>
          <w:tab w:val="num" w:pos="5607"/>
        </w:tabs>
        <w:ind w:left="5607" w:hanging="360"/>
      </w:pPr>
      <w:rPr>
        <w:rFonts w:ascii="Symbol" w:hAnsi="Symbol" w:hint="default"/>
      </w:rPr>
    </w:lvl>
    <w:lvl w:ilvl="7" w:tplc="0C0A0019" w:tentative="1">
      <w:start w:val="1"/>
      <w:numFmt w:val="bullet"/>
      <w:lvlText w:val="o"/>
      <w:lvlJc w:val="left"/>
      <w:pPr>
        <w:tabs>
          <w:tab w:val="num" w:pos="6327"/>
        </w:tabs>
        <w:ind w:left="6327" w:hanging="360"/>
      </w:pPr>
      <w:rPr>
        <w:rFonts w:ascii="Courier New" w:hAnsi="Courier New" w:cs="Courier New" w:hint="default"/>
      </w:rPr>
    </w:lvl>
    <w:lvl w:ilvl="8" w:tplc="0C0A001B" w:tentative="1">
      <w:start w:val="1"/>
      <w:numFmt w:val="bullet"/>
      <w:lvlText w:val=""/>
      <w:lvlJc w:val="left"/>
      <w:pPr>
        <w:tabs>
          <w:tab w:val="num" w:pos="7047"/>
        </w:tabs>
        <w:ind w:left="7047" w:hanging="360"/>
      </w:pPr>
      <w:rPr>
        <w:rFonts w:ascii="Wingdings" w:hAnsi="Wingdings" w:hint="default"/>
      </w:rPr>
    </w:lvl>
  </w:abstractNum>
  <w:num w:numId="1">
    <w:abstractNumId w:val="7"/>
  </w:num>
  <w:num w:numId="2">
    <w:abstractNumId w:val="0"/>
  </w:num>
  <w:num w:numId="3">
    <w:abstractNumId w:val="19"/>
  </w:num>
  <w:num w:numId="4">
    <w:abstractNumId w:val="12"/>
  </w:num>
  <w:num w:numId="5">
    <w:abstractNumId w:val="41"/>
  </w:num>
  <w:num w:numId="6">
    <w:abstractNumId w:val="5"/>
  </w:num>
  <w:num w:numId="7">
    <w:abstractNumId w:val="40"/>
  </w:num>
  <w:num w:numId="8">
    <w:abstractNumId w:val="1"/>
  </w:num>
  <w:num w:numId="9">
    <w:abstractNumId w:val="9"/>
  </w:num>
  <w:num w:numId="10">
    <w:abstractNumId w:val="16"/>
  </w:num>
  <w:num w:numId="11">
    <w:abstractNumId w:val="26"/>
  </w:num>
  <w:num w:numId="12">
    <w:abstractNumId w:val="15"/>
  </w:num>
  <w:num w:numId="13">
    <w:abstractNumId w:val="10"/>
  </w:num>
  <w:num w:numId="14">
    <w:abstractNumId w:val="17"/>
  </w:num>
  <w:num w:numId="15">
    <w:abstractNumId w:val="39"/>
  </w:num>
  <w:num w:numId="16">
    <w:abstractNumId w:val="34"/>
  </w:num>
  <w:num w:numId="17">
    <w:abstractNumId w:val="29"/>
  </w:num>
  <w:num w:numId="18">
    <w:abstractNumId w:val="2"/>
  </w:num>
  <w:num w:numId="19">
    <w:abstractNumId w:val="21"/>
  </w:num>
  <w:num w:numId="20">
    <w:abstractNumId w:val="13"/>
  </w:num>
  <w:num w:numId="21">
    <w:abstractNumId w:val="38"/>
  </w:num>
  <w:num w:numId="22">
    <w:abstractNumId w:val="32"/>
  </w:num>
  <w:num w:numId="23">
    <w:abstractNumId w:val="25"/>
  </w:num>
  <w:num w:numId="24">
    <w:abstractNumId w:val="33"/>
  </w:num>
  <w:num w:numId="25">
    <w:abstractNumId w:val="23"/>
  </w:num>
  <w:num w:numId="26">
    <w:abstractNumId w:val="24"/>
  </w:num>
  <w:num w:numId="27">
    <w:abstractNumId w:val="28"/>
  </w:num>
  <w:num w:numId="28">
    <w:abstractNumId w:val="35"/>
  </w:num>
  <w:num w:numId="29">
    <w:abstractNumId w:val="22"/>
  </w:num>
  <w:num w:numId="30">
    <w:abstractNumId w:val="37"/>
  </w:num>
  <w:num w:numId="31">
    <w:abstractNumId w:val="18"/>
  </w:num>
  <w:num w:numId="32">
    <w:abstractNumId w:val="27"/>
  </w:num>
  <w:num w:numId="33">
    <w:abstractNumId w:val="14"/>
  </w:num>
  <w:num w:numId="34">
    <w:abstractNumId w:val="36"/>
  </w:num>
  <w:num w:numId="35">
    <w:abstractNumId w:val="4"/>
  </w:num>
  <w:num w:numId="36">
    <w:abstractNumId w:val="3"/>
  </w:num>
  <w:num w:numId="37">
    <w:abstractNumId w:val="11"/>
  </w:num>
  <w:num w:numId="38">
    <w:abstractNumId w:val="6"/>
  </w:num>
  <w:num w:numId="39">
    <w:abstractNumId w:val="8"/>
  </w:num>
  <w:num w:numId="40">
    <w:abstractNumId w:val="20"/>
  </w:num>
  <w:num w:numId="41">
    <w:abstractNumId w:val="11"/>
  </w:num>
  <w:num w:numId="42">
    <w:abstractNumId w:val="8"/>
  </w:num>
  <w:num w:numId="43">
    <w:abstractNumId w:val="6"/>
  </w:num>
  <w:num w:numId="44">
    <w:abstractNumId w:val="31"/>
  </w:num>
  <w:num w:numId="45">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BE"/>
    <w:rsid w:val="00000543"/>
    <w:rsid w:val="0000056B"/>
    <w:rsid w:val="0000138E"/>
    <w:rsid w:val="000018CE"/>
    <w:rsid w:val="00001D2B"/>
    <w:rsid w:val="00002232"/>
    <w:rsid w:val="000025AC"/>
    <w:rsid w:val="00002807"/>
    <w:rsid w:val="00002E2F"/>
    <w:rsid w:val="00003009"/>
    <w:rsid w:val="00003300"/>
    <w:rsid w:val="000038CD"/>
    <w:rsid w:val="00003923"/>
    <w:rsid w:val="00003CF3"/>
    <w:rsid w:val="00004313"/>
    <w:rsid w:val="00004BB2"/>
    <w:rsid w:val="0000529F"/>
    <w:rsid w:val="0000576F"/>
    <w:rsid w:val="00005DA2"/>
    <w:rsid w:val="000063F2"/>
    <w:rsid w:val="000066C5"/>
    <w:rsid w:val="00006A7D"/>
    <w:rsid w:val="00006B61"/>
    <w:rsid w:val="00007720"/>
    <w:rsid w:val="000100BA"/>
    <w:rsid w:val="00010A1A"/>
    <w:rsid w:val="00010B32"/>
    <w:rsid w:val="00011252"/>
    <w:rsid w:val="00012000"/>
    <w:rsid w:val="00012E07"/>
    <w:rsid w:val="000132C2"/>
    <w:rsid w:val="000139DB"/>
    <w:rsid w:val="00013A71"/>
    <w:rsid w:val="00013B3B"/>
    <w:rsid w:val="0001570A"/>
    <w:rsid w:val="00015F08"/>
    <w:rsid w:val="000165AF"/>
    <w:rsid w:val="00016E21"/>
    <w:rsid w:val="000173AE"/>
    <w:rsid w:val="000174E9"/>
    <w:rsid w:val="0001762C"/>
    <w:rsid w:val="000177CA"/>
    <w:rsid w:val="00017B38"/>
    <w:rsid w:val="00021031"/>
    <w:rsid w:val="00022837"/>
    <w:rsid w:val="00022962"/>
    <w:rsid w:val="0002308C"/>
    <w:rsid w:val="000233FC"/>
    <w:rsid w:val="0002388A"/>
    <w:rsid w:val="00023B4A"/>
    <w:rsid w:val="0002412C"/>
    <w:rsid w:val="00024170"/>
    <w:rsid w:val="000241A7"/>
    <w:rsid w:val="000241CA"/>
    <w:rsid w:val="00024275"/>
    <w:rsid w:val="00024612"/>
    <w:rsid w:val="00024D0E"/>
    <w:rsid w:val="000256BF"/>
    <w:rsid w:val="000259C7"/>
    <w:rsid w:val="00025F56"/>
    <w:rsid w:val="0002609F"/>
    <w:rsid w:val="00026117"/>
    <w:rsid w:val="00026B14"/>
    <w:rsid w:val="00027081"/>
    <w:rsid w:val="00027392"/>
    <w:rsid w:val="0002744A"/>
    <w:rsid w:val="0002779F"/>
    <w:rsid w:val="00030053"/>
    <w:rsid w:val="00030586"/>
    <w:rsid w:val="00030FB2"/>
    <w:rsid w:val="000319B4"/>
    <w:rsid w:val="00031CC6"/>
    <w:rsid w:val="00032184"/>
    <w:rsid w:val="00032667"/>
    <w:rsid w:val="0003280B"/>
    <w:rsid w:val="00032EDB"/>
    <w:rsid w:val="000337B6"/>
    <w:rsid w:val="00033AE6"/>
    <w:rsid w:val="00033DA0"/>
    <w:rsid w:val="0003454C"/>
    <w:rsid w:val="000345F8"/>
    <w:rsid w:val="00034689"/>
    <w:rsid w:val="00034717"/>
    <w:rsid w:val="0003494F"/>
    <w:rsid w:val="0003514D"/>
    <w:rsid w:val="00035231"/>
    <w:rsid w:val="00035276"/>
    <w:rsid w:val="000356C5"/>
    <w:rsid w:val="00037139"/>
    <w:rsid w:val="00037528"/>
    <w:rsid w:val="000379A6"/>
    <w:rsid w:val="00037AA5"/>
    <w:rsid w:val="000406E3"/>
    <w:rsid w:val="0004093A"/>
    <w:rsid w:val="000410BF"/>
    <w:rsid w:val="000412BB"/>
    <w:rsid w:val="000412F5"/>
    <w:rsid w:val="00042DB7"/>
    <w:rsid w:val="00043881"/>
    <w:rsid w:val="00043E60"/>
    <w:rsid w:val="0004458A"/>
    <w:rsid w:val="000445BA"/>
    <w:rsid w:val="000448D8"/>
    <w:rsid w:val="00045876"/>
    <w:rsid w:val="00045C3B"/>
    <w:rsid w:val="00046111"/>
    <w:rsid w:val="000462FF"/>
    <w:rsid w:val="00046364"/>
    <w:rsid w:val="00046766"/>
    <w:rsid w:val="000469E7"/>
    <w:rsid w:val="00046FFF"/>
    <w:rsid w:val="000471F9"/>
    <w:rsid w:val="00050094"/>
    <w:rsid w:val="00050920"/>
    <w:rsid w:val="00051570"/>
    <w:rsid w:val="000515F1"/>
    <w:rsid w:val="00051AE7"/>
    <w:rsid w:val="00051C8B"/>
    <w:rsid w:val="00051DF1"/>
    <w:rsid w:val="00051EFE"/>
    <w:rsid w:val="000527EE"/>
    <w:rsid w:val="00052EA3"/>
    <w:rsid w:val="000532E6"/>
    <w:rsid w:val="00053BB6"/>
    <w:rsid w:val="00053D1A"/>
    <w:rsid w:val="00054B35"/>
    <w:rsid w:val="00054DC0"/>
    <w:rsid w:val="00055361"/>
    <w:rsid w:val="00056076"/>
    <w:rsid w:val="00056554"/>
    <w:rsid w:val="000567EE"/>
    <w:rsid w:val="00056EDE"/>
    <w:rsid w:val="000570D4"/>
    <w:rsid w:val="00057120"/>
    <w:rsid w:val="0005777F"/>
    <w:rsid w:val="00057788"/>
    <w:rsid w:val="00060155"/>
    <w:rsid w:val="000602E3"/>
    <w:rsid w:val="00060891"/>
    <w:rsid w:val="00060950"/>
    <w:rsid w:val="00060EBA"/>
    <w:rsid w:val="000618FE"/>
    <w:rsid w:val="000621D0"/>
    <w:rsid w:val="00062240"/>
    <w:rsid w:val="00062296"/>
    <w:rsid w:val="000624D5"/>
    <w:rsid w:val="0006292A"/>
    <w:rsid w:val="00062BE7"/>
    <w:rsid w:val="00063433"/>
    <w:rsid w:val="00063B37"/>
    <w:rsid w:val="00063F9E"/>
    <w:rsid w:val="00064352"/>
    <w:rsid w:val="000644A1"/>
    <w:rsid w:val="0006508D"/>
    <w:rsid w:val="000654FD"/>
    <w:rsid w:val="000657EF"/>
    <w:rsid w:val="00065AA3"/>
    <w:rsid w:val="00065BAE"/>
    <w:rsid w:val="0006627E"/>
    <w:rsid w:val="000662D4"/>
    <w:rsid w:val="0006652B"/>
    <w:rsid w:val="00066B31"/>
    <w:rsid w:val="000672B4"/>
    <w:rsid w:val="00067631"/>
    <w:rsid w:val="00067A56"/>
    <w:rsid w:val="00067D54"/>
    <w:rsid w:val="000704C4"/>
    <w:rsid w:val="00070C5E"/>
    <w:rsid w:val="00070EE2"/>
    <w:rsid w:val="0007143E"/>
    <w:rsid w:val="00071833"/>
    <w:rsid w:val="0007230E"/>
    <w:rsid w:val="0007264D"/>
    <w:rsid w:val="00072D11"/>
    <w:rsid w:val="0007394F"/>
    <w:rsid w:val="000741C1"/>
    <w:rsid w:val="00074382"/>
    <w:rsid w:val="000749B9"/>
    <w:rsid w:val="00075462"/>
    <w:rsid w:val="00076957"/>
    <w:rsid w:val="00077AF8"/>
    <w:rsid w:val="00077DBF"/>
    <w:rsid w:val="00080677"/>
    <w:rsid w:val="000808F3"/>
    <w:rsid w:val="000809AC"/>
    <w:rsid w:val="000816C4"/>
    <w:rsid w:val="00081984"/>
    <w:rsid w:val="00081DCB"/>
    <w:rsid w:val="00082AE4"/>
    <w:rsid w:val="00082C1F"/>
    <w:rsid w:val="00082CCA"/>
    <w:rsid w:val="00082F24"/>
    <w:rsid w:val="00083421"/>
    <w:rsid w:val="00083D0F"/>
    <w:rsid w:val="000841D9"/>
    <w:rsid w:val="00084848"/>
    <w:rsid w:val="000848E6"/>
    <w:rsid w:val="0008498D"/>
    <w:rsid w:val="00084AAE"/>
    <w:rsid w:val="00085109"/>
    <w:rsid w:val="0008528C"/>
    <w:rsid w:val="00085FCC"/>
    <w:rsid w:val="00086CD6"/>
    <w:rsid w:val="00087537"/>
    <w:rsid w:val="000877BC"/>
    <w:rsid w:val="00087CD2"/>
    <w:rsid w:val="000901FA"/>
    <w:rsid w:val="00090B6E"/>
    <w:rsid w:val="000913CC"/>
    <w:rsid w:val="00091916"/>
    <w:rsid w:val="00091F3A"/>
    <w:rsid w:val="00092336"/>
    <w:rsid w:val="0009236A"/>
    <w:rsid w:val="00093290"/>
    <w:rsid w:val="000934B8"/>
    <w:rsid w:val="00093789"/>
    <w:rsid w:val="00094173"/>
    <w:rsid w:val="00094BAE"/>
    <w:rsid w:val="0009553A"/>
    <w:rsid w:val="00095FE1"/>
    <w:rsid w:val="0009689C"/>
    <w:rsid w:val="00096C10"/>
    <w:rsid w:val="00097259"/>
    <w:rsid w:val="00097E8A"/>
    <w:rsid w:val="00097EB6"/>
    <w:rsid w:val="000A01B0"/>
    <w:rsid w:val="000A051A"/>
    <w:rsid w:val="000A093C"/>
    <w:rsid w:val="000A0BA0"/>
    <w:rsid w:val="000A1035"/>
    <w:rsid w:val="000A15B6"/>
    <w:rsid w:val="000A1C1A"/>
    <w:rsid w:val="000A1D49"/>
    <w:rsid w:val="000A2108"/>
    <w:rsid w:val="000A2168"/>
    <w:rsid w:val="000A2937"/>
    <w:rsid w:val="000A29F9"/>
    <w:rsid w:val="000A2E0C"/>
    <w:rsid w:val="000A2EED"/>
    <w:rsid w:val="000A2FF6"/>
    <w:rsid w:val="000A333F"/>
    <w:rsid w:val="000A38AC"/>
    <w:rsid w:val="000A4B81"/>
    <w:rsid w:val="000A5ABA"/>
    <w:rsid w:val="000A61A0"/>
    <w:rsid w:val="000A66EE"/>
    <w:rsid w:val="000A67A0"/>
    <w:rsid w:val="000A6B69"/>
    <w:rsid w:val="000A7452"/>
    <w:rsid w:val="000B0160"/>
    <w:rsid w:val="000B1490"/>
    <w:rsid w:val="000B1EC4"/>
    <w:rsid w:val="000B2048"/>
    <w:rsid w:val="000B241A"/>
    <w:rsid w:val="000B262D"/>
    <w:rsid w:val="000B29A6"/>
    <w:rsid w:val="000B348D"/>
    <w:rsid w:val="000B3553"/>
    <w:rsid w:val="000B3D30"/>
    <w:rsid w:val="000B488E"/>
    <w:rsid w:val="000B5091"/>
    <w:rsid w:val="000B56CF"/>
    <w:rsid w:val="000B5909"/>
    <w:rsid w:val="000B5CF6"/>
    <w:rsid w:val="000B65F7"/>
    <w:rsid w:val="000B6E10"/>
    <w:rsid w:val="000B7564"/>
    <w:rsid w:val="000B780E"/>
    <w:rsid w:val="000C0030"/>
    <w:rsid w:val="000C011E"/>
    <w:rsid w:val="000C04BB"/>
    <w:rsid w:val="000C0AF8"/>
    <w:rsid w:val="000C1753"/>
    <w:rsid w:val="000C1E56"/>
    <w:rsid w:val="000C2574"/>
    <w:rsid w:val="000C287F"/>
    <w:rsid w:val="000C2EB4"/>
    <w:rsid w:val="000C3A90"/>
    <w:rsid w:val="000C3F01"/>
    <w:rsid w:val="000C3F27"/>
    <w:rsid w:val="000C4059"/>
    <w:rsid w:val="000C4A8C"/>
    <w:rsid w:val="000C5249"/>
    <w:rsid w:val="000C551F"/>
    <w:rsid w:val="000C626D"/>
    <w:rsid w:val="000C6CAE"/>
    <w:rsid w:val="000C7F2D"/>
    <w:rsid w:val="000D02B7"/>
    <w:rsid w:val="000D087B"/>
    <w:rsid w:val="000D0E9F"/>
    <w:rsid w:val="000D137C"/>
    <w:rsid w:val="000D14B5"/>
    <w:rsid w:val="000D15AC"/>
    <w:rsid w:val="000D1A82"/>
    <w:rsid w:val="000D1FC1"/>
    <w:rsid w:val="000D27B3"/>
    <w:rsid w:val="000D28D9"/>
    <w:rsid w:val="000D32E4"/>
    <w:rsid w:val="000D3E7F"/>
    <w:rsid w:val="000D44C4"/>
    <w:rsid w:val="000D4DE1"/>
    <w:rsid w:val="000D4E27"/>
    <w:rsid w:val="000D56E2"/>
    <w:rsid w:val="000D5C4D"/>
    <w:rsid w:val="000D6820"/>
    <w:rsid w:val="000D693C"/>
    <w:rsid w:val="000D6B58"/>
    <w:rsid w:val="000D74F0"/>
    <w:rsid w:val="000D7BC3"/>
    <w:rsid w:val="000D7D0B"/>
    <w:rsid w:val="000D7E7A"/>
    <w:rsid w:val="000E0396"/>
    <w:rsid w:val="000E03E6"/>
    <w:rsid w:val="000E0D5E"/>
    <w:rsid w:val="000E0FE1"/>
    <w:rsid w:val="000E1452"/>
    <w:rsid w:val="000E16AF"/>
    <w:rsid w:val="000E1739"/>
    <w:rsid w:val="000E1DA6"/>
    <w:rsid w:val="000E1DF4"/>
    <w:rsid w:val="000E1E93"/>
    <w:rsid w:val="000E2709"/>
    <w:rsid w:val="000E2948"/>
    <w:rsid w:val="000E2CA6"/>
    <w:rsid w:val="000E3143"/>
    <w:rsid w:val="000E4040"/>
    <w:rsid w:val="000E407B"/>
    <w:rsid w:val="000E45F6"/>
    <w:rsid w:val="000E47FA"/>
    <w:rsid w:val="000E4B9C"/>
    <w:rsid w:val="000E4D05"/>
    <w:rsid w:val="000E53B2"/>
    <w:rsid w:val="000E56A2"/>
    <w:rsid w:val="000E5B63"/>
    <w:rsid w:val="000E5C28"/>
    <w:rsid w:val="000E5EAD"/>
    <w:rsid w:val="000E608F"/>
    <w:rsid w:val="000E646D"/>
    <w:rsid w:val="000E6D41"/>
    <w:rsid w:val="000E76AD"/>
    <w:rsid w:val="000F0EC0"/>
    <w:rsid w:val="000F14FA"/>
    <w:rsid w:val="000F1515"/>
    <w:rsid w:val="000F1D27"/>
    <w:rsid w:val="000F1DEC"/>
    <w:rsid w:val="000F209B"/>
    <w:rsid w:val="000F2445"/>
    <w:rsid w:val="000F3685"/>
    <w:rsid w:val="000F3BCF"/>
    <w:rsid w:val="000F4C08"/>
    <w:rsid w:val="000F4C6A"/>
    <w:rsid w:val="000F4D38"/>
    <w:rsid w:val="000F5277"/>
    <w:rsid w:val="000F5B97"/>
    <w:rsid w:val="000F5CB1"/>
    <w:rsid w:val="000F5DC1"/>
    <w:rsid w:val="000F5E25"/>
    <w:rsid w:val="000F60DA"/>
    <w:rsid w:val="000F69A1"/>
    <w:rsid w:val="000F6EBD"/>
    <w:rsid w:val="000F7179"/>
    <w:rsid w:val="000F7251"/>
    <w:rsid w:val="000F75BD"/>
    <w:rsid w:val="000F7B19"/>
    <w:rsid w:val="00100455"/>
    <w:rsid w:val="00100530"/>
    <w:rsid w:val="0010093F"/>
    <w:rsid w:val="00100E7E"/>
    <w:rsid w:val="001011BE"/>
    <w:rsid w:val="001015EE"/>
    <w:rsid w:val="00101E13"/>
    <w:rsid w:val="00103805"/>
    <w:rsid w:val="001038D1"/>
    <w:rsid w:val="001043AA"/>
    <w:rsid w:val="001047B6"/>
    <w:rsid w:val="001048E8"/>
    <w:rsid w:val="00104CC5"/>
    <w:rsid w:val="001051CA"/>
    <w:rsid w:val="0010542C"/>
    <w:rsid w:val="00106B24"/>
    <w:rsid w:val="00106C3D"/>
    <w:rsid w:val="00106D3B"/>
    <w:rsid w:val="00107221"/>
    <w:rsid w:val="00107C37"/>
    <w:rsid w:val="00111492"/>
    <w:rsid w:val="00111B35"/>
    <w:rsid w:val="00111E00"/>
    <w:rsid w:val="0011200A"/>
    <w:rsid w:val="001127A9"/>
    <w:rsid w:val="00113892"/>
    <w:rsid w:val="00113CFF"/>
    <w:rsid w:val="00114812"/>
    <w:rsid w:val="00114F27"/>
    <w:rsid w:val="00115279"/>
    <w:rsid w:val="00115A77"/>
    <w:rsid w:val="001166F8"/>
    <w:rsid w:val="00116B09"/>
    <w:rsid w:val="00116C2F"/>
    <w:rsid w:val="00117955"/>
    <w:rsid w:val="00117980"/>
    <w:rsid w:val="00117C82"/>
    <w:rsid w:val="00117CF3"/>
    <w:rsid w:val="00117ED4"/>
    <w:rsid w:val="0012033F"/>
    <w:rsid w:val="0012038B"/>
    <w:rsid w:val="0012042D"/>
    <w:rsid w:val="00120DCF"/>
    <w:rsid w:val="00123450"/>
    <w:rsid w:val="00123717"/>
    <w:rsid w:val="00124171"/>
    <w:rsid w:val="00124189"/>
    <w:rsid w:val="001242A7"/>
    <w:rsid w:val="001246FC"/>
    <w:rsid w:val="0012485F"/>
    <w:rsid w:val="00124AA4"/>
    <w:rsid w:val="00124B5D"/>
    <w:rsid w:val="00125447"/>
    <w:rsid w:val="00125A6A"/>
    <w:rsid w:val="00125CA2"/>
    <w:rsid w:val="00125E63"/>
    <w:rsid w:val="001264A5"/>
    <w:rsid w:val="0012669C"/>
    <w:rsid w:val="00126A1D"/>
    <w:rsid w:val="00126DA6"/>
    <w:rsid w:val="001273C2"/>
    <w:rsid w:val="00127616"/>
    <w:rsid w:val="0012787A"/>
    <w:rsid w:val="00127D0D"/>
    <w:rsid w:val="00127EFA"/>
    <w:rsid w:val="00130EDD"/>
    <w:rsid w:val="00130F42"/>
    <w:rsid w:val="001316A0"/>
    <w:rsid w:val="001324CB"/>
    <w:rsid w:val="001326F1"/>
    <w:rsid w:val="00132B3A"/>
    <w:rsid w:val="00133294"/>
    <w:rsid w:val="00133471"/>
    <w:rsid w:val="00133D47"/>
    <w:rsid w:val="00133E37"/>
    <w:rsid w:val="00134938"/>
    <w:rsid w:val="00134A17"/>
    <w:rsid w:val="00134B8C"/>
    <w:rsid w:val="00134D15"/>
    <w:rsid w:val="001352AA"/>
    <w:rsid w:val="00135493"/>
    <w:rsid w:val="001363D7"/>
    <w:rsid w:val="00136C6A"/>
    <w:rsid w:val="001371B2"/>
    <w:rsid w:val="001379E3"/>
    <w:rsid w:val="0014029B"/>
    <w:rsid w:val="00140BB9"/>
    <w:rsid w:val="00140F68"/>
    <w:rsid w:val="00141A19"/>
    <w:rsid w:val="00141A2E"/>
    <w:rsid w:val="00141AEE"/>
    <w:rsid w:val="0014261D"/>
    <w:rsid w:val="00142A14"/>
    <w:rsid w:val="00142D88"/>
    <w:rsid w:val="00143468"/>
    <w:rsid w:val="001435C3"/>
    <w:rsid w:val="001435EE"/>
    <w:rsid w:val="0014377D"/>
    <w:rsid w:val="00144449"/>
    <w:rsid w:val="00144F2F"/>
    <w:rsid w:val="00144F7F"/>
    <w:rsid w:val="00145018"/>
    <w:rsid w:val="001450CE"/>
    <w:rsid w:val="0014528D"/>
    <w:rsid w:val="00145A3A"/>
    <w:rsid w:val="00145BE8"/>
    <w:rsid w:val="0014641C"/>
    <w:rsid w:val="0014647C"/>
    <w:rsid w:val="00146907"/>
    <w:rsid w:val="00146A38"/>
    <w:rsid w:val="00146C2B"/>
    <w:rsid w:val="00146F2A"/>
    <w:rsid w:val="001478F7"/>
    <w:rsid w:val="00147AA6"/>
    <w:rsid w:val="00147B48"/>
    <w:rsid w:val="00147EBC"/>
    <w:rsid w:val="0015056B"/>
    <w:rsid w:val="001514A5"/>
    <w:rsid w:val="00151BCC"/>
    <w:rsid w:val="00151ED3"/>
    <w:rsid w:val="0015347B"/>
    <w:rsid w:val="00153707"/>
    <w:rsid w:val="00153CD3"/>
    <w:rsid w:val="001541AF"/>
    <w:rsid w:val="001546C5"/>
    <w:rsid w:val="00154A89"/>
    <w:rsid w:val="00154B75"/>
    <w:rsid w:val="00154BDD"/>
    <w:rsid w:val="00155139"/>
    <w:rsid w:val="0015551B"/>
    <w:rsid w:val="001566B8"/>
    <w:rsid w:val="00157329"/>
    <w:rsid w:val="0015734B"/>
    <w:rsid w:val="001579D2"/>
    <w:rsid w:val="0016005E"/>
    <w:rsid w:val="0016062E"/>
    <w:rsid w:val="001608D4"/>
    <w:rsid w:val="00160CA0"/>
    <w:rsid w:val="00162093"/>
    <w:rsid w:val="001622E4"/>
    <w:rsid w:val="00162B9A"/>
    <w:rsid w:val="00162D12"/>
    <w:rsid w:val="00163532"/>
    <w:rsid w:val="00163732"/>
    <w:rsid w:val="00163BBB"/>
    <w:rsid w:val="001640B4"/>
    <w:rsid w:val="0016504C"/>
    <w:rsid w:val="00166195"/>
    <w:rsid w:val="00167023"/>
    <w:rsid w:val="0016736C"/>
    <w:rsid w:val="00167702"/>
    <w:rsid w:val="00167B63"/>
    <w:rsid w:val="00170411"/>
    <w:rsid w:val="00170533"/>
    <w:rsid w:val="001707E6"/>
    <w:rsid w:val="00170E49"/>
    <w:rsid w:val="00170E54"/>
    <w:rsid w:val="00171359"/>
    <w:rsid w:val="0017148F"/>
    <w:rsid w:val="0017168C"/>
    <w:rsid w:val="001716EC"/>
    <w:rsid w:val="00171937"/>
    <w:rsid w:val="00171B64"/>
    <w:rsid w:val="0017243A"/>
    <w:rsid w:val="001728CB"/>
    <w:rsid w:val="001728CF"/>
    <w:rsid w:val="00172B14"/>
    <w:rsid w:val="00172B90"/>
    <w:rsid w:val="00172CF8"/>
    <w:rsid w:val="00172FA3"/>
    <w:rsid w:val="001732F1"/>
    <w:rsid w:val="00173342"/>
    <w:rsid w:val="00173C8D"/>
    <w:rsid w:val="00174220"/>
    <w:rsid w:val="001746B0"/>
    <w:rsid w:val="00174921"/>
    <w:rsid w:val="00174D97"/>
    <w:rsid w:val="00174EE2"/>
    <w:rsid w:val="00175C62"/>
    <w:rsid w:val="0017605D"/>
    <w:rsid w:val="001761B9"/>
    <w:rsid w:val="0017628E"/>
    <w:rsid w:val="00176581"/>
    <w:rsid w:val="001767A4"/>
    <w:rsid w:val="00176D0B"/>
    <w:rsid w:val="00176FB4"/>
    <w:rsid w:val="0017771B"/>
    <w:rsid w:val="00177821"/>
    <w:rsid w:val="001779BB"/>
    <w:rsid w:val="00177AD0"/>
    <w:rsid w:val="00177DBE"/>
    <w:rsid w:val="00177F09"/>
    <w:rsid w:val="001800A1"/>
    <w:rsid w:val="00180821"/>
    <w:rsid w:val="00180B81"/>
    <w:rsid w:val="00180CA9"/>
    <w:rsid w:val="00181449"/>
    <w:rsid w:val="001817F4"/>
    <w:rsid w:val="0018197F"/>
    <w:rsid w:val="00181F5E"/>
    <w:rsid w:val="0018265C"/>
    <w:rsid w:val="00182AC3"/>
    <w:rsid w:val="001833F8"/>
    <w:rsid w:val="001836A0"/>
    <w:rsid w:val="0018414D"/>
    <w:rsid w:val="001845B4"/>
    <w:rsid w:val="0018464C"/>
    <w:rsid w:val="00185A85"/>
    <w:rsid w:val="00186DC9"/>
    <w:rsid w:val="00186E6B"/>
    <w:rsid w:val="001874F7"/>
    <w:rsid w:val="0019093E"/>
    <w:rsid w:val="001909AE"/>
    <w:rsid w:val="00190C6D"/>
    <w:rsid w:val="00190D86"/>
    <w:rsid w:val="0019188F"/>
    <w:rsid w:val="001918AC"/>
    <w:rsid w:val="00191A5E"/>
    <w:rsid w:val="00191F22"/>
    <w:rsid w:val="00192259"/>
    <w:rsid w:val="001924B6"/>
    <w:rsid w:val="00192506"/>
    <w:rsid w:val="001929D0"/>
    <w:rsid w:val="00192CD4"/>
    <w:rsid w:val="00192FDA"/>
    <w:rsid w:val="00193718"/>
    <w:rsid w:val="0019397C"/>
    <w:rsid w:val="00194474"/>
    <w:rsid w:val="00194DF1"/>
    <w:rsid w:val="00194EC2"/>
    <w:rsid w:val="00194ED6"/>
    <w:rsid w:val="00195C85"/>
    <w:rsid w:val="001965B0"/>
    <w:rsid w:val="001971D3"/>
    <w:rsid w:val="00197CD9"/>
    <w:rsid w:val="001A07C1"/>
    <w:rsid w:val="001A1239"/>
    <w:rsid w:val="001A1A37"/>
    <w:rsid w:val="001A1A57"/>
    <w:rsid w:val="001A1B1F"/>
    <w:rsid w:val="001A1C25"/>
    <w:rsid w:val="001A24B9"/>
    <w:rsid w:val="001A3078"/>
    <w:rsid w:val="001A32EA"/>
    <w:rsid w:val="001A33ED"/>
    <w:rsid w:val="001A3617"/>
    <w:rsid w:val="001A3688"/>
    <w:rsid w:val="001A3746"/>
    <w:rsid w:val="001A3AF3"/>
    <w:rsid w:val="001A4B41"/>
    <w:rsid w:val="001A4CCA"/>
    <w:rsid w:val="001A4E57"/>
    <w:rsid w:val="001A4FAA"/>
    <w:rsid w:val="001A56B9"/>
    <w:rsid w:val="001A57C3"/>
    <w:rsid w:val="001A5FD9"/>
    <w:rsid w:val="001A6D12"/>
    <w:rsid w:val="001A6D40"/>
    <w:rsid w:val="001A717A"/>
    <w:rsid w:val="001A74E9"/>
    <w:rsid w:val="001B01B6"/>
    <w:rsid w:val="001B029E"/>
    <w:rsid w:val="001B0C96"/>
    <w:rsid w:val="001B0DE0"/>
    <w:rsid w:val="001B122B"/>
    <w:rsid w:val="001B14A3"/>
    <w:rsid w:val="001B1AC7"/>
    <w:rsid w:val="001B1DA9"/>
    <w:rsid w:val="001B1E28"/>
    <w:rsid w:val="001B2072"/>
    <w:rsid w:val="001B20B7"/>
    <w:rsid w:val="001B23BB"/>
    <w:rsid w:val="001B2417"/>
    <w:rsid w:val="001B2551"/>
    <w:rsid w:val="001B27E6"/>
    <w:rsid w:val="001B32EA"/>
    <w:rsid w:val="001B361D"/>
    <w:rsid w:val="001B37F1"/>
    <w:rsid w:val="001B460A"/>
    <w:rsid w:val="001B4AA0"/>
    <w:rsid w:val="001B51AE"/>
    <w:rsid w:val="001B5DA2"/>
    <w:rsid w:val="001B6047"/>
    <w:rsid w:val="001B685B"/>
    <w:rsid w:val="001B7277"/>
    <w:rsid w:val="001B73DD"/>
    <w:rsid w:val="001B7F62"/>
    <w:rsid w:val="001C096D"/>
    <w:rsid w:val="001C0F05"/>
    <w:rsid w:val="001C143F"/>
    <w:rsid w:val="001C217A"/>
    <w:rsid w:val="001C217D"/>
    <w:rsid w:val="001C35C5"/>
    <w:rsid w:val="001C39CF"/>
    <w:rsid w:val="001C3F4C"/>
    <w:rsid w:val="001C4A58"/>
    <w:rsid w:val="001C4B95"/>
    <w:rsid w:val="001C4D2D"/>
    <w:rsid w:val="001C4F13"/>
    <w:rsid w:val="001C534D"/>
    <w:rsid w:val="001C53AF"/>
    <w:rsid w:val="001C5713"/>
    <w:rsid w:val="001C58E5"/>
    <w:rsid w:val="001C5F76"/>
    <w:rsid w:val="001C646B"/>
    <w:rsid w:val="001C709F"/>
    <w:rsid w:val="001C70F8"/>
    <w:rsid w:val="001C71AD"/>
    <w:rsid w:val="001C7259"/>
    <w:rsid w:val="001C76EC"/>
    <w:rsid w:val="001C78EA"/>
    <w:rsid w:val="001D06AA"/>
    <w:rsid w:val="001D0817"/>
    <w:rsid w:val="001D0E8C"/>
    <w:rsid w:val="001D17A6"/>
    <w:rsid w:val="001D18F4"/>
    <w:rsid w:val="001D225B"/>
    <w:rsid w:val="001D2856"/>
    <w:rsid w:val="001D457C"/>
    <w:rsid w:val="001D4C21"/>
    <w:rsid w:val="001D4CAB"/>
    <w:rsid w:val="001D54A8"/>
    <w:rsid w:val="001D5F4D"/>
    <w:rsid w:val="001D6B88"/>
    <w:rsid w:val="001D7122"/>
    <w:rsid w:val="001D712B"/>
    <w:rsid w:val="001D7AF0"/>
    <w:rsid w:val="001D7BAA"/>
    <w:rsid w:val="001D7E89"/>
    <w:rsid w:val="001E082F"/>
    <w:rsid w:val="001E0831"/>
    <w:rsid w:val="001E0A79"/>
    <w:rsid w:val="001E0B17"/>
    <w:rsid w:val="001E10CE"/>
    <w:rsid w:val="001E122F"/>
    <w:rsid w:val="001E1293"/>
    <w:rsid w:val="001E12A2"/>
    <w:rsid w:val="001E12E5"/>
    <w:rsid w:val="001E16AD"/>
    <w:rsid w:val="001E1FCE"/>
    <w:rsid w:val="001E2073"/>
    <w:rsid w:val="001E20D5"/>
    <w:rsid w:val="001E2F13"/>
    <w:rsid w:val="001E3866"/>
    <w:rsid w:val="001E503A"/>
    <w:rsid w:val="001E5687"/>
    <w:rsid w:val="001E704D"/>
    <w:rsid w:val="001E7074"/>
    <w:rsid w:val="001E757F"/>
    <w:rsid w:val="001E7718"/>
    <w:rsid w:val="001E7C12"/>
    <w:rsid w:val="001F1DFE"/>
    <w:rsid w:val="001F210B"/>
    <w:rsid w:val="001F2C28"/>
    <w:rsid w:val="001F2D74"/>
    <w:rsid w:val="001F32A0"/>
    <w:rsid w:val="001F3BD1"/>
    <w:rsid w:val="001F42D4"/>
    <w:rsid w:val="001F4664"/>
    <w:rsid w:val="001F48D9"/>
    <w:rsid w:val="001F4F7F"/>
    <w:rsid w:val="001F576B"/>
    <w:rsid w:val="001F640C"/>
    <w:rsid w:val="001F66F2"/>
    <w:rsid w:val="001F688F"/>
    <w:rsid w:val="001F6B2E"/>
    <w:rsid w:val="001F7F17"/>
    <w:rsid w:val="002001B5"/>
    <w:rsid w:val="0020021C"/>
    <w:rsid w:val="002002C4"/>
    <w:rsid w:val="00200775"/>
    <w:rsid w:val="00201D0B"/>
    <w:rsid w:val="00201F92"/>
    <w:rsid w:val="002025DB"/>
    <w:rsid w:val="00202F66"/>
    <w:rsid w:val="00203112"/>
    <w:rsid w:val="002031B7"/>
    <w:rsid w:val="00203B33"/>
    <w:rsid w:val="00203D77"/>
    <w:rsid w:val="002047E0"/>
    <w:rsid w:val="00204A9B"/>
    <w:rsid w:val="00204D2F"/>
    <w:rsid w:val="00205B83"/>
    <w:rsid w:val="0020654B"/>
    <w:rsid w:val="00206743"/>
    <w:rsid w:val="002077DD"/>
    <w:rsid w:val="00207AA9"/>
    <w:rsid w:val="00207C87"/>
    <w:rsid w:val="00210D90"/>
    <w:rsid w:val="002112BA"/>
    <w:rsid w:val="00211365"/>
    <w:rsid w:val="002130CD"/>
    <w:rsid w:val="00213164"/>
    <w:rsid w:val="0021334C"/>
    <w:rsid w:val="002135DF"/>
    <w:rsid w:val="002138C5"/>
    <w:rsid w:val="00213FC3"/>
    <w:rsid w:val="00215080"/>
    <w:rsid w:val="002152B8"/>
    <w:rsid w:val="00215536"/>
    <w:rsid w:val="0021580E"/>
    <w:rsid w:val="00216901"/>
    <w:rsid w:val="00216942"/>
    <w:rsid w:val="002169A5"/>
    <w:rsid w:val="00216EEF"/>
    <w:rsid w:val="00217178"/>
    <w:rsid w:val="0021731A"/>
    <w:rsid w:val="00217348"/>
    <w:rsid w:val="00217696"/>
    <w:rsid w:val="002200E8"/>
    <w:rsid w:val="0022122C"/>
    <w:rsid w:val="00221F5B"/>
    <w:rsid w:val="00222312"/>
    <w:rsid w:val="0022304E"/>
    <w:rsid w:val="00223541"/>
    <w:rsid w:val="00223CE3"/>
    <w:rsid w:val="00224653"/>
    <w:rsid w:val="0022497A"/>
    <w:rsid w:val="00224C47"/>
    <w:rsid w:val="002255D1"/>
    <w:rsid w:val="002262D7"/>
    <w:rsid w:val="00226BE2"/>
    <w:rsid w:val="00226EF6"/>
    <w:rsid w:val="002270C3"/>
    <w:rsid w:val="0022738F"/>
    <w:rsid w:val="002276AB"/>
    <w:rsid w:val="002311B4"/>
    <w:rsid w:val="00231D29"/>
    <w:rsid w:val="00231D60"/>
    <w:rsid w:val="002327CE"/>
    <w:rsid w:val="00232A33"/>
    <w:rsid w:val="00232DC7"/>
    <w:rsid w:val="00232FA4"/>
    <w:rsid w:val="00233242"/>
    <w:rsid w:val="002333B7"/>
    <w:rsid w:val="002334D6"/>
    <w:rsid w:val="00234B84"/>
    <w:rsid w:val="002351C0"/>
    <w:rsid w:val="002363F1"/>
    <w:rsid w:val="00236F1F"/>
    <w:rsid w:val="0023729E"/>
    <w:rsid w:val="00240370"/>
    <w:rsid w:val="0024057D"/>
    <w:rsid w:val="0024073E"/>
    <w:rsid w:val="002409FD"/>
    <w:rsid w:val="00240A9D"/>
    <w:rsid w:val="00240E24"/>
    <w:rsid w:val="00241106"/>
    <w:rsid w:val="00241243"/>
    <w:rsid w:val="00241C0D"/>
    <w:rsid w:val="00242046"/>
    <w:rsid w:val="00242117"/>
    <w:rsid w:val="0024235F"/>
    <w:rsid w:val="00242942"/>
    <w:rsid w:val="00242CBC"/>
    <w:rsid w:val="00243695"/>
    <w:rsid w:val="00244011"/>
    <w:rsid w:val="00244312"/>
    <w:rsid w:val="0024438D"/>
    <w:rsid w:val="0024444E"/>
    <w:rsid w:val="00244553"/>
    <w:rsid w:val="00244B77"/>
    <w:rsid w:val="00244CD1"/>
    <w:rsid w:val="00244D27"/>
    <w:rsid w:val="002452F2"/>
    <w:rsid w:val="00246477"/>
    <w:rsid w:val="0024747E"/>
    <w:rsid w:val="00247727"/>
    <w:rsid w:val="00247E30"/>
    <w:rsid w:val="00247F1F"/>
    <w:rsid w:val="002506E7"/>
    <w:rsid w:val="00250902"/>
    <w:rsid w:val="00251951"/>
    <w:rsid w:val="002536E0"/>
    <w:rsid w:val="0025379A"/>
    <w:rsid w:val="002539CE"/>
    <w:rsid w:val="00254396"/>
    <w:rsid w:val="00254EA7"/>
    <w:rsid w:val="00255126"/>
    <w:rsid w:val="002552EB"/>
    <w:rsid w:val="002561A0"/>
    <w:rsid w:val="0025651B"/>
    <w:rsid w:val="00256955"/>
    <w:rsid w:val="002569FF"/>
    <w:rsid w:val="00256EE0"/>
    <w:rsid w:val="00257951"/>
    <w:rsid w:val="00257A6B"/>
    <w:rsid w:val="00257BE7"/>
    <w:rsid w:val="002605E0"/>
    <w:rsid w:val="00260CBC"/>
    <w:rsid w:val="002613B0"/>
    <w:rsid w:val="002619A4"/>
    <w:rsid w:val="00261ED0"/>
    <w:rsid w:val="0026323C"/>
    <w:rsid w:val="002632D2"/>
    <w:rsid w:val="002645F2"/>
    <w:rsid w:val="00266CE1"/>
    <w:rsid w:val="00267551"/>
    <w:rsid w:val="00267C16"/>
    <w:rsid w:val="0027006C"/>
    <w:rsid w:val="002703D8"/>
    <w:rsid w:val="002706B0"/>
    <w:rsid w:val="00270745"/>
    <w:rsid w:val="002714AB"/>
    <w:rsid w:val="00271C9B"/>
    <w:rsid w:val="00271F42"/>
    <w:rsid w:val="002736BB"/>
    <w:rsid w:val="00273776"/>
    <w:rsid w:val="0027403E"/>
    <w:rsid w:val="00274275"/>
    <w:rsid w:val="002743B4"/>
    <w:rsid w:val="002744BF"/>
    <w:rsid w:val="002754DB"/>
    <w:rsid w:val="00275833"/>
    <w:rsid w:val="00275F5F"/>
    <w:rsid w:val="0027669C"/>
    <w:rsid w:val="00277068"/>
    <w:rsid w:val="002773BF"/>
    <w:rsid w:val="00277879"/>
    <w:rsid w:val="00277E97"/>
    <w:rsid w:val="0028079D"/>
    <w:rsid w:val="00280D59"/>
    <w:rsid w:val="00280ED4"/>
    <w:rsid w:val="00281B1A"/>
    <w:rsid w:val="0028227E"/>
    <w:rsid w:val="00282E5F"/>
    <w:rsid w:val="00283016"/>
    <w:rsid w:val="00283D25"/>
    <w:rsid w:val="00284E50"/>
    <w:rsid w:val="00285DE1"/>
    <w:rsid w:val="002868C4"/>
    <w:rsid w:val="00287360"/>
    <w:rsid w:val="00287ECC"/>
    <w:rsid w:val="002906F9"/>
    <w:rsid w:val="00290DFC"/>
    <w:rsid w:val="00290FCA"/>
    <w:rsid w:val="00291D4A"/>
    <w:rsid w:val="002925EA"/>
    <w:rsid w:val="002928FD"/>
    <w:rsid w:val="0029337A"/>
    <w:rsid w:val="0029368C"/>
    <w:rsid w:val="00295635"/>
    <w:rsid w:val="00295911"/>
    <w:rsid w:val="00295A16"/>
    <w:rsid w:val="00296829"/>
    <w:rsid w:val="00296F60"/>
    <w:rsid w:val="002970CE"/>
    <w:rsid w:val="00297707"/>
    <w:rsid w:val="002978B7"/>
    <w:rsid w:val="00297D27"/>
    <w:rsid w:val="002A0BEB"/>
    <w:rsid w:val="002A1379"/>
    <w:rsid w:val="002A149A"/>
    <w:rsid w:val="002A19B9"/>
    <w:rsid w:val="002A1F89"/>
    <w:rsid w:val="002A229F"/>
    <w:rsid w:val="002A2E04"/>
    <w:rsid w:val="002A2ED1"/>
    <w:rsid w:val="002A3727"/>
    <w:rsid w:val="002A3C2A"/>
    <w:rsid w:val="002A401B"/>
    <w:rsid w:val="002A41CB"/>
    <w:rsid w:val="002A4368"/>
    <w:rsid w:val="002A476F"/>
    <w:rsid w:val="002A55ED"/>
    <w:rsid w:val="002A5CFE"/>
    <w:rsid w:val="002A5F03"/>
    <w:rsid w:val="002A6193"/>
    <w:rsid w:val="002A62BC"/>
    <w:rsid w:val="002A6721"/>
    <w:rsid w:val="002A6A05"/>
    <w:rsid w:val="002A6F0E"/>
    <w:rsid w:val="002A77D3"/>
    <w:rsid w:val="002B0066"/>
    <w:rsid w:val="002B013A"/>
    <w:rsid w:val="002B0BEB"/>
    <w:rsid w:val="002B0C9E"/>
    <w:rsid w:val="002B10BB"/>
    <w:rsid w:val="002B169D"/>
    <w:rsid w:val="002B1AE2"/>
    <w:rsid w:val="002B29D5"/>
    <w:rsid w:val="002B2FB9"/>
    <w:rsid w:val="002B367E"/>
    <w:rsid w:val="002B37DA"/>
    <w:rsid w:val="002B37F7"/>
    <w:rsid w:val="002B3A5E"/>
    <w:rsid w:val="002B3C60"/>
    <w:rsid w:val="002B416A"/>
    <w:rsid w:val="002B502F"/>
    <w:rsid w:val="002B593B"/>
    <w:rsid w:val="002B59F0"/>
    <w:rsid w:val="002B5AED"/>
    <w:rsid w:val="002B5BB7"/>
    <w:rsid w:val="002B64EB"/>
    <w:rsid w:val="002B64F2"/>
    <w:rsid w:val="002B6A27"/>
    <w:rsid w:val="002B728C"/>
    <w:rsid w:val="002B73D8"/>
    <w:rsid w:val="002C059C"/>
    <w:rsid w:val="002C0637"/>
    <w:rsid w:val="002C0D75"/>
    <w:rsid w:val="002C181B"/>
    <w:rsid w:val="002C1C74"/>
    <w:rsid w:val="002C1F7D"/>
    <w:rsid w:val="002C251A"/>
    <w:rsid w:val="002C2B6D"/>
    <w:rsid w:val="002C2E95"/>
    <w:rsid w:val="002C32E0"/>
    <w:rsid w:val="002C382A"/>
    <w:rsid w:val="002C3A1F"/>
    <w:rsid w:val="002C3D7D"/>
    <w:rsid w:val="002C3DEA"/>
    <w:rsid w:val="002C3F94"/>
    <w:rsid w:val="002C3FD8"/>
    <w:rsid w:val="002C40B6"/>
    <w:rsid w:val="002C4145"/>
    <w:rsid w:val="002C4BAE"/>
    <w:rsid w:val="002C5150"/>
    <w:rsid w:val="002C51CF"/>
    <w:rsid w:val="002C57A7"/>
    <w:rsid w:val="002C5F8B"/>
    <w:rsid w:val="002C606D"/>
    <w:rsid w:val="002C6293"/>
    <w:rsid w:val="002C6732"/>
    <w:rsid w:val="002C6D6F"/>
    <w:rsid w:val="002C7526"/>
    <w:rsid w:val="002D093A"/>
    <w:rsid w:val="002D13A1"/>
    <w:rsid w:val="002D1809"/>
    <w:rsid w:val="002D2791"/>
    <w:rsid w:val="002D2CA1"/>
    <w:rsid w:val="002D2F97"/>
    <w:rsid w:val="002D3AE6"/>
    <w:rsid w:val="002D3BA9"/>
    <w:rsid w:val="002D420F"/>
    <w:rsid w:val="002D5CD7"/>
    <w:rsid w:val="002D69CA"/>
    <w:rsid w:val="002D71EA"/>
    <w:rsid w:val="002D7228"/>
    <w:rsid w:val="002D77EA"/>
    <w:rsid w:val="002D7CC9"/>
    <w:rsid w:val="002E0179"/>
    <w:rsid w:val="002E06CB"/>
    <w:rsid w:val="002E07DF"/>
    <w:rsid w:val="002E112B"/>
    <w:rsid w:val="002E15BE"/>
    <w:rsid w:val="002E1BAF"/>
    <w:rsid w:val="002E2CC4"/>
    <w:rsid w:val="002E2EC6"/>
    <w:rsid w:val="002E3462"/>
    <w:rsid w:val="002E35E3"/>
    <w:rsid w:val="002E391C"/>
    <w:rsid w:val="002E3B6A"/>
    <w:rsid w:val="002E3C34"/>
    <w:rsid w:val="002E3DD4"/>
    <w:rsid w:val="002E43AD"/>
    <w:rsid w:val="002E443D"/>
    <w:rsid w:val="002E449F"/>
    <w:rsid w:val="002E462A"/>
    <w:rsid w:val="002E4C3F"/>
    <w:rsid w:val="002E51BE"/>
    <w:rsid w:val="002E5849"/>
    <w:rsid w:val="002E5885"/>
    <w:rsid w:val="002E682E"/>
    <w:rsid w:val="002E68B5"/>
    <w:rsid w:val="002E716B"/>
    <w:rsid w:val="002E72C4"/>
    <w:rsid w:val="002E762A"/>
    <w:rsid w:val="002E7B11"/>
    <w:rsid w:val="002E7E47"/>
    <w:rsid w:val="002F01B2"/>
    <w:rsid w:val="002F075F"/>
    <w:rsid w:val="002F131C"/>
    <w:rsid w:val="002F1386"/>
    <w:rsid w:val="002F16D2"/>
    <w:rsid w:val="002F18C8"/>
    <w:rsid w:val="002F1FC6"/>
    <w:rsid w:val="002F1FD3"/>
    <w:rsid w:val="002F235D"/>
    <w:rsid w:val="002F2948"/>
    <w:rsid w:val="002F2BFE"/>
    <w:rsid w:val="002F2EDB"/>
    <w:rsid w:val="002F34E7"/>
    <w:rsid w:val="002F35EE"/>
    <w:rsid w:val="002F364E"/>
    <w:rsid w:val="002F3898"/>
    <w:rsid w:val="002F38C8"/>
    <w:rsid w:val="002F39BE"/>
    <w:rsid w:val="002F4101"/>
    <w:rsid w:val="002F451D"/>
    <w:rsid w:val="002F4A5D"/>
    <w:rsid w:val="002F5103"/>
    <w:rsid w:val="002F556B"/>
    <w:rsid w:val="002F5C99"/>
    <w:rsid w:val="002F5F26"/>
    <w:rsid w:val="002F6D56"/>
    <w:rsid w:val="002F6F42"/>
    <w:rsid w:val="002F78D9"/>
    <w:rsid w:val="002F7F43"/>
    <w:rsid w:val="002F7FFC"/>
    <w:rsid w:val="00300CF3"/>
    <w:rsid w:val="00300FDA"/>
    <w:rsid w:val="00301445"/>
    <w:rsid w:val="003017D1"/>
    <w:rsid w:val="0030180A"/>
    <w:rsid w:val="00301FF7"/>
    <w:rsid w:val="00302575"/>
    <w:rsid w:val="003029CA"/>
    <w:rsid w:val="00302E32"/>
    <w:rsid w:val="00302F70"/>
    <w:rsid w:val="0030322F"/>
    <w:rsid w:val="00303294"/>
    <w:rsid w:val="00303874"/>
    <w:rsid w:val="00303934"/>
    <w:rsid w:val="00303B81"/>
    <w:rsid w:val="00303F20"/>
    <w:rsid w:val="003050D6"/>
    <w:rsid w:val="00305C21"/>
    <w:rsid w:val="00306318"/>
    <w:rsid w:val="003064A5"/>
    <w:rsid w:val="00306BD0"/>
    <w:rsid w:val="00307DB0"/>
    <w:rsid w:val="0031016F"/>
    <w:rsid w:val="00310DEF"/>
    <w:rsid w:val="003113EF"/>
    <w:rsid w:val="0031191D"/>
    <w:rsid w:val="00311A43"/>
    <w:rsid w:val="00311C3A"/>
    <w:rsid w:val="00311E28"/>
    <w:rsid w:val="00313231"/>
    <w:rsid w:val="003133C3"/>
    <w:rsid w:val="0031384F"/>
    <w:rsid w:val="00313DAE"/>
    <w:rsid w:val="003149C3"/>
    <w:rsid w:val="00314FB4"/>
    <w:rsid w:val="003151CB"/>
    <w:rsid w:val="00315245"/>
    <w:rsid w:val="00315CBE"/>
    <w:rsid w:val="00316383"/>
    <w:rsid w:val="00316B1B"/>
    <w:rsid w:val="00317E55"/>
    <w:rsid w:val="003200DB"/>
    <w:rsid w:val="0032056F"/>
    <w:rsid w:val="003213F5"/>
    <w:rsid w:val="003214B3"/>
    <w:rsid w:val="003218F5"/>
    <w:rsid w:val="00321F49"/>
    <w:rsid w:val="0032227B"/>
    <w:rsid w:val="00322706"/>
    <w:rsid w:val="00322720"/>
    <w:rsid w:val="00322857"/>
    <w:rsid w:val="00322A88"/>
    <w:rsid w:val="0032321C"/>
    <w:rsid w:val="00323486"/>
    <w:rsid w:val="0032376A"/>
    <w:rsid w:val="00323FD1"/>
    <w:rsid w:val="00324FA0"/>
    <w:rsid w:val="00324FDE"/>
    <w:rsid w:val="00325066"/>
    <w:rsid w:val="003256AC"/>
    <w:rsid w:val="00325A5A"/>
    <w:rsid w:val="00325CF7"/>
    <w:rsid w:val="003264EE"/>
    <w:rsid w:val="003265A2"/>
    <w:rsid w:val="00330DFB"/>
    <w:rsid w:val="00331130"/>
    <w:rsid w:val="003316BB"/>
    <w:rsid w:val="003320EA"/>
    <w:rsid w:val="003320F1"/>
    <w:rsid w:val="003322E5"/>
    <w:rsid w:val="0033231C"/>
    <w:rsid w:val="00333B44"/>
    <w:rsid w:val="00333D80"/>
    <w:rsid w:val="00333E55"/>
    <w:rsid w:val="00334256"/>
    <w:rsid w:val="00334656"/>
    <w:rsid w:val="0033465A"/>
    <w:rsid w:val="003350B5"/>
    <w:rsid w:val="00335F3D"/>
    <w:rsid w:val="003363CE"/>
    <w:rsid w:val="00336453"/>
    <w:rsid w:val="00336F22"/>
    <w:rsid w:val="003371B0"/>
    <w:rsid w:val="003371D4"/>
    <w:rsid w:val="003371FB"/>
    <w:rsid w:val="00337C71"/>
    <w:rsid w:val="00340246"/>
    <w:rsid w:val="003406AA"/>
    <w:rsid w:val="00341084"/>
    <w:rsid w:val="00341721"/>
    <w:rsid w:val="0034179B"/>
    <w:rsid w:val="00342A87"/>
    <w:rsid w:val="00343559"/>
    <w:rsid w:val="00343B38"/>
    <w:rsid w:val="00343C0F"/>
    <w:rsid w:val="003445B8"/>
    <w:rsid w:val="00344A8C"/>
    <w:rsid w:val="00344B4D"/>
    <w:rsid w:val="003450BE"/>
    <w:rsid w:val="003458F8"/>
    <w:rsid w:val="003467A0"/>
    <w:rsid w:val="003469AF"/>
    <w:rsid w:val="00346D9C"/>
    <w:rsid w:val="00346FC3"/>
    <w:rsid w:val="0034750B"/>
    <w:rsid w:val="003475DE"/>
    <w:rsid w:val="00347612"/>
    <w:rsid w:val="00347F35"/>
    <w:rsid w:val="00350E05"/>
    <w:rsid w:val="00350F0A"/>
    <w:rsid w:val="00350FFE"/>
    <w:rsid w:val="00351336"/>
    <w:rsid w:val="00351DD7"/>
    <w:rsid w:val="00351F2D"/>
    <w:rsid w:val="00352807"/>
    <w:rsid w:val="00352D11"/>
    <w:rsid w:val="003530D1"/>
    <w:rsid w:val="0035362F"/>
    <w:rsid w:val="00353F53"/>
    <w:rsid w:val="00354EED"/>
    <w:rsid w:val="00355309"/>
    <w:rsid w:val="0035610C"/>
    <w:rsid w:val="00357A31"/>
    <w:rsid w:val="00360026"/>
    <w:rsid w:val="00360892"/>
    <w:rsid w:val="00360ABF"/>
    <w:rsid w:val="00360F32"/>
    <w:rsid w:val="00361D7B"/>
    <w:rsid w:val="00361E02"/>
    <w:rsid w:val="00361E38"/>
    <w:rsid w:val="0036207F"/>
    <w:rsid w:val="003637AC"/>
    <w:rsid w:val="0036384F"/>
    <w:rsid w:val="00364504"/>
    <w:rsid w:val="00364BA0"/>
    <w:rsid w:val="00364DEF"/>
    <w:rsid w:val="0036505B"/>
    <w:rsid w:val="0036510E"/>
    <w:rsid w:val="0036576F"/>
    <w:rsid w:val="00365C88"/>
    <w:rsid w:val="00366F55"/>
    <w:rsid w:val="00367062"/>
    <w:rsid w:val="003671C2"/>
    <w:rsid w:val="00367ACF"/>
    <w:rsid w:val="00367FC1"/>
    <w:rsid w:val="0037061C"/>
    <w:rsid w:val="0037070D"/>
    <w:rsid w:val="0037171A"/>
    <w:rsid w:val="003717A8"/>
    <w:rsid w:val="003721D0"/>
    <w:rsid w:val="00372B6B"/>
    <w:rsid w:val="003731A1"/>
    <w:rsid w:val="00373D4B"/>
    <w:rsid w:val="00373F06"/>
    <w:rsid w:val="00374260"/>
    <w:rsid w:val="003742DB"/>
    <w:rsid w:val="00374602"/>
    <w:rsid w:val="00375196"/>
    <w:rsid w:val="00375812"/>
    <w:rsid w:val="003766B8"/>
    <w:rsid w:val="0037679F"/>
    <w:rsid w:val="00376BFD"/>
    <w:rsid w:val="003771F5"/>
    <w:rsid w:val="00377583"/>
    <w:rsid w:val="0038050C"/>
    <w:rsid w:val="003807C5"/>
    <w:rsid w:val="00380A1A"/>
    <w:rsid w:val="00381066"/>
    <w:rsid w:val="003814F0"/>
    <w:rsid w:val="0038152F"/>
    <w:rsid w:val="003823AF"/>
    <w:rsid w:val="00382520"/>
    <w:rsid w:val="00382585"/>
    <w:rsid w:val="003829B6"/>
    <w:rsid w:val="003829C9"/>
    <w:rsid w:val="00382F39"/>
    <w:rsid w:val="00382F59"/>
    <w:rsid w:val="003832A1"/>
    <w:rsid w:val="0038355A"/>
    <w:rsid w:val="00383854"/>
    <w:rsid w:val="0038386F"/>
    <w:rsid w:val="0038405F"/>
    <w:rsid w:val="003841D9"/>
    <w:rsid w:val="0038502C"/>
    <w:rsid w:val="00385BE5"/>
    <w:rsid w:val="00385BE7"/>
    <w:rsid w:val="00385FE9"/>
    <w:rsid w:val="00386072"/>
    <w:rsid w:val="00386324"/>
    <w:rsid w:val="003864D8"/>
    <w:rsid w:val="003868D1"/>
    <w:rsid w:val="00387099"/>
    <w:rsid w:val="003879A9"/>
    <w:rsid w:val="0039022A"/>
    <w:rsid w:val="0039047E"/>
    <w:rsid w:val="00390A89"/>
    <w:rsid w:val="00391411"/>
    <w:rsid w:val="003915D6"/>
    <w:rsid w:val="003919A6"/>
    <w:rsid w:val="003925A2"/>
    <w:rsid w:val="00392CBD"/>
    <w:rsid w:val="00393436"/>
    <w:rsid w:val="00393680"/>
    <w:rsid w:val="00393FB2"/>
    <w:rsid w:val="003943C6"/>
    <w:rsid w:val="00394557"/>
    <w:rsid w:val="0039478E"/>
    <w:rsid w:val="00394E0D"/>
    <w:rsid w:val="003967FB"/>
    <w:rsid w:val="00397134"/>
    <w:rsid w:val="0039772F"/>
    <w:rsid w:val="003A018D"/>
    <w:rsid w:val="003A059C"/>
    <w:rsid w:val="003A170D"/>
    <w:rsid w:val="003A2207"/>
    <w:rsid w:val="003A2ECC"/>
    <w:rsid w:val="003A3CF5"/>
    <w:rsid w:val="003A4287"/>
    <w:rsid w:val="003A4529"/>
    <w:rsid w:val="003A495A"/>
    <w:rsid w:val="003A4BA3"/>
    <w:rsid w:val="003A5000"/>
    <w:rsid w:val="003A6A94"/>
    <w:rsid w:val="003A6E29"/>
    <w:rsid w:val="003A7485"/>
    <w:rsid w:val="003A7F43"/>
    <w:rsid w:val="003B00F5"/>
    <w:rsid w:val="003B0387"/>
    <w:rsid w:val="003B0677"/>
    <w:rsid w:val="003B177D"/>
    <w:rsid w:val="003B1C2E"/>
    <w:rsid w:val="003B22AB"/>
    <w:rsid w:val="003B26C1"/>
    <w:rsid w:val="003B281D"/>
    <w:rsid w:val="003B2C04"/>
    <w:rsid w:val="003B312A"/>
    <w:rsid w:val="003B3150"/>
    <w:rsid w:val="003B32E4"/>
    <w:rsid w:val="003B3579"/>
    <w:rsid w:val="003B3762"/>
    <w:rsid w:val="003B37FB"/>
    <w:rsid w:val="003B3CCC"/>
    <w:rsid w:val="003B46F0"/>
    <w:rsid w:val="003B5575"/>
    <w:rsid w:val="003B5C8B"/>
    <w:rsid w:val="003B5CD7"/>
    <w:rsid w:val="003B641A"/>
    <w:rsid w:val="003B689B"/>
    <w:rsid w:val="003B7245"/>
    <w:rsid w:val="003B7737"/>
    <w:rsid w:val="003B7A5C"/>
    <w:rsid w:val="003C0562"/>
    <w:rsid w:val="003C0687"/>
    <w:rsid w:val="003C0943"/>
    <w:rsid w:val="003C0D1E"/>
    <w:rsid w:val="003C114F"/>
    <w:rsid w:val="003C16C3"/>
    <w:rsid w:val="003C1A24"/>
    <w:rsid w:val="003C1C0C"/>
    <w:rsid w:val="003C1DE0"/>
    <w:rsid w:val="003C24C9"/>
    <w:rsid w:val="003C2693"/>
    <w:rsid w:val="003C2A62"/>
    <w:rsid w:val="003C2B51"/>
    <w:rsid w:val="003C32C5"/>
    <w:rsid w:val="003C4694"/>
    <w:rsid w:val="003C4FE4"/>
    <w:rsid w:val="003C5FDF"/>
    <w:rsid w:val="003C620B"/>
    <w:rsid w:val="003C63CA"/>
    <w:rsid w:val="003C673F"/>
    <w:rsid w:val="003C6A1E"/>
    <w:rsid w:val="003C7670"/>
    <w:rsid w:val="003C786D"/>
    <w:rsid w:val="003C7AA2"/>
    <w:rsid w:val="003C7C09"/>
    <w:rsid w:val="003C7FBB"/>
    <w:rsid w:val="003D0DEB"/>
    <w:rsid w:val="003D0E6B"/>
    <w:rsid w:val="003D10AE"/>
    <w:rsid w:val="003D1701"/>
    <w:rsid w:val="003D175B"/>
    <w:rsid w:val="003D1788"/>
    <w:rsid w:val="003D1838"/>
    <w:rsid w:val="003D185E"/>
    <w:rsid w:val="003D1B87"/>
    <w:rsid w:val="003D312F"/>
    <w:rsid w:val="003D390E"/>
    <w:rsid w:val="003D39B9"/>
    <w:rsid w:val="003D3ACB"/>
    <w:rsid w:val="003D40F8"/>
    <w:rsid w:val="003D496F"/>
    <w:rsid w:val="003D4B25"/>
    <w:rsid w:val="003D4F55"/>
    <w:rsid w:val="003D588B"/>
    <w:rsid w:val="003D5DA4"/>
    <w:rsid w:val="003D605E"/>
    <w:rsid w:val="003D619D"/>
    <w:rsid w:val="003D657D"/>
    <w:rsid w:val="003D6BE9"/>
    <w:rsid w:val="003E0089"/>
    <w:rsid w:val="003E0DEC"/>
    <w:rsid w:val="003E116F"/>
    <w:rsid w:val="003E175A"/>
    <w:rsid w:val="003E1773"/>
    <w:rsid w:val="003E1B1D"/>
    <w:rsid w:val="003E2725"/>
    <w:rsid w:val="003E2887"/>
    <w:rsid w:val="003E3373"/>
    <w:rsid w:val="003E3494"/>
    <w:rsid w:val="003E3720"/>
    <w:rsid w:val="003E39D8"/>
    <w:rsid w:val="003E3A69"/>
    <w:rsid w:val="003E3C85"/>
    <w:rsid w:val="003E5F0E"/>
    <w:rsid w:val="003E6F37"/>
    <w:rsid w:val="003E6F99"/>
    <w:rsid w:val="003E7A56"/>
    <w:rsid w:val="003E7FF5"/>
    <w:rsid w:val="003F0151"/>
    <w:rsid w:val="003F03FC"/>
    <w:rsid w:val="003F0DC7"/>
    <w:rsid w:val="003F111E"/>
    <w:rsid w:val="003F1832"/>
    <w:rsid w:val="003F2582"/>
    <w:rsid w:val="003F26FB"/>
    <w:rsid w:val="003F3023"/>
    <w:rsid w:val="003F35B9"/>
    <w:rsid w:val="003F36FE"/>
    <w:rsid w:val="003F3781"/>
    <w:rsid w:val="003F3825"/>
    <w:rsid w:val="003F3D1A"/>
    <w:rsid w:val="003F4292"/>
    <w:rsid w:val="003F4531"/>
    <w:rsid w:val="003F4701"/>
    <w:rsid w:val="003F4FE8"/>
    <w:rsid w:val="003F5277"/>
    <w:rsid w:val="003F5962"/>
    <w:rsid w:val="003F5D52"/>
    <w:rsid w:val="003F5EC6"/>
    <w:rsid w:val="003F63EC"/>
    <w:rsid w:val="003F6DCA"/>
    <w:rsid w:val="003F7303"/>
    <w:rsid w:val="003F7318"/>
    <w:rsid w:val="003F7B66"/>
    <w:rsid w:val="00401508"/>
    <w:rsid w:val="00401789"/>
    <w:rsid w:val="00402821"/>
    <w:rsid w:val="00402997"/>
    <w:rsid w:val="004030F9"/>
    <w:rsid w:val="004032AA"/>
    <w:rsid w:val="00404BDB"/>
    <w:rsid w:val="004051E7"/>
    <w:rsid w:val="00405212"/>
    <w:rsid w:val="00405514"/>
    <w:rsid w:val="004060B2"/>
    <w:rsid w:val="00406173"/>
    <w:rsid w:val="0040656B"/>
    <w:rsid w:val="00406ED6"/>
    <w:rsid w:val="004070B4"/>
    <w:rsid w:val="00407330"/>
    <w:rsid w:val="00407404"/>
    <w:rsid w:val="004077F0"/>
    <w:rsid w:val="00407DAF"/>
    <w:rsid w:val="00407E2F"/>
    <w:rsid w:val="0041096E"/>
    <w:rsid w:val="00410C6B"/>
    <w:rsid w:val="00410C96"/>
    <w:rsid w:val="00411704"/>
    <w:rsid w:val="00411A63"/>
    <w:rsid w:val="00411E50"/>
    <w:rsid w:val="00412190"/>
    <w:rsid w:val="004122AD"/>
    <w:rsid w:val="004122BF"/>
    <w:rsid w:val="00414134"/>
    <w:rsid w:val="00414AC2"/>
    <w:rsid w:val="00414C9E"/>
    <w:rsid w:val="00414F75"/>
    <w:rsid w:val="004153BF"/>
    <w:rsid w:val="00415591"/>
    <w:rsid w:val="00416482"/>
    <w:rsid w:val="0041714E"/>
    <w:rsid w:val="00417BFB"/>
    <w:rsid w:val="00420A6E"/>
    <w:rsid w:val="00421468"/>
    <w:rsid w:val="0042206F"/>
    <w:rsid w:val="00422325"/>
    <w:rsid w:val="004225B0"/>
    <w:rsid w:val="00422E4B"/>
    <w:rsid w:val="00423284"/>
    <w:rsid w:val="00423651"/>
    <w:rsid w:val="004251BE"/>
    <w:rsid w:val="00425269"/>
    <w:rsid w:val="00425AF0"/>
    <w:rsid w:val="00425BAA"/>
    <w:rsid w:val="00425DDB"/>
    <w:rsid w:val="004260BF"/>
    <w:rsid w:val="004270BC"/>
    <w:rsid w:val="0042797E"/>
    <w:rsid w:val="00427BEC"/>
    <w:rsid w:val="0043008F"/>
    <w:rsid w:val="004303CC"/>
    <w:rsid w:val="004305AD"/>
    <w:rsid w:val="004312ED"/>
    <w:rsid w:val="00431D32"/>
    <w:rsid w:val="00431D99"/>
    <w:rsid w:val="00431E1A"/>
    <w:rsid w:val="00431FC7"/>
    <w:rsid w:val="004321C5"/>
    <w:rsid w:val="0043270A"/>
    <w:rsid w:val="0043329E"/>
    <w:rsid w:val="0043336E"/>
    <w:rsid w:val="00433792"/>
    <w:rsid w:val="0043396C"/>
    <w:rsid w:val="00433C8E"/>
    <w:rsid w:val="0043408D"/>
    <w:rsid w:val="004349F0"/>
    <w:rsid w:val="00434BD5"/>
    <w:rsid w:val="00435D97"/>
    <w:rsid w:val="004362C7"/>
    <w:rsid w:val="00436642"/>
    <w:rsid w:val="00436A57"/>
    <w:rsid w:val="00436E6F"/>
    <w:rsid w:val="00437839"/>
    <w:rsid w:val="00437BAF"/>
    <w:rsid w:val="00437CB7"/>
    <w:rsid w:val="00440B49"/>
    <w:rsid w:val="00440CBA"/>
    <w:rsid w:val="00440F44"/>
    <w:rsid w:val="00441320"/>
    <w:rsid w:val="00441377"/>
    <w:rsid w:val="004413C3"/>
    <w:rsid w:val="00441438"/>
    <w:rsid w:val="004415D3"/>
    <w:rsid w:val="004415E2"/>
    <w:rsid w:val="00441C04"/>
    <w:rsid w:val="0044255A"/>
    <w:rsid w:val="00442D88"/>
    <w:rsid w:val="00443065"/>
    <w:rsid w:val="004435BD"/>
    <w:rsid w:val="0044363B"/>
    <w:rsid w:val="0044374F"/>
    <w:rsid w:val="00443F97"/>
    <w:rsid w:val="004459A3"/>
    <w:rsid w:val="0044620F"/>
    <w:rsid w:val="00446804"/>
    <w:rsid w:val="00446912"/>
    <w:rsid w:val="00446D11"/>
    <w:rsid w:val="00447301"/>
    <w:rsid w:val="00447332"/>
    <w:rsid w:val="004479FC"/>
    <w:rsid w:val="00447EB4"/>
    <w:rsid w:val="00450539"/>
    <w:rsid w:val="00450601"/>
    <w:rsid w:val="00451065"/>
    <w:rsid w:val="00451169"/>
    <w:rsid w:val="00451867"/>
    <w:rsid w:val="00451DDD"/>
    <w:rsid w:val="00452320"/>
    <w:rsid w:val="0045279F"/>
    <w:rsid w:val="00453105"/>
    <w:rsid w:val="00453AAB"/>
    <w:rsid w:val="00453DDF"/>
    <w:rsid w:val="00454178"/>
    <w:rsid w:val="00454B9E"/>
    <w:rsid w:val="00454E38"/>
    <w:rsid w:val="004556AF"/>
    <w:rsid w:val="00455E30"/>
    <w:rsid w:val="00456502"/>
    <w:rsid w:val="00456593"/>
    <w:rsid w:val="004565C9"/>
    <w:rsid w:val="00456AB9"/>
    <w:rsid w:val="00456AE8"/>
    <w:rsid w:val="0045785D"/>
    <w:rsid w:val="00457D22"/>
    <w:rsid w:val="00460F69"/>
    <w:rsid w:val="0046104D"/>
    <w:rsid w:val="00461188"/>
    <w:rsid w:val="0046184C"/>
    <w:rsid w:val="00461B75"/>
    <w:rsid w:val="00462917"/>
    <w:rsid w:val="00462A29"/>
    <w:rsid w:val="00462BCB"/>
    <w:rsid w:val="00462D2C"/>
    <w:rsid w:val="0046337D"/>
    <w:rsid w:val="004634D3"/>
    <w:rsid w:val="004647CD"/>
    <w:rsid w:val="00464993"/>
    <w:rsid w:val="00464C39"/>
    <w:rsid w:val="00464CEF"/>
    <w:rsid w:val="004664D2"/>
    <w:rsid w:val="00466D7E"/>
    <w:rsid w:val="00467216"/>
    <w:rsid w:val="004673BF"/>
    <w:rsid w:val="00467F66"/>
    <w:rsid w:val="00470505"/>
    <w:rsid w:val="00470949"/>
    <w:rsid w:val="00470EC0"/>
    <w:rsid w:val="00470FFB"/>
    <w:rsid w:val="004713F2"/>
    <w:rsid w:val="00471C59"/>
    <w:rsid w:val="00471F21"/>
    <w:rsid w:val="00471FBD"/>
    <w:rsid w:val="00472375"/>
    <w:rsid w:val="00472B45"/>
    <w:rsid w:val="00473AE2"/>
    <w:rsid w:val="00474211"/>
    <w:rsid w:val="004747BD"/>
    <w:rsid w:val="0047518C"/>
    <w:rsid w:val="004751B9"/>
    <w:rsid w:val="00475266"/>
    <w:rsid w:val="0047556B"/>
    <w:rsid w:val="00475CCD"/>
    <w:rsid w:val="00475F0F"/>
    <w:rsid w:val="00477162"/>
    <w:rsid w:val="00477CA5"/>
    <w:rsid w:val="0048064C"/>
    <w:rsid w:val="00480A84"/>
    <w:rsid w:val="00481A46"/>
    <w:rsid w:val="0048278E"/>
    <w:rsid w:val="0048398C"/>
    <w:rsid w:val="00483CD8"/>
    <w:rsid w:val="00484829"/>
    <w:rsid w:val="00484AD1"/>
    <w:rsid w:val="004855D5"/>
    <w:rsid w:val="00485641"/>
    <w:rsid w:val="00485A5F"/>
    <w:rsid w:val="00485B04"/>
    <w:rsid w:val="00485B54"/>
    <w:rsid w:val="00485D57"/>
    <w:rsid w:val="00486608"/>
    <w:rsid w:val="00487346"/>
    <w:rsid w:val="00487B07"/>
    <w:rsid w:val="00487CB8"/>
    <w:rsid w:val="004901F7"/>
    <w:rsid w:val="0049048D"/>
    <w:rsid w:val="004912B1"/>
    <w:rsid w:val="00491BDE"/>
    <w:rsid w:val="00491DCB"/>
    <w:rsid w:val="0049287A"/>
    <w:rsid w:val="004928B2"/>
    <w:rsid w:val="00492DC4"/>
    <w:rsid w:val="004931BC"/>
    <w:rsid w:val="004932BE"/>
    <w:rsid w:val="00493784"/>
    <w:rsid w:val="00494124"/>
    <w:rsid w:val="004943C3"/>
    <w:rsid w:val="0049449B"/>
    <w:rsid w:val="0049477F"/>
    <w:rsid w:val="00494836"/>
    <w:rsid w:val="00494D60"/>
    <w:rsid w:val="00494D66"/>
    <w:rsid w:val="00495181"/>
    <w:rsid w:val="004951BB"/>
    <w:rsid w:val="0049553F"/>
    <w:rsid w:val="00495B3D"/>
    <w:rsid w:val="0049602F"/>
    <w:rsid w:val="00497332"/>
    <w:rsid w:val="004978A8"/>
    <w:rsid w:val="0049790C"/>
    <w:rsid w:val="004A0669"/>
    <w:rsid w:val="004A073D"/>
    <w:rsid w:val="004A085C"/>
    <w:rsid w:val="004A0DAC"/>
    <w:rsid w:val="004A0E0D"/>
    <w:rsid w:val="004A0EDE"/>
    <w:rsid w:val="004A12E3"/>
    <w:rsid w:val="004A241E"/>
    <w:rsid w:val="004A270A"/>
    <w:rsid w:val="004A273C"/>
    <w:rsid w:val="004A2779"/>
    <w:rsid w:val="004A2B2F"/>
    <w:rsid w:val="004A40CE"/>
    <w:rsid w:val="004A4560"/>
    <w:rsid w:val="004A474B"/>
    <w:rsid w:val="004A477A"/>
    <w:rsid w:val="004A4A6A"/>
    <w:rsid w:val="004A506A"/>
    <w:rsid w:val="004A57EA"/>
    <w:rsid w:val="004A69CC"/>
    <w:rsid w:val="004A7270"/>
    <w:rsid w:val="004A77C4"/>
    <w:rsid w:val="004A78EC"/>
    <w:rsid w:val="004A7E8F"/>
    <w:rsid w:val="004B000B"/>
    <w:rsid w:val="004B0BB9"/>
    <w:rsid w:val="004B14BB"/>
    <w:rsid w:val="004B18E1"/>
    <w:rsid w:val="004B1ACA"/>
    <w:rsid w:val="004B1CFB"/>
    <w:rsid w:val="004B2AC2"/>
    <w:rsid w:val="004B2C94"/>
    <w:rsid w:val="004B319B"/>
    <w:rsid w:val="004B3439"/>
    <w:rsid w:val="004B3AEC"/>
    <w:rsid w:val="004B3F86"/>
    <w:rsid w:val="004B4222"/>
    <w:rsid w:val="004B42D2"/>
    <w:rsid w:val="004B46D1"/>
    <w:rsid w:val="004B4BA6"/>
    <w:rsid w:val="004B5165"/>
    <w:rsid w:val="004B547B"/>
    <w:rsid w:val="004B7C15"/>
    <w:rsid w:val="004C0C8C"/>
    <w:rsid w:val="004C1CCA"/>
    <w:rsid w:val="004C1D7A"/>
    <w:rsid w:val="004C1FF8"/>
    <w:rsid w:val="004C2686"/>
    <w:rsid w:val="004C2DD4"/>
    <w:rsid w:val="004C2F66"/>
    <w:rsid w:val="004C319D"/>
    <w:rsid w:val="004C36DB"/>
    <w:rsid w:val="004C3AAF"/>
    <w:rsid w:val="004C3B0B"/>
    <w:rsid w:val="004C3DBF"/>
    <w:rsid w:val="004C4AFE"/>
    <w:rsid w:val="004C4D8F"/>
    <w:rsid w:val="004C5828"/>
    <w:rsid w:val="004C5991"/>
    <w:rsid w:val="004C5C2F"/>
    <w:rsid w:val="004C61A3"/>
    <w:rsid w:val="004C664D"/>
    <w:rsid w:val="004C6AF0"/>
    <w:rsid w:val="004C7133"/>
    <w:rsid w:val="004C7148"/>
    <w:rsid w:val="004C71E4"/>
    <w:rsid w:val="004C73B8"/>
    <w:rsid w:val="004C7749"/>
    <w:rsid w:val="004C79EE"/>
    <w:rsid w:val="004C79F2"/>
    <w:rsid w:val="004D02C4"/>
    <w:rsid w:val="004D0DD3"/>
    <w:rsid w:val="004D0FE3"/>
    <w:rsid w:val="004D1080"/>
    <w:rsid w:val="004D1133"/>
    <w:rsid w:val="004D191B"/>
    <w:rsid w:val="004D1D82"/>
    <w:rsid w:val="004D1FC5"/>
    <w:rsid w:val="004D2352"/>
    <w:rsid w:val="004D2683"/>
    <w:rsid w:val="004D27FD"/>
    <w:rsid w:val="004D2A1D"/>
    <w:rsid w:val="004D2A45"/>
    <w:rsid w:val="004D2CA1"/>
    <w:rsid w:val="004D2E35"/>
    <w:rsid w:val="004D311A"/>
    <w:rsid w:val="004D3709"/>
    <w:rsid w:val="004D3A4B"/>
    <w:rsid w:val="004D3AC6"/>
    <w:rsid w:val="004D3B7F"/>
    <w:rsid w:val="004D427C"/>
    <w:rsid w:val="004D5F75"/>
    <w:rsid w:val="004D6609"/>
    <w:rsid w:val="004D699D"/>
    <w:rsid w:val="004D717E"/>
    <w:rsid w:val="004D7227"/>
    <w:rsid w:val="004D7EFB"/>
    <w:rsid w:val="004E0158"/>
    <w:rsid w:val="004E0541"/>
    <w:rsid w:val="004E05A5"/>
    <w:rsid w:val="004E05F4"/>
    <w:rsid w:val="004E097E"/>
    <w:rsid w:val="004E15C2"/>
    <w:rsid w:val="004E18A4"/>
    <w:rsid w:val="004E1B9E"/>
    <w:rsid w:val="004E1D85"/>
    <w:rsid w:val="004E1DC9"/>
    <w:rsid w:val="004E2027"/>
    <w:rsid w:val="004E2910"/>
    <w:rsid w:val="004E2C70"/>
    <w:rsid w:val="004E37CA"/>
    <w:rsid w:val="004E3DF5"/>
    <w:rsid w:val="004E455C"/>
    <w:rsid w:val="004E4F5A"/>
    <w:rsid w:val="004E52A9"/>
    <w:rsid w:val="004E534F"/>
    <w:rsid w:val="004E5937"/>
    <w:rsid w:val="004E5BD1"/>
    <w:rsid w:val="004E6009"/>
    <w:rsid w:val="004E6B27"/>
    <w:rsid w:val="004E73D9"/>
    <w:rsid w:val="004E77AF"/>
    <w:rsid w:val="004E7824"/>
    <w:rsid w:val="004E7AA8"/>
    <w:rsid w:val="004F0038"/>
    <w:rsid w:val="004F01CC"/>
    <w:rsid w:val="004F01DF"/>
    <w:rsid w:val="004F0949"/>
    <w:rsid w:val="004F0C00"/>
    <w:rsid w:val="004F0C31"/>
    <w:rsid w:val="004F0C4D"/>
    <w:rsid w:val="004F0F4C"/>
    <w:rsid w:val="004F1178"/>
    <w:rsid w:val="004F121F"/>
    <w:rsid w:val="004F17D7"/>
    <w:rsid w:val="004F1D45"/>
    <w:rsid w:val="004F1F55"/>
    <w:rsid w:val="004F2526"/>
    <w:rsid w:val="004F3319"/>
    <w:rsid w:val="004F3711"/>
    <w:rsid w:val="004F381D"/>
    <w:rsid w:val="004F45EF"/>
    <w:rsid w:val="004F4702"/>
    <w:rsid w:val="004F4AA5"/>
    <w:rsid w:val="004F4E73"/>
    <w:rsid w:val="004F50E3"/>
    <w:rsid w:val="004F542D"/>
    <w:rsid w:val="004F5589"/>
    <w:rsid w:val="004F5959"/>
    <w:rsid w:val="004F67B8"/>
    <w:rsid w:val="004F6A42"/>
    <w:rsid w:val="004F6F9F"/>
    <w:rsid w:val="004F71D9"/>
    <w:rsid w:val="004F7604"/>
    <w:rsid w:val="0050038A"/>
    <w:rsid w:val="00500F02"/>
    <w:rsid w:val="00501AB5"/>
    <w:rsid w:val="00501D91"/>
    <w:rsid w:val="00501DB6"/>
    <w:rsid w:val="005023F2"/>
    <w:rsid w:val="005029D3"/>
    <w:rsid w:val="0050331A"/>
    <w:rsid w:val="0050335D"/>
    <w:rsid w:val="005034F2"/>
    <w:rsid w:val="00503C03"/>
    <w:rsid w:val="00503E60"/>
    <w:rsid w:val="0050426B"/>
    <w:rsid w:val="00504A13"/>
    <w:rsid w:val="00504DBC"/>
    <w:rsid w:val="00505120"/>
    <w:rsid w:val="00505501"/>
    <w:rsid w:val="00506495"/>
    <w:rsid w:val="00506814"/>
    <w:rsid w:val="00510062"/>
    <w:rsid w:val="005100A5"/>
    <w:rsid w:val="005111EF"/>
    <w:rsid w:val="00511347"/>
    <w:rsid w:val="00511B13"/>
    <w:rsid w:val="00511DD8"/>
    <w:rsid w:val="005122D8"/>
    <w:rsid w:val="00512857"/>
    <w:rsid w:val="00512BC6"/>
    <w:rsid w:val="005138A9"/>
    <w:rsid w:val="005144AC"/>
    <w:rsid w:val="0051594B"/>
    <w:rsid w:val="0051649B"/>
    <w:rsid w:val="005164AC"/>
    <w:rsid w:val="005165F7"/>
    <w:rsid w:val="005172A0"/>
    <w:rsid w:val="00517541"/>
    <w:rsid w:val="00517DA2"/>
    <w:rsid w:val="00517FA9"/>
    <w:rsid w:val="005201EC"/>
    <w:rsid w:val="00520FE4"/>
    <w:rsid w:val="005217AF"/>
    <w:rsid w:val="005217CC"/>
    <w:rsid w:val="00521D0D"/>
    <w:rsid w:val="005224CE"/>
    <w:rsid w:val="00522D7B"/>
    <w:rsid w:val="00522EFB"/>
    <w:rsid w:val="005233E3"/>
    <w:rsid w:val="005233EF"/>
    <w:rsid w:val="005235FF"/>
    <w:rsid w:val="005251DB"/>
    <w:rsid w:val="00525212"/>
    <w:rsid w:val="0052562D"/>
    <w:rsid w:val="005258CF"/>
    <w:rsid w:val="00525F4F"/>
    <w:rsid w:val="00525FC2"/>
    <w:rsid w:val="0052602E"/>
    <w:rsid w:val="00526391"/>
    <w:rsid w:val="0052680A"/>
    <w:rsid w:val="00526D7C"/>
    <w:rsid w:val="00527814"/>
    <w:rsid w:val="0053002A"/>
    <w:rsid w:val="005300F9"/>
    <w:rsid w:val="00530138"/>
    <w:rsid w:val="0053020E"/>
    <w:rsid w:val="00530866"/>
    <w:rsid w:val="005309FC"/>
    <w:rsid w:val="00531017"/>
    <w:rsid w:val="00531D8A"/>
    <w:rsid w:val="00531E12"/>
    <w:rsid w:val="005321DE"/>
    <w:rsid w:val="0053251E"/>
    <w:rsid w:val="005329C4"/>
    <w:rsid w:val="00532A99"/>
    <w:rsid w:val="005330F6"/>
    <w:rsid w:val="00533E1F"/>
    <w:rsid w:val="00534080"/>
    <w:rsid w:val="00534196"/>
    <w:rsid w:val="005342BB"/>
    <w:rsid w:val="005342CA"/>
    <w:rsid w:val="005344E0"/>
    <w:rsid w:val="005353D1"/>
    <w:rsid w:val="0053576F"/>
    <w:rsid w:val="00535CEF"/>
    <w:rsid w:val="0053602E"/>
    <w:rsid w:val="005362A6"/>
    <w:rsid w:val="0053634A"/>
    <w:rsid w:val="005365AD"/>
    <w:rsid w:val="005365DD"/>
    <w:rsid w:val="00536E4D"/>
    <w:rsid w:val="005377B2"/>
    <w:rsid w:val="005408D3"/>
    <w:rsid w:val="00540A78"/>
    <w:rsid w:val="00540D13"/>
    <w:rsid w:val="00540DB9"/>
    <w:rsid w:val="005429F3"/>
    <w:rsid w:val="00542A47"/>
    <w:rsid w:val="00542DB3"/>
    <w:rsid w:val="0054387B"/>
    <w:rsid w:val="00543921"/>
    <w:rsid w:val="00543F67"/>
    <w:rsid w:val="00544066"/>
    <w:rsid w:val="00544BF6"/>
    <w:rsid w:val="00544D3D"/>
    <w:rsid w:val="00545010"/>
    <w:rsid w:val="005458B7"/>
    <w:rsid w:val="00545E1A"/>
    <w:rsid w:val="00545E97"/>
    <w:rsid w:val="00545FD9"/>
    <w:rsid w:val="00547545"/>
    <w:rsid w:val="00547D18"/>
    <w:rsid w:val="00547DEF"/>
    <w:rsid w:val="005508E9"/>
    <w:rsid w:val="005509C3"/>
    <w:rsid w:val="00550AA0"/>
    <w:rsid w:val="0055150A"/>
    <w:rsid w:val="005515BC"/>
    <w:rsid w:val="00552317"/>
    <w:rsid w:val="005526EF"/>
    <w:rsid w:val="0055276D"/>
    <w:rsid w:val="00552D3A"/>
    <w:rsid w:val="0055311A"/>
    <w:rsid w:val="00553546"/>
    <w:rsid w:val="00553A6C"/>
    <w:rsid w:val="00553C70"/>
    <w:rsid w:val="0055505D"/>
    <w:rsid w:val="00555258"/>
    <w:rsid w:val="0055567A"/>
    <w:rsid w:val="005556FD"/>
    <w:rsid w:val="00555E1A"/>
    <w:rsid w:val="00556046"/>
    <w:rsid w:val="00556679"/>
    <w:rsid w:val="00556722"/>
    <w:rsid w:val="00556F9F"/>
    <w:rsid w:val="00557073"/>
    <w:rsid w:val="0055799C"/>
    <w:rsid w:val="00561307"/>
    <w:rsid w:val="00561926"/>
    <w:rsid w:val="00561DEF"/>
    <w:rsid w:val="00562295"/>
    <w:rsid w:val="0056239F"/>
    <w:rsid w:val="00562460"/>
    <w:rsid w:val="0056258F"/>
    <w:rsid w:val="005625EC"/>
    <w:rsid w:val="00563581"/>
    <w:rsid w:val="005641D3"/>
    <w:rsid w:val="00564DA0"/>
    <w:rsid w:val="00565352"/>
    <w:rsid w:val="00565D57"/>
    <w:rsid w:val="005667C1"/>
    <w:rsid w:val="005668FA"/>
    <w:rsid w:val="00566C52"/>
    <w:rsid w:val="005671FD"/>
    <w:rsid w:val="00567623"/>
    <w:rsid w:val="0057056C"/>
    <w:rsid w:val="00570726"/>
    <w:rsid w:val="00570CDA"/>
    <w:rsid w:val="00571F5F"/>
    <w:rsid w:val="00572A00"/>
    <w:rsid w:val="00572B6A"/>
    <w:rsid w:val="00572C02"/>
    <w:rsid w:val="00572C8D"/>
    <w:rsid w:val="00572EAC"/>
    <w:rsid w:val="005754AA"/>
    <w:rsid w:val="00575817"/>
    <w:rsid w:val="00575E0B"/>
    <w:rsid w:val="00576297"/>
    <w:rsid w:val="00576663"/>
    <w:rsid w:val="005766BA"/>
    <w:rsid w:val="005779D2"/>
    <w:rsid w:val="00577ADC"/>
    <w:rsid w:val="00577E40"/>
    <w:rsid w:val="005803E5"/>
    <w:rsid w:val="00580EB1"/>
    <w:rsid w:val="0058152F"/>
    <w:rsid w:val="0058253C"/>
    <w:rsid w:val="00582654"/>
    <w:rsid w:val="00583545"/>
    <w:rsid w:val="00584933"/>
    <w:rsid w:val="00584C12"/>
    <w:rsid w:val="00584D61"/>
    <w:rsid w:val="00584F62"/>
    <w:rsid w:val="00585097"/>
    <w:rsid w:val="005850A3"/>
    <w:rsid w:val="0058527E"/>
    <w:rsid w:val="00585280"/>
    <w:rsid w:val="005853F2"/>
    <w:rsid w:val="00585590"/>
    <w:rsid w:val="0058580D"/>
    <w:rsid w:val="00585A5E"/>
    <w:rsid w:val="0058601E"/>
    <w:rsid w:val="00586306"/>
    <w:rsid w:val="00586BB8"/>
    <w:rsid w:val="00587B83"/>
    <w:rsid w:val="0059046F"/>
    <w:rsid w:val="005910CA"/>
    <w:rsid w:val="00591674"/>
    <w:rsid w:val="0059183D"/>
    <w:rsid w:val="00591D09"/>
    <w:rsid w:val="0059275A"/>
    <w:rsid w:val="0059401A"/>
    <w:rsid w:val="00594B1E"/>
    <w:rsid w:val="005957FD"/>
    <w:rsid w:val="0059666B"/>
    <w:rsid w:val="00596A24"/>
    <w:rsid w:val="00596E7B"/>
    <w:rsid w:val="00597B11"/>
    <w:rsid w:val="00597B67"/>
    <w:rsid w:val="00597D8B"/>
    <w:rsid w:val="00597EE6"/>
    <w:rsid w:val="005A0100"/>
    <w:rsid w:val="005A0133"/>
    <w:rsid w:val="005A12DB"/>
    <w:rsid w:val="005A1EF1"/>
    <w:rsid w:val="005A20CA"/>
    <w:rsid w:val="005A2D2D"/>
    <w:rsid w:val="005A2D49"/>
    <w:rsid w:val="005A336F"/>
    <w:rsid w:val="005A37A6"/>
    <w:rsid w:val="005A3874"/>
    <w:rsid w:val="005A3D0C"/>
    <w:rsid w:val="005A3E7A"/>
    <w:rsid w:val="005A456E"/>
    <w:rsid w:val="005A4B35"/>
    <w:rsid w:val="005A4DD6"/>
    <w:rsid w:val="005A5FBA"/>
    <w:rsid w:val="005A6272"/>
    <w:rsid w:val="005A6397"/>
    <w:rsid w:val="005A6835"/>
    <w:rsid w:val="005A70FB"/>
    <w:rsid w:val="005A7879"/>
    <w:rsid w:val="005A7D8B"/>
    <w:rsid w:val="005A7EA5"/>
    <w:rsid w:val="005B031B"/>
    <w:rsid w:val="005B04CA"/>
    <w:rsid w:val="005B095B"/>
    <w:rsid w:val="005B0A1F"/>
    <w:rsid w:val="005B11F2"/>
    <w:rsid w:val="005B1400"/>
    <w:rsid w:val="005B1602"/>
    <w:rsid w:val="005B18C6"/>
    <w:rsid w:val="005B289A"/>
    <w:rsid w:val="005B2C00"/>
    <w:rsid w:val="005B2E72"/>
    <w:rsid w:val="005B3008"/>
    <w:rsid w:val="005B359A"/>
    <w:rsid w:val="005B3611"/>
    <w:rsid w:val="005B38F9"/>
    <w:rsid w:val="005B3BCD"/>
    <w:rsid w:val="005B4449"/>
    <w:rsid w:val="005B4751"/>
    <w:rsid w:val="005B4CF8"/>
    <w:rsid w:val="005B4F8B"/>
    <w:rsid w:val="005B5130"/>
    <w:rsid w:val="005B5371"/>
    <w:rsid w:val="005B5383"/>
    <w:rsid w:val="005B59FC"/>
    <w:rsid w:val="005B5ECE"/>
    <w:rsid w:val="005B6754"/>
    <w:rsid w:val="005B6769"/>
    <w:rsid w:val="005B745A"/>
    <w:rsid w:val="005B7571"/>
    <w:rsid w:val="005C0090"/>
    <w:rsid w:val="005C00FD"/>
    <w:rsid w:val="005C0262"/>
    <w:rsid w:val="005C0F21"/>
    <w:rsid w:val="005C13BF"/>
    <w:rsid w:val="005C19DC"/>
    <w:rsid w:val="005C36F2"/>
    <w:rsid w:val="005C3761"/>
    <w:rsid w:val="005C3907"/>
    <w:rsid w:val="005C3DEA"/>
    <w:rsid w:val="005C3EC5"/>
    <w:rsid w:val="005C472A"/>
    <w:rsid w:val="005C4B5E"/>
    <w:rsid w:val="005C4C59"/>
    <w:rsid w:val="005C56AB"/>
    <w:rsid w:val="005C6630"/>
    <w:rsid w:val="005C748C"/>
    <w:rsid w:val="005C783C"/>
    <w:rsid w:val="005C790E"/>
    <w:rsid w:val="005C7D5E"/>
    <w:rsid w:val="005D0191"/>
    <w:rsid w:val="005D1321"/>
    <w:rsid w:val="005D158B"/>
    <w:rsid w:val="005D1D8C"/>
    <w:rsid w:val="005D237D"/>
    <w:rsid w:val="005D245A"/>
    <w:rsid w:val="005D2DEE"/>
    <w:rsid w:val="005D2F1C"/>
    <w:rsid w:val="005D3199"/>
    <w:rsid w:val="005D321B"/>
    <w:rsid w:val="005D33EB"/>
    <w:rsid w:val="005D42C3"/>
    <w:rsid w:val="005D46B8"/>
    <w:rsid w:val="005D4933"/>
    <w:rsid w:val="005D4A17"/>
    <w:rsid w:val="005D4B04"/>
    <w:rsid w:val="005D5035"/>
    <w:rsid w:val="005D529E"/>
    <w:rsid w:val="005D55A4"/>
    <w:rsid w:val="005D5A30"/>
    <w:rsid w:val="005D5CA5"/>
    <w:rsid w:val="005D757D"/>
    <w:rsid w:val="005E0012"/>
    <w:rsid w:val="005E03B0"/>
    <w:rsid w:val="005E0BA1"/>
    <w:rsid w:val="005E13ED"/>
    <w:rsid w:val="005E1D57"/>
    <w:rsid w:val="005E1DA3"/>
    <w:rsid w:val="005E217D"/>
    <w:rsid w:val="005E2810"/>
    <w:rsid w:val="005E29E1"/>
    <w:rsid w:val="005E30C6"/>
    <w:rsid w:val="005E3343"/>
    <w:rsid w:val="005E3574"/>
    <w:rsid w:val="005E36A3"/>
    <w:rsid w:val="005E39BE"/>
    <w:rsid w:val="005E3C80"/>
    <w:rsid w:val="005E3ECE"/>
    <w:rsid w:val="005E3F78"/>
    <w:rsid w:val="005E461E"/>
    <w:rsid w:val="005E476D"/>
    <w:rsid w:val="005E576F"/>
    <w:rsid w:val="005E6195"/>
    <w:rsid w:val="005E61F2"/>
    <w:rsid w:val="005E6717"/>
    <w:rsid w:val="005E6765"/>
    <w:rsid w:val="005E72E0"/>
    <w:rsid w:val="005E7561"/>
    <w:rsid w:val="005E7D95"/>
    <w:rsid w:val="005F02C8"/>
    <w:rsid w:val="005F05FE"/>
    <w:rsid w:val="005F0FF4"/>
    <w:rsid w:val="005F2700"/>
    <w:rsid w:val="005F2721"/>
    <w:rsid w:val="005F2776"/>
    <w:rsid w:val="005F293B"/>
    <w:rsid w:val="005F2D35"/>
    <w:rsid w:val="005F2FFE"/>
    <w:rsid w:val="005F309D"/>
    <w:rsid w:val="005F3D24"/>
    <w:rsid w:val="005F4017"/>
    <w:rsid w:val="005F497A"/>
    <w:rsid w:val="005F4F1A"/>
    <w:rsid w:val="005F5359"/>
    <w:rsid w:val="005F5860"/>
    <w:rsid w:val="005F59A6"/>
    <w:rsid w:val="005F5B38"/>
    <w:rsid w:val="005F5CF6"/>
    <w:rsid w:val="005F5E14"/>
    <w:rsid w:val="005F6069"/>
    <w:rsid w:val="005F6477"/>
    <w:rsid w:val="005F6BAE"/>
    <w:rsid w:val="005F6D8D"/>
    <w:rsid w:val="005F74F5"/>
    <w:rsid w:val="00600795"/>
    <w:rsid w:val="006007E0"/>
    <w:rsid w:val="00600841"/>
    <w:rsid w:val="006008EB"/>
    <w:rsid w:val="00600F01"/>
    <w:rsid w:val="00600F10"/>
    <w:rsid w:val="00601254"/>
    <w:rsid w:val="006015CD"/>
    <w:rsid w:val="006016F9"/>
    <w:rsid w:val="00601A6A"/>
    <w:rsid w:val="00602767"/>
    <w:rsid w:val="00602E54"/>
    <w:rsid w:val="00602FBD"/>
    <w:rsid w:val="00603096"/>
    <w:rsid w:val="006038F0"/>
    <w:rsid w:val="0060393A"/>
    <w:rsid w:val="00603A9D"/>
    <w:rsid w:val="006040C9"/>
    <w:rsid w:val="006040CE"/>
    <w:rsid w:val="00604589"/>
    <w:rsid w:val="00604B15"/>
    <w:rsid w:val="00605D64"/>
    <w:rsid w:val="00605EB4"/>
    <w:rsid w:val="006066D9"/>
    <w:rsid w:val="00606A92"/>
    <w:rsid w:val="00606D39"/>
    <w:rsid w:val="006074DE"/>
    <w:rsid w:val="00607647"/>
    <w:rsid w:val="00607D22"/>
    <w:rsid w:val="0061034E"/>
    <w:rsid w:val="00610447"/>
    <w:rsid w:val="006105FD"/>
    <w:rsid w:val="006113DC"/>
    <w:rsid w:val="006114AD"/>
    <w:rsid w:val="00611947"/>
    <w:rsid w:val="0061223D"/>
    <w:rsid w:val="00612579"/>
    <w:rsid w:val="006127E6"/>
    <w:rsid w:val="00612B65"/>
    <w:rsid w:val="00612BDA"/>
    <w:rsid w:val="00613488"/>
    <w:rsid w:val="00613CA1"/>
    <w:rsid w:val="0061402E"/>
    <w:rsid w:val="00614172"/>
    <w:rsid w:val="006142C4"/>
    <w:rsid w:val="0061565F"/>
    <w:rsid w:val="00615D06"/>
    <w:rsid w:val="006165B2"/>
    <w:rsid w:val="00616FA7"/>
    <w:rsid w:val="006179FC"/>
    <w:rsid w:val="00617A28"/>
    <w:rsid w:val="00617C72"/>
    <w:rsid w:val="00617E7F"/>
    <w:rsid w:val="00617EFB"/>
    <w:rsid w:val="00620340"/>
    <w:rsid w:val="00621812"/>
    <w:rsid w:val="0062190C"/>
    <w:rsid w:val="00621C0D"/>
    <w:rsid w:val="006233F8"/>
    <w:rsid w:val="0062390B"/>
    <w:rsid w:val="00625893"/>
    <w:rsid w:val="0062599F"/>
    <w:rsid w:val="006259D8"/>
    <w:rsid w:val="00625F48"/>
    <w:rsid w:val="0062682F"/>
    <w:rsid w:val="006269B2"/>
    <w:rsid w:val="00626D8A"/>
    <w:rsid w:val="00626E6E"/>
    <w:rsid w:val="00626F3A"/>
    <w:rsid w:val="006271B2"/>
    <w:rsid w:val="00627894"/>
    <w:rsid w:val="00630636"/>
    <w:rsid w:val="00630808"/>
    <w:rsid w:val="0063098C"/>
    <w:rsid w:val="00632056"/>
    <w:rsid w:val="006322E5"/>
    <w:rsid w:val="00632515"/>
    <w:rsid w:val="00632923"/>
    <w:rsid w:val="00632AE0"/>
    <w:rsid w:val="00632E56"/>
    <w:rsid w:val="006338FC"/>
    <w:rsid w:val="00633CAF"/>
    <w:rsid w:val="00633EFC"/>
    <w:rsid w:val="00634539"/>
    <w:rsid w:val="006348CC"/>
    <w:rsid w:val="006349FC"/>
    <w:rsid w:val="00634E8A"/>
    <w:rsid w:val="00635E04"/>
    <w:rsid w:val="00636952"/>
    <w:rsid w:val="00636C51"/>
    <w:rsid w:val="00637163"/>
    <w:rsid w:val="00637F26"/>
    <w:rsid w:val="00637F9E"/>
    <w:rsid w:val="00637FE0"/>
    <w:rsid w:val="00640249"/>
    <w:rsid w:val="00640825"/>
    <w:rsid w:val="00640E1C"/>
    <w:rsid w:val="00641E22"/>
    <w:rsid w:val="006420E9"/>
    <w:rsid w:val="00642B0C"/>
    <w:rsid w:val="00643651"/>
    <w:rsid w:val="00643ACF"/>
    <w:rsid w:val="00643C97"/>
    <w:rsid w:val="00643E56"/>
    <w:rsid w:val="00644140"/>
    <w:rsid w:val="00644894"/>
    <w:rsid w:val="00644A01"/>
    <w:rsid w:val="0064558C"/>
    <w:rsid w:val="00645980"/>
    <w:rsid w:val="00645B31"/>
    <w:rsid w:val="00645FDD"/>
    <w:rsid w:val="006460E3"/>
    <w:rsid w:val="0064657B"/>
    <w:rsid w:val="00646C3B"/>
    <w:rsid w:val="0064723B"/>
    <w:rsid w:val="006475EC"/>
    <w:rsid w:val="00647B8E"/>
    <w:rsid w:val="00647E62"/>
    <w:rsid w:val="0065072D"/>
    <w:rsid w:val="006509BF"/>
    <w:rsid w:val="00651074"/>
    <w:rsid w:val="00651F1E"/>
    <w:rsid w:val="006523C5"/>
    <w:rsid w:val="0065248A"/>
    <w:rsid w:val="006525F8"/>
    <w:rsid w:val="0065295A"/>
    <w:rsid w:val="00652BC5"/>
    <w:rsid w:val="00652F33"/>
    <w:rsid w:val="00653131"/>
    <w:rsid w:val="00653C6C"/>
    <w:rsid w:val="0065493F"/>
    <w:rsid w:val="0065584F"/>
    <w:rsid w:val="0065587C"/>
    <w:rsid w:val="00656388"/>
    <w:rsid w:val="00656E9A"/>
    <w:rsid w:val="006572C1"/>
    <w:rsid w:val="00657374"/>
    <w:rsid w:val="00657BA5"/>
    <w:rsid w:val="00657DBA"/>
    <w:rsid w:val="00660644"/>
    <w:rsid w:val="006617DC"/>
    <w:rsid w:val="00661BEC"/>
    <w:rsid w:val="00661E71"/>
    <w:rsid w:val="00661FAC"/>
    <w:rsid w:val="006627F1"/>
    <w:rsid w:val="00662B18"/>
    <w:rsid w:val="00662D80"/>
    <w:rsid w:val="0066393C"/>
    <w:rsid w:val="00663EAC"/>
    <w:rsid w:val="006643C7"/>
    <w:rsid w:val="00664451"/>
    <w:rsid w:val="00664F08"/>
    <w:rsid w:val="006650E7"/>
    <w:rsid w:val="00665DAA"/>
    <w:rsid w:val="00666839"/>
    <w:rsid w:val="0066724F"/>
    <w:rsid w:val="00667C80"/>
    <w:rsid w:val="00670715"/>
    <w:rsid w:val="0067076B"/>
    <w:rsid w:val="0067078F"/>
    <w:rsid w:val="006707EC"/>
    <w:rsid w:val="006722D4"/>
    <w:rsid w:val="0067303E"/>
    <w:rsid w:val="00673699"/>
    <w:rsid w:val="00674136"/>
    <w:rsid w:val="0067489C"/>
    <w:rsid w:val="00674B82"/>
    <w:rsid w:val="00674CC1"/>
    <w:rsid w:val="00675596"/>
    <w:rsid w:val="00675939"/>
    <w:rsid w:val="0067642B"/>
    <w:rsid w:val="006769F2"/>
    <w:rsid w:val="00676A12"/>
    <w:rsid w:val="00676DAB"/>
    <w:rsid w:val="00677156"/>
    <w:rsid w:val="006771EA"/>
    <w:rsid w:val="006776D1"/>
    <w:rsid w:val="00677804"/>
    <w:rsid w:val="006803C8"/>
    <w:rsid w:val="00680F06"/>
    <w:rsid w:val="00681ACB"/>
    <w:rsid w:val="00681F91"/>
    <w:rsid w:val="00682687"/>
    <w:rsid w:val="00682939"/>
    <w:rsid w:val="00682F34"/>
    <w:rsid w:val="00683161"/>
    <w:rsid w:val="006832EB"/>
    <w:rsid w:val="0068396E"/>
    <w:rsid w:val="00683F45"/>
    <w:rsid w:val="00684163"/>
    <w:rsid w:val="006851C0"/>
    <w:rsid w:val="0068527D"/>
    <w:rsid w:val="006858D5"/>
    <w:rsid w:val="006862E6"/>
    <w:rsid w:val="00686B85"/>
    <w:rsid w:val="00687086"/>
    <w:rsid w:val="006873F8"/>
    <w:rsid w:val="0068761F"/>
    <w:rsid w:val="00687820"/>
    <w:rsid w:val="00687CA0"/>
    <w:rsid w:val="00690572"/>
    <w:rsid w:val="00690722"/>
    <w:rsid w:val="00690E2A"/>
    <w:rsid w:val="006910A5"/>
    <w:rsid w:val="00691D28"/>
    <w:rsid w:val="00691E9D"/>
    <w:rsid w:val="00691F05"/>
    <w:rsid w:val="00692782"/>
    <w:rsid w:val="00692905"/>
    <w:rsid w:val="00692AD9"/>
    <w:rsid w:val="00692EA9"/>
    <w:rsid w:val="0069364F"/>
    <w:rsid w:val="00693875"/>
    <w:rsid w:val="006939AF"/>
    <w:rsid w:val="00694323"/>
    <w:rsid w:val="0069487E"/>
    <w:rsid w:val="00694899"/>
    <w:rsid w:val="006952AA"/>
    <w:rsid w:val="00695B74"/>
    <w:rsid w:val="00696076"/>
    <w:rsid w:val="00696B30"/>
    <w:rsid w:val="00697023"/>
    <w:rsid w:val="006972C0"/>
    <w:rsid w:val="006975A8"/>
    <w:rsid w:val="00697A34"/>
    <w:rsid w:val="006A03B4"/>
    <w:rsid w:val="006A06B8"/>
    <w:rsid w:val="006A0A05"/>
    <w:rsid w:val="006A0D6D"/>
    <w:rsid w:val="006A10CC"/>
    <w:rsid w:val="006A13CE"/>
    <w:rsid w:val="006A2B06"/>
    <w:rsid w:val="006A2C02"/>
    <w:rsid w:val="006A3544"/>
    <w:rsid w:val="006A404C"/>
    <w:rsid w:val="006A40CF"/>
    <w:rsid w:val="006A4A47"/>
    <w:rsid w:val="006A4AE9"/>
    <w:rsid w:val="006A540C"/>
    <w:rsid w:val="006A5B50"/>
    <w:rsid w:val="006A62C6"/>
    <w:rsid w:val="006A6408"/>
    <w:rsid w:val="006A66C6"/>
    <w:rsid w:val="006A670A"/>
    <w:rsid w:val="006A673C"/>
    <w:rsid w:val="006A7595"/>
    <w:rsid w:val="006A7957"/>
    <w:rsid w:val="006B0566"/>
    <w:rsid w:val="006B05FD"/>
    <w:rsid w:val="006B1511"/>
    <w:rsid w:val="006B1549"/>
    <w:rsid w:val="006B15A4"/>
    <w:rsid w:val="006B1761"/>
    <w:rsid w:val="006B2371"/>
    <w:rsid w:val="006B2C9D"/>
    <w:rsid w:val="006B3F41"/>
    <w:rsid w:val="006B4127"/>
    <w:rsid w:val="006B4451"/>
    <w:rsid w:val="006B45C0"/>
    <w:rsid w:val="006B4A80"/>
    <w:rsid w:val="006B501E"/>
    <w:rsid w:val="006B6A19"/>
    <w:rsid w:val="006B6D7B"/>
    <w:rsid w:val="006B76C0"/>
    <w:rsid w:val="006B79DC"/>
    <w:rsid w:val="006B7B3B"/>
    <w:rsid w:val="006B7FC4"/>
    <w:rsid w:val="006C0038"/>
    <w:rsid w:val="006C14D3"/>
    <w:rsid w:val="006C25E0"/>
    <w:rsid w:val="006C29F7"/>
    <w:rsid w:val="006C35BD"/>
    <w:rsid w:val="006C41B4"/>
    <w:rsid w:val="006C41D7"/>
    <w:rsid w:val="006C43C0"/>
    <w:rsid w:val="006C479C"/>
    <w:rsid w:val="006C517F"/>
    <w:rsid w:val="006C52D5"/>
    <w:rsid w:val="006C5630"/>
    <w:rsid w:val="006C5FE5"/>
    <w:rsid w:val="006C69F6"/>
    <w:rsid w:val="006C6A71"/>
    <w:rsid w:val="006C6E6E"/>
    <w:rsid w:val="006C6F3B"/>
    <w:rsid w:val="006C7311"/>
    <w:rsid w:val="006C7503"/>
    <w:rsid w:val="006C78D5"/>
    <w:rsid w:val="006C7D3D"/>
    <w:rsid w:val="006C7F4C"/>
    <w:rsid w:val="006D02AC"/>
    <w:rsid w:val="006D0574"/>
    <w:rsid w:val="006D19A6"/>
    <w:rsid w:val="006D2432"/>
    <w:rsid w:val="006D29CF"/>
    <w:rsid w:val="006D2CDD"/>
    <w:rsid w:val="006D3039"/>
    <w:rsid w:val="006D334B"/>
    <w:rsid w:val="006D33F8"/>
    <w:rsid w:val="006D397D"/>
    <w:rsid w:val="006D3C5B"/>
    <w:rsid w:val="006D4017"/>
    <w:rsid w:val="006D4562"/>
    <w:rsid w:val="006D4975"/>
    <w:rsid w:val="006D5030"/>
    <w:rsid w:val="006D5523"/>
    <w:rsid w:val="006D55F5"/>
    <w:rsid w:val="006D5EA8"/>
    <w:rsid w:val="006D6076"/>
    <w:rsid w:val="006D61FD"/>
    <w:rsid w:val="006D63D9"/>
    <w:rsid w:val="006D64E7"/>
    <w:rsid w:val="006D6F65"/>
    <w:rsid w:val="006D77DF"/>
    <w:rsid w:val="006D7BD0"/>
    <w:rsid w:val="006D7F39"/>
    <w:rsid w:val="006E0442"/>
    <w:rsid w:val="006E0655"/>
    <w:rsid w:val="006E08C5"/>
    <w:rsid w:val="006E0A72"/>
    <w:rsid w:val="006E0B47"/>
    <w:rsid w:val="006E0D09"/>
    <w:rsid w:val="006E0F9E"/>
    <w:rsid w:val="006E11AC"/>
    <w:rsid w:val="006E1613"/>
    <w:rsid w:val="006E168C"/>
    <w:rsid w:val="006E1AC6"/>
    <w:rsid w:val="006E258E"/>
    <w:rsid w:val="006E2D31"/>
    <w:rsid w:val="006E32A0"/>
    <w:rsid w:val="006E3869"/>
    <w:rsid w:val="006E388E"/>
    <w:rsid w:val="006E3F27"/>
    <w:rsid w:val="006E4265"/>
    <w:rsid w:val="006E461B"/>
    <w:rsid w:val="006E4765"/>
    <w:rsid w:val="006E49F5"/>
    <w:rsid w:val="006E4AEA"/>
    <w:rsid w:val="006E50C4"/>
    <w:rsid w:val="006E5B33"/>
    <w:rsid w:val="006E5C9C"/>
    <w:rsid w:val="006E5D0E"/>
    <w:rsid w:val="006E71B9"/>
    <w:rsid w:val="006E78E0"/>
    <w:rsid w:val="006E7B86"/>
    <w:rsid w:val="006E7BA6"/>
    <w:rsid w:val="006E7DAC"/>
    <w:rsid w:val="006E7E9B"/>
    <w:rsid w:val="006E7F01"/>
    <w:rsid w:val="006F123C"/>
    <w:rsid w:val="006F174A"/>
    <w:rsid w:val="006F1A93"/>
    <w:rsid w:val="006F2EC0"/>
    <w:rsid w:val="006F40B3"/>
    <w:rsid w:val="006F40BD"/>
    <w:rsid w:val="006F4419"/>
    <w:rsid w:val="006F486A"/>
    <w:rsid w:val="006F48F7"/>
    <w:rsid w:val="006F5D6C"/>
    <w:rsid w:val="006F5F10"/>
    <w:rsid w:val="006F6606"/>
    <w:rsid w:val="006F69A8"/>
    <w:rsid w:val="006F69D6"/>
    <w:rsid w:val="006F6A6D"/>
    <w:rsid w:val="006F6E00"/>
    <w:rsid w:val="006F7201"/>
    <w:rsid w:val="006F7214"/>
    <w:rsid w:val="006F7831"/>
    <w:rsid w:val="00700236"/>
    <w:rsid w:val="007005CD"/>
    <w:rsid w:val="00700992"/>
    <w:rsid w:val="00700E03"/>
    <w:rsid w:val="00700F4D"/>
    <w:rsid w:val="00701763"/>
    <w:rsid w:val="007018DF"/>
    <w:rsid w:val="00701A3A"/>
    <w:rsid w:val="00701EC8"/>
    <w:rsid w:val="007021DA"/>
    <w:rsid w:val="007023FC"/>
    <w:rsid w:val="007024C9"/>
    <w:rsid w:val="00702C5B"/>
    <w:rsid w:val="00702E95"/>
    <w:rsid w:val="00704361"/>
    <w:rsid w:val="007046E6"/>
    <w:rsid w:val="00704C92"/>
    <w:rsid w:val="00704FE8"/>
    <w:rsid w:val="007051F7"/>
    <w:rsid w:val="00705FA8"/>
    <w:rsid w:val="00705FEB"/>
    <w:rsid w:val="0070608E"/>
    <w:rsid w:val="007062DF"/>
    <w:rsid w:val="0070651A"/>
    <w:rsid w:val="0070747C"/>
    <w:rsid w:val="00707829"/>
    <w:rsid w:val="00707BD7"/>
    <w:rsid w:val="00710441"/>
    <w:rsid w:val="00710ADF"/>
    <w:rsid w:val="00710C21"/>
    <w:rsid w:val="00710FB6"/>
    <w:rsid w:val="00711389"/>
    <w:rsid w:val="0071152F"/>
    <w:rsid w:val="00711849"/>
    <w:rsid w:val="00711A17"/>
    <w:rsid w:val="00711DD9"/>
    <w:rsid w:val="00712A39"/>
    <w:rsid w:val="00712BE4"/>
    <w:rsid w:val="00712ECC"/>
    <w:rsid w:val="00713ADD"/>
    <w:rsid w:val="00713F48"/>
    <w:rsid w:val="007141A8"/>
    <w:rsid w:val="0071439A"/>
    <w:rsid w:val="00714EAE"/>
    <w:rsid w:val="00714ED5"/>
    <w:rsid w:val="007155BB"/>
    <w:rsid w:val="007155FD"/>
    <w:rsid w:val="007156EC"/>
    <w:rsid w:val="0071577E"/>
    <w:rsid w:val="00715A8F"/>
    <w:rsid w:val="00715DBD"/>
    <w:rsid w:val="00715EC3"/>
    <w:rsid w:val="007161F6"/>
    <w:rsid w:val="0071710F"/>
    <w:rsid w:val="0071766C"/>
    <w:rsid w:val="0072003C"/>
    <w:rsid w:val="00720ECB"/>
    <w:rsid w:val="00720FD1"/>
    <w:rsid w:val="0072118A"/>
    <w:rsid w:val="00721D4D"/>
    <w:rsid w:val="00721E74"/>
    <w:rsid w:val="00724395"/>
    <w:rsid w:val="007247B7"/>
    <w:rsid w:val="0072499A"/>
    <w:rsid w:val="007253D2"/>
    <w:rsid w:val="00725510"/>
    <w:rsid w:val="00725E19"/>
    <w:rsid w:val="0072623F"/>
    <w:rsid w:val="0072643A"/>
    <w:rsid w:val="00726612"/>
    <w:rsid w:val="00726980"/>
    <w:rsid w:val="00726E37"/>
    <w:rsid w:val="00726F0D"/>
    <w:rsid w:val="007273BE"/>
    <w:rsid w:val="00727B98"/>
    <w:rsid w:val="007300F2"/>
    <w:rsid w:val="0073043E"/>
    <w:rsid w:val="00730449"/>
    <w:rsid w:val="00730E0A"/>
    <w:rsid w:val="007310D0"/>
    <w:rsid w:val="0073116A"/>
    <w:rsid w:val="0073145B"/>
    <w:rsid w:val="00731BAC"/>
    <w:rsid w:val="00732114"/>
    <w:rsid w:val="007328D6"/>
    <w:rsid w:val="00732C62"/>
    <w:rsid w:val="00734188"/>
    <w:rsid w:val="0073478E"/>
    <w:rsid w:val="00735828"/>
    <w:rsid w:val="00736257"/>
    <w:rsid w:val="00736361"/>
    <w:rsid w:val="007364A0"/>
    <w:rsid w:val="00736AE6"/>
    <w:rsid w:val="00736E46"/>
    <w:rsid w:val="00736E57"/>
    <w:rsid w:val="00737073"/>
    <w:rsid w:val="007376EC"/>
    <w:rsid w:val="00737C72"/>
    <w:rsid w:val="00737E9F"/>
    <w:rsid w:val="00740A7A"/>
    <w:rsid w:val="007414EB"/>
    <w:rsid w:val="00741949"/>
    <w:rsid w:val="00741CF2"/>
    <w:rsid w:val="00741F12"/>
    <w:rsid w:val="007420CA"/>
    <w:rsid w:val="00742C7D"/>
    <w:rsid w:val="007439D2"/>
    <w:rsid w:val="00743CFC"/>
    <w:rsid w:val="00744215"/>
    <w:rsid w:val="007447FC"/>
    <w:rsid w:val="00744E55"/>
    <w:rsid w:val="00744E7A"/>
    <w:rsid w:val="0074590E"/>
    <w:rsid w:val="00745F02"/>
    <w:rsid w:val="00746092"/>
    <w:rsid w:val="0074703E"/>
    <w:rsid w:val="00747134"/>
    <w:rsid w:val="00747400"/>
    <w:rsid w:val="007474BA"/>
    <w:rsid w:val="00747740"/>
    <w:rsid w:val="00747C5E"/>
    <w:rsid w:val="00747CE1"/>
    <w:rsid w:val="00747D47"/>
    <w:rsid w:val="0075001E"/>
    <w:rsid w:val="007501CB"/>
    <w:rsid w:val="00750501"/>
    <w:rsid w:val="007505E5"/>
    <w:rsid w:val="00750EBC"/>
    <w:rsid w:val="0075156D"/>
    <w:rsid w:val="007522F6"/>
    <w:rsid w:val="00752301"/>
    <w:rsid w:val="00752814"/>
    <w:rsid w:val="007536D4"/>
    <w:rsid w:val="0075401F"/>
    <w:rsid w:val="00754090"/>
    <w:rsid w:val="00754102"/>
    <w:rsid w:val="007543A3"/>
    <w:rsid w:val="0075491A"/>
    <w:rsid w:val="00754AEB"/>
    <w:rsid w:val="007565D9"/>
    <w:rsid w:val="00756915"/>
    <w:rsid w:val="00756D60"/>
    <w:rsid w:val="0075777A"/>
    <w:rsid w:val="00757E66"/>
    <w:rsid w:val="00760141"/>
    <w:rsid w:val="007601E3"/>
    <w:rsid w:val="00760526"/>
    <w:rsid w:val="007607F6"/>
    <w:rsid w:val="00760F8C"/>
    <w:rsid w:val="00761D92"/>
    <w:rsid w:val="00762660"/>
    <w:rsid w:val="0076269D"/>
    <w:rsid w:val="007636EA"/>
    <w:rsid w:val="00763AFB"/>
    <w:rsid w:val="00763D02"/>
    <w:rsid w:val="007640A4"/>
    <w:rsid w:val="00764516"/>
    <w:rsid w:val="00764E55"/>
    <w:rsid w:val="00765777"/>
    <w:rsid w:val="00765C6C"/>
    <w:rsid w:val="0076672A"/>
    <w:rsid w:val="007668F8"/>
    <w:rsid w:val="007669AD"/>
    <w:rsid w:val="00766DD6"/>
    <w:rsid w:val="0076760D"/>
    <w:rsid w:val="00767C31"/>
    <w:rsid w:val="00767ECC"/>
    <w:rsid w:val="0077016C"/>
    <w:rsid w:val="00770D22"/>
    <w:rsid w:val="00771258"/>
    <w:rsid w:val="0077149A"/>
    <w:rsid w:val="0077151F"/>
    <w:rsid w:val="007729F9"/>
    <w:rsid w:val="00772C78"/>
    <w:rsid w:val="00772DB9"/>
    <w:rsid w:val="0077361A"/>
    <w:rsid w:val="00773F22"/>
    <w:rsid w:val="007743EE"/>
    <w:rsid w:val="0077458C"/>
    <w:rsid w:val="007749D6"/>
    <w:rsid w:val="00774E8D"/>
    <w:rsid w:val="0077592B"/>
    <w:rsid w:val="00775DA1"/>
    <w:rsid w:val="0077666B"/>
    <w:rsid w:val="00776CF5"/>
    <w:rsid w:val="00776E19"/>
    <w:rsid w:val="00776E81"/>
    <w:rsid w:val="00780DD4"/>
    <w:rsid w:val="00780F16"/>
    <w:rsid w:val="00781114"/>
    <w:rsid w:val="00781156"/>
    <w:rsid w:val="0078247B"/>
    <w:rsid w:val="0078269C"/>
    <w:rsid w:val="007826D7"/>
    <w:rsid w:val="007827E8"/>
    <w:rsid w:val="00782EB0"/>
    <w:rsid w:val="00783405"/>
    <w:rsid w:val="007838CC"/>
    <w:rsid w:val="0078415B"/>
    <w:rsid w:val="007844F1"/>
    <w:rsid w:val="00784C84"/>
    <w:rsid w:val="00785492"/>
    <w:rsid w:val="007854BD"/>
    <w:rsid w:val="0078553D"/>
    <w:rsid w:val="0078572C"/>
    <w:rsid w:val="007857D1"/>
    <w:rsid w:val="00785866"/>
    <w:rsid w:val="00787428"/>
    <w:rsid w:val="007876C3"/>
    <w:rsid w:val="0079000E"/>
    <w:rsid w:val="00790289"/>
    <w:rsid w:val="007907C1"/>
    <w:rsid w:val="00790CF5"/>
    <w:rsid w:val="0079109C"/>
    <w:rsid w:val="00791B1C"/>
    <w:rsid w:val="00791CE1"/>
    <w:rsid w:val="00791FF3"/>
    <w:rsid w:val="00792682"/>
    <w:rsid w:val="00792DED"/>
    <w:rsid w:val="00793342"/>
    <w:rsid w:val="007933B9"/>
    <w:rsid w:val="007933BF"/>
    <w:rsid w:val="00793868"/>
    <w:rsid w:val="007938EB"/>
    <w:rsid w:val="00793993"/>
    <w:rsid w:val="00793C64"/>
    <w:rsid w:val="00793CA0"/>
    <w:rsid w:val="00793D21"/>
    <w:rsid w:val="00794282"/>
    <w:rsid w:val="007947CC"/>
    <w:rsid w:val="00794968"/>
    <w:rsid w:val="00794FAA"/>
    <w:rsid w:val="00795AB8"/>
    <w:rsid w:val="0079633D"/>
    <w:rsid w:val="0079659C"/>
    <w:rsid w:val="00796D37"/>
    <w:rsid w:val="00796FB2"/>
    <w:rsid w:val="00797442"/>
    <w:rsid w:val="007977CD"/>
    <w:rsid w:val="00797CD5"/>
    <w:rsid w:val="00797FA4"/>
    <w:rsid w:val="007A0088"/>
    <w:rsid w:val="007A019B"/>
    <w:rsid w:val="007A0202"/>
    <w:rsid w:val="007A035E"/>
    <w:rsid w:val="007A1533"/>
    <w:rsid w:val="007A1DA6"/>
    <w:rsid w:val="007A1E73"/>
    <w:rsid w:val="007A2EDD"/>
    <w:rsid w:val="007A2F50"/>
    <w:rsid w:val="007A3041"/>
    <w:rsid w:val="007A3895"/>
    <w:rsid w:val="007A3B78"/>
    <w:rsid w:val="007A454E"/>
    <w:rsid w:val="007A45C4"/>
    <w:rsid w:val="007A4E52"/>
    <w:rsid w:val="007A518D"/>
    <w:rsid w:val="007A5598"/>
    <w:rsid w:val="007A648C"/>
    <w:rsid w:val="007A6CFA"/>
    <w:rsid w:val="007A7155"/>
    <w:rsid w:val="007A74FE"/>
    <w:rsid w:val="007B0995"/>
    <w:rsid w:val="007B0CCE"/>
    <w:rsid w:val="007B1584"/>
    <w:rsid w:val="007B16C1"/>
    <w:rsid w:val="007B1953"/>
    <w:rsid w:val="007B1DA4"/>
    <w:rsid w:val="007B1F29"/>
    <w:rsid w:val="007B20F8"/>
    <w:rsid w:val="007B26AF"/>
    <w:rsid w:val="007B2BAF"/>
    <w:rsid w:val="007B3FBC"/>
    <w:rsid w:val="007B4F9F"/>
    <w:rsid w:val="007B4FAD"/>
    <w:rsid w:val="007B5056"/>
    <w:rsid w:val="007B59E1"/>
    <w:rsid w:val="007B6546"/>
    <w:rsid w:val="007B6D4B"/>
    <w:rsid w:val="007B6DA4"/>
    <w:rsid w:val="007B7689"/>
    <w:rsid w:val="007B7843"/>
    <w:rsid w:val="007B79E0"/>
    <w:rsid w:val="007B7EBA"/>
    <w:rsid w:val="007C00E2"/>
    <w:rsid w:val="007C10C4"/>
    <w:rsid w:val="007C1133"/>
    <w:rsid w:val="007C1F6F"/>
    <w:rsid w:val="007C25D7"/>
    <w:rsid w:val="007C27ED"/>
    <w:rsid w:val="007C2F95"/>
    <w:rsid w:val="007C308C"/>
    <w:rsid w:val="007C3362"/>
    <w:rsid w:val="007C3C0D"/>
    <w:rsid w:val="007C3D8C"/>
    <w:rsid w:val="007C47C5"/>
    <w:rsid w:val="007C4EBB"/>
    <w:rsid w:val="007C584C"/>
    <w:rsid w:val="007C5861"/>
    <w:rsid w:val="007C5976"/>
    <w:rsid w:val="007C5ECD"/>
    <w:rsid w:val="007C6896"/>
    <w:rsid w:val="007C6CA3"/>
    <w:rsid w:val="007C6CE4"/>
    <w:rsid w:val="007C6E1F"/>
    <w:rsid w:val="007C6EEA"/>
    <w:rsid w:val="007C731B"/>
    <w:rsid w:val="007C755F"/>
    <w:rsid w:val="007C764D"/>
    <w:rsid w:val="007C793B"/>
    <w:rsid w:val="007C7FAA"/>
    <w:rsid w:val="007D010B"/>
    <w:rsid w:val="007D04EB"/>
    <w:rsid w:val="007D083E"/>
    <w:rsid w:val="007D0DD3"/>
    <w:rsid w:val="007D1485"/>
    <w:rsid w:val="007D1841"/>
    <w:rsid w:val="007D1CF0"/>
    <w:rsid w:val="007D21E9"/>
    <w:rsid w:val="007D225C"/>
    <w:rsid w:val="007D25A3"/>
    <w:rsid w:val="007D291C"/>
    <w:rsid w:val="007D4A7C"/>
    <w:rsid w:val="007D658A"/>
    <w:rsid w:val="007D6678"/>
    <w:rsid w:val="007D6966"/>
    <w:rsid w:val="007D69A2"/>
    <w:rsid w:val="007D73BA"/>
    <w:rsid w:val="007D76DD"/>
    <w:rsid w:val="007D7F6D"/>
    <w:rsid w:val="007E06FF"/>
    <w:rsid w:val="007E09C2"/>
    <w:rsid w:val="007E0E62"/>
    <w:rsid w:val="007E16A9"/>
    <w:rsid w:val="007E1A32"/>
    <w:rsid w:val="007E1BD5"/>
    <w:rsid w:val="007E26F1"/>
    <w:rsid w:val="007E2AB4"/>
    <w:rsid w:val="007E2FAB"/>
    <w:rsid w:val="007E31E8"/>
    <w:rsid w:val="007E3881"/>
    <w:rsid w:val="007E3AA2"/>
    <w:rsid w:val="007E4E5B"/>
    <w:rsid w:val="007E50F6"/>
    <w:rsid w:val="007E5508"/>
    <w:rsid w:val="007E5AAE"/>
    <w:rsid w:val="007E68B7"/>
    <w:rsid w:val="007E6E69"/>
    <w:rsid w:val="007E7108"/>
    <w:rsid w:val="007F0237"/>
    <w:rsid w:val="007F19DD"/>
    <w:rsid w:val="007F23F7"/>
    <w:rsid w:val="007F268D"/>
    <w:rsid w:val="007F30B1"/>
    <w:rsid w:val="007F3129"/>
    <w:rsid w:val="007F3C1C"/>
    <w:rsid w:val="007F448D"/>
    <w:rsid w:val="007F4C4F"/>
    <w:rsid w:val="007F4EC7"/>
    <w:rsid w:val="007F5499"/>
    <w:rsid w:val="007F5869"/>
    <w:rsid w:val="007F5CBB"/>
    <w:rsid w:val="007F6555"/>
    <w:rsid w:val="007F675D"/>
    <w:rsid w:val="007F6A4F"/>
    <w:rsid w:val="007F6E19"/>
    <w:rsid w:val="007F6F22"/>
    <w:rsid w:val="00800B93"/>
    <w:rsid w:val="00801039"/>
    <w:rsid w:val="0080118C"/>
    <w:rsid w:val="008013D1"/>
    <w:rsid w:val="0080155A"/>
    <w:rsid w:val="00801B9D"/>
    <w:rsid w:val="00802261"/>
    <w:rsid w:val="00802500"/>
    <w:rsid w:val="008027DA"/>
    <w:rsid w:val="008033B9"/>
    <w:rsid w:val="00803CF7"/>
    <w:rsid w:val="008042C6"/>
    <w:rsid w:val="008043E6"/>
    <w:rsid w:val="00804483"/>
    <w:rsid w:val="00804625"/>
    <w:rsid w:val="00804833"/>
    <w:rsid w:val="00804B3A"/>
    <w:rsid w:val="00805D99"/>
    <w:rsid w:val="008061CC"/>
    <w:rsid w:val="00806B53"/>
    <w:rsid w:val="00806C2F"/>
    <w:rsid w:val="00806CBE"/>
    <w:rsid w:val="00807126"/>
    <w:rsid w:val="0080718B"/>
    <w:rsid w:val="00807450"/>
    <w:rsid w:val="008075D6"/>
    <w:rsid w:val="008076B1"/>
    <w:rsid w:val="008079BB"/>
    <w:rsid w:val="00807D5A"/>
    <w:rsid w:val="00807EEC"/>
    <w:rsid w:val="00807F18"/>
    <w:rsid w:val="00807FD0"/>
    <w:rsid w:val="00810FD9"/>
    <w:rsid w:val="0081150E"/>
    <w:rsid w:val="00811C5E"/>
    <w:rsid w:val="00811F9F"/>
    <w:rsid w:val="00811FCB"/>
    <w:rsid w:val="0081201D"/>
    <w:rsid w:val="0081220B"/>
    <w:rsid w:val="0081240C"/>
    <w:rsid w:val="008128D7"/>
    <w:rsid w:val="00813743"/>
    <w:rsid w:val="008138C3"/>
    <w:rsid w:val="00813C42"/>
    <w:rsid w:val="008142BF"/>
    <w:rsid w:val="00815C92"/>
    <w:rsid w:val="0081631E"/>
    <w:rsid w:val="00816379"/>
    <w:rsid w:val="00816383"/>
    <w:rsid w:val="008167DE"/>
    <w:rsid w:val="00816D43"/>
    <w:rsid w:val="00816EC1"/>
    <w:rsid w:val="0081712B"/>
    <w:rsid w:val="008176D6"/>
    <w:rsid w:val="00817C78"/>
    <w:rsid w:val="00817CD5"/>
    <w:rsid w:val="00820595"/>
    <w:rsid w:val="00820A9E"/>
    <w:rsid w:val="00820BE8"/>
    <w:rsid w:val="00820F6E"/>
    <w:rsid w:val="008215B3"/>
    <w:rsid w:val="00821D28"/>
    <w:rsid w:val="00822480"/>
    <w:rsid w:val="008225F4"/>
    <w:rsid w:val="00823799"/>
    <w:rsid w:val="00823BD3"/>
    <w:rsid w:val="00824BCF"/>
    <w:rsid w:val="00824DC2"/>
    <w:rsid w:val="00825048"/>
    <w:rsid w:val="008257FE"/>
    <w:rsid w:val="00825C6B"/>
    <w:rsid w:val="00825CFB"/>
    <w:rsid w:val="00825FF4"/>
    <w:rsid w:val="00826261"/>
    <w:rsid w:val="00826656"/>
    <w:rsid w:val="00826715"/>
    <w:rsid w:val="00826EA1"/>
    <w:rsid w:val="00827012"/>
    <w:rsid w:val="00827401"/>
    <w:rsid w:val="008277FE"/>
    <w:rsid w:val="00827F26"/>
    <w:rsid w:val="00830082"/>
    <w:rsid w:val="00830243"/>
    <w:rsid w:val="00830387"/>
    <w:rsid w:val="00831ACE"/>
    <w:rsid w:val="008329E2"/>
    <w:rsid w:val="00832D6E"/>
    <w:rsid w:val="00833014"/>
    <w:rsid w:val="00833188"/>
    <w:rsid w:val="00833241"/>
    <w:rsid w:val="008335A5"/>
    <w:rsid w:val="008338B7"/>
    <w:rsid w:val="00833A98"/>
    <w:rsid w:val="00833D8F"/>
    <w:rsid w:val="00833E00"/>
    <w:rsid w:val="00834129"/>
    <w:rsid w:val="008346C9"/>
    <w:rsid w:val="00834705"/>
    <w:rsid w:val="00834AB1"/>
    <w:rsid w:val="00834EAF"/>
    <w:rsid w:val="008352AF"/>
    <w:rsid w:val="00835756"/>
    <w:rsid w:val="00835EEF"/>
    <w:rsid w:val="0083656A"/>
    <w:rsid w:val="00836CCA"/>
    <w:rsid w:val="00836EAD"/>
    <w:rsid w:val="00837615"/>
    <w:rsid w:val="00837A3D"/>
    <w:rsid w:val="008410E4"/>
    <w:rsid w:val="00841415"/>
    <w:rsid w:val="0084180D"/>
    <w:rsid w:val="00841C5C"/>
    <w:rsid w:val="00842184"/>
    <w:rsid w:val="00842C27"/>
    <w:rsid w:val="00843683"/>
    <w:rsid w:val="00843FF0"/>
    <w:rsid w:val="00844424"/>
    <w:rsid w:val="00845034"/>
    <w:rsid w:val="0084696B"/>
    <w:rsid w:val="00846BE5"/>
    <w:rsid w:val="00846E42"/>
    <w:rsid w:val="00847BDE"/>
    <w:rsid w:val="00850678"/>
    <w:rsid w:val="00850ED7"/>
    <w:rsid w:val="00851244"/>
    <w:rsid w:val="00851B61"/>
    <w:rsid w:val="00851C53"/>
    <w:rsid w:val="0085210E"/>
    <w:rsid w:val="0085263D"/>
    <w:rsid w:val="00852E58"/>
    <w:rsid w:val="008542FA"/>
    <w:rsid w:val="00855049"/>
    <w:rsid w:val="008551E2"/>
    <w:rsid w:val="008557DD"/>
    <w:rsid w:val="00855ADC"/>
    <w:rsid w:val="00855DFD"/>
    <w:rsid w:val="00857466"/>
    <w:rsid w:val="00857EC0"/>
    <w:rsid w:val="008608A5"/>
    <w:rsid w:val="00861105"/>
    <w:rsid w:val="008614D4"/>
    <w:rsid w:val="00861788"/>
    <w:rsid w:val="00861B30"/>
    <w:rsid w:val="00861B5D"/>
    <w:rsid w:val="00861D13"/>
    <w:rsid w:val="00861EA5"/>
    <w:rsid w:val="0086216F"/>
    <w:rsid w:val="0086295E"/>
    <w:rsid w:val="00862A1F"/>
    <w:rsid w:val="0086316A"/>
    <w:rsid w:val="00863438"/>
    <w:rsid w:val="00863D15"/>
    <w:rsid w:val="00863D9A"/>
    <w:rsid w:val="0086523B"/>
    <w:rsid w:val="00866B04"/>
    <w:rsid w:val="00867190"/>
    <w:rsid w:val="00867C33"/>
    <w:rsid w:val="00870582"/>
    <w:rsid w:val="00870A60"/>
    <w:rsid w:val="00870EA6"/>
    <w:rsid w:val="0087114B"/>
    <w:rsid w:val="0087119D"/>
    <w:rsid w:val="008716ED"/>
    <w:rsid w:val="008717C7"/>
    <w:rsid w:val="00871F94"/>
    <w:rsid w:val="008723A9"/>
    <w:rsid w:val="00872C39"/>
    <w:rsid w:val="00872DDF"/>
    <w:rsid w:val="00873049"/>
    <w:rsid w:val="00873315"/>
    <w:rsid w:val="00873352"/>
    <w:rsid w:val="00873499"/>
    <w:rsid w:val="008742A9"/>
    <w:rsid w:val="008742D3"/>
    <w:rsid w:val="00874409"/>
    <w:rsid w:val="00875325"/>
    <w:rsid w:val="008753CF"/>
    <w:rsid w:val="00875A2A"/>
    <w:rsid w:val="008761C0"/>
    <w:rsid w:val="0087677F"/>
    <w:rsid w:val="008768C0"/>
    <w:rsid w:val="00877839"/>
    <w:rsid w:val="008778AB"/>
    <w:rsid w:val="00877E03"/>
    <w:rsid w:val="0088005A"/>
    <w:rsid w:val="008808C2"/>
    <w:rsid w:val="00880A6C"/>
    <w:rsid w:val="00880B7D"/>
    <w:rsid w:val="00881339"/>
    <w:rsid w:val="008819F5"/>
    <w:rsid w:val="0088203D"/>
    <w:rsid w:val="00882752"/>
    <w:rsid w:val="008829A8"/>
    <w:rsid w:val="00882A37"/>
    <w:rsid w:val="00882AFE"/>
    <w:rsid w:val="00882F83"/>
    <w:rsid w:val="00884DF5"/>
    <w:rsid w:val="00884E88"/>
    <w:rsid w:val="00884F18"/>
    <w:rsid w:val="00885A34"/>
    <w:rsid w:val="00885A40"/>
    <w:rsid w:val="00885E2F"/>
    <w:rsid w:val="00887969"/>
    <w:rsid w:val="00890117"/>
    <w:rsid w:val="00890C96"/>
    <w:rsid w:val="00890EB1"/>
    <w:rsid w:val="008914AB"/>
    <w:rsid w:val="008917AF"/>
    <w:rsid w:val="008919E5"/>
    <w:rsid w:val="00891A66"/>
    <w:rsid w:val="00891CEC"/>
    <w:rsid w:val="00891DCD"/>
    <w:rsid w:val="008923D1"/>
    <w:rsid w:val="00892872"/>
    <w:rsid w:val="00892EF3"/>
    <w:rsid w:val="00893207"/>
    <w:rsid w:val="008936CB"/>
    <w:rsid w:val="0089374D"/>
    <w:rsid w:val="008939C8"/>
    <w:rsid w:val="008941A5"/>
    <w:rsid w:val="0089491F"/>
    <w:rsid w:val="00894A9B"/>
    <w:rsid w:val="00895633"/>
    <w:rsid w:val="00895B6D"/>
    <w:rsid w:val="00895B85"/>
    <w:rsid w:val="00895D3F"/>
    <w:rsid w:val="00895E8A"/>
    <w:rsid w:val="00895E91"/>
    <w:rsid w:val="00896279"/>
    <w:rsid w:val="00896ADD"/>
    <w:rsid w:val="0089784E"/>
    <w:rsid w:val="00897ECA"/>
    <w:rsid w:val="008A0486"/>
    <w:rsid w:val="008A0655"/>
    <w:rsid w:val="008A0BF7"/>
    <w:rsid w:val="008A0F70"/>
    <w:rsid w:val="008A1220"/>
    <w:rsid w:val="008A132B"/>
    <w:rsid w:val="008A149F"/>
    <w:rsid w:val="008A1AC2"/>
    <w:rsid w:val="008A1C47"/>
    <w:rsid w:val="008A1C8E"/>
    <w:rsid w:val="008A1E39"/>
    <w:rsid w:val="008A255C"/>
    <w:rsid w:val="008A32F1"/>
    <w:rsid w:val="008A339B"/>
    <w:rsid w:val="008A392F"/>
    <w:rsid w:val="008A4081"/>
    <w:rsid w:val="008A455F"/>
    <w:rsid w:val="008A4AF0"/>
    <w:rsid w:val="008A4F5B"/>
    <w:rsid w:val="008A5430"/>
    <w:rsid w:val="008A7CEA"/>
    <w:rsid w:val="008B0933"/>
    <w:rsid w:val="008B0935"/>
    <w:rsid w:val="008B0EDE"/>
    <w:rsid w:val="008B1135"/>
    <w:rsid w:val="008B139F"/>
    <w:rsid w:val="008B1400"/>
    <w:rsid w:val="008B1EE7"/>
    <w:rsid w:val="008B2CD5"/>
    <w:rsid w:val="008B2E0E"/>
    <w:rsid w:val="008B2FF2"/>
    <w:rsid w:val="008B349F"/>
    <w:rsid w:val="008B4171"/>
    <w:rsid w:val="008B55F4"/>
    <w:rsid w:val="008B66C1"/>
    <w:rsid w:val="008B6A41"/>
    <w:rsid w:val="008B6D7A"/>
    <w:rsid w:val="008B6E51"/>
    <w:rsid w:val="008C04AA"/>
    <w:rsid w:val="008C1B69"/>
    <w:rsid w:val="008C23DA"/>
    <w:rsid w:val="008C25D8"/>
    <w:rsid w:val="008C2A6E"/>
    <w:rsid w:val="008C2B84"/>
    <w:rsid w:val="008C2E82"/>
    <w:rsid w:val="008C2F4E"/>
    <w:rsid w:val="008C2F88"/>
    <w:rsid w:val="008C30D9"/>
    <w:rsid w:val="008C3877"/>
    <w:rsid w:val="008C3A67"/>
    <w:rsid w:val="008C525A"/>
    <w:rsid w:val="008C6104"/>
    <w:rsid w:val="008C65AB"/>
    <w:rsid w:val="008C75A6"/>
    <w:rsid w:val="008C76EF"/>
    <w:rsid w:val="008C7967"/>
    <w:rsid w:val="008C7C50"/>
    <w:rsid w:val="008D0738"/>
    <w:rsid w:val="008D09F4"/>
    <w:rsid w:val="008D0C8C"/>
    <w:rsid w:val="008D1067"/>
    <w:rsid w:val="008D1266"/>
    <w:rsid w:val="008D15C2"/>
    <w:rsid w:val="008D1A7D"/>
    <w:rsid w:val="008D1BB0"/>
    <w:rsid w:val="008D2533"/>
    <w:rsid w:val="008D2872"/>
    <w:rsid w:val="008D2DE5"/>
    <w:rsid w:val="008D3BBA"/>
    <w:rsid w:val="008D3CF4"/>
    <w:rsid w:val="008D41D2"/>
    <w:rsid w:val="008D4691"/>
    <w:rsid w:val="008D47BD"/>
    <w:rsid w:val="008D497B"/>
    <w:rsid w:val="008D4995"/>
    <w:rsid w:val="008D49DA"/>
    <w:rsid w:val="008D4D93"/>
    <w:rsid w:val="008D4F14"/>
    <w:rsid w:val="008D50D1"/>
    <w:rsid w:val="008D57E2"/>
    <w:rsid w:val="008D5E23"/>
    <w:rsid w:val="008D624C"/>
    <w:rsid w:val="008D664A"/>
    <w:rsid w:val="008D67AE"/>
    <w:rsid w:val="008D7180"/>
    <w:rsid w:val="008D7666"/>
    <w:rsid w:val="008D7928"/>
    <w:rsid w:val="008D7BF4"/>
    <w:rsid w:val="008E034E"/>
    <w:rsid w:val="008E0AB6"/>
    <w:rsid w:val="008E0F1A"/>
    <w:rsid w:val="008E1AEC"/>
    <w:rsid w:val="008E21D4"/>
    <w:rsid w:val="008E33A3"/>
    <w:rsid w:val="008E3981"/>
    <w:rsid w:val="008E3B6C"/>
    <w:rsid w:val="008E4556"/>
    <w:rsid w:val="008E47C0"/>
    <w:rsid w:val="008E4C53"/>
    <w:rsid w:val="008E4F87"/>
    <w:rsid w:val="008E56A9"/>
    <w:rsid w:val="008E578C"/>
    <w:rsid w:val="008E62F1"/>
    <w:rsid w:val="008E66C9"/>
    <w:rsid w:val="008E6774"/>
    <w:rsid w:val="008E6780"/>
    <w:rsid w:val="008E68B2"/>
    <w:rsid w:val="008E715D"/>
    <w:rsid w:val="008E7539"/>
    <w:rsid w:val="008F029E"/>
    <w:rsid w:val="008F0748"/>
    <w:rsid w:val="008F0B02"/>
    <w:rsid w:val="008F0FAC"/>
    <w:rsid w:val="008F1401"/>
    <w:rsid w:val="008F15A9"/>
    <w:rsid w:val="008F198F"/>
    <w:rsid w:val="008F26B7"/>
    <w:rsid w:val="008F3511"/>
    <w:rsid w:val="008F400F"/>
    <w:rsid w:val="008F43A9"/>
    <w:rsid w:val="008F4764"/>
    <w:rsid w:val="008F47A8"/>
    <w:rsid w:val="008F5405"/>
    <w:rsid w:val="008F5549"/>
    <w:rsid w:val="008F59F9"/>
    <w:rsid w:val="008F6CD1"/>
    <w:rsid w:val="008F6EBA"/>
    <w:rsid w:val="008F756C"/>
    <w:rsid w:val="008F7DBF"/>
    <w:rsid w:val="008F7F04"/>
    <w:rsid w:val="00900302"/>
    <w:rsid w:val="00900D32"/>
    <w:rsid w:val="0090159C"/>
    <w:rsid w:val="00901C79"/>
    <w:rsid w:val="009021A0"/>
    <w:rsid w:val="0090238E"/>
    <w:rsid w:val="00902B6E"/>
    <w:rsid w:val="00903432"/>
    <w:rsid w:val="00903975"/>
    <w:rsid w:val="00903E46"/>
    <w:rsid w:val="00904786"/>
    <w:rsid w:val="00904AF2"/>
    <w:rsid w:val="00904B27"/>
    <w:rsid w:val="00904B85"/>
    <w:rsid w:val="00905004"/>
    <w:rsid w:val="009050F3"/>
    <w:rsid w:val="009053A2"/>
    <w:rsid w:val="00905956"/>
    <w:rsid w:val="00905965"/>
    <w:rsid w:val="009066BC"/>
    <w:rsid w:val="00906F13"/>
    <w:rsid w:val="00906FAE"/>
    <w:rsid w:val="00907DC7"/>
    <w:rsid w:val="009105EC"/>
    <w:rsid w:val="00910E36"/>
    <w:rsid w:val="00910FED"/>
    <w:rsid w:val="009111A3"/>
    <w:rsid w:val="00911285"/>
    <w:rsid w:val="00911C34"/>
    <w:rsid w:val="00911F41"/>
    <w:rsid w:val="00911F72"/>
    <w:rsid w:val="00912552"/>
    <w:rsid w:val="00912567"/>
    <w:rsid w:val="009128A1"/>
    <w:rsid w:val="00912BC5"/>
    <w:rsid w:val="009137F6"/>
    <w:rsid w:val="009146F2"/>
    <w:rsid w:val="00915463"/>
    <w:rsid w:val="009164AE"/>
    <w:rsid w:val="009166A7"/>
    <w:rsid w:val="009167A1"/>
    <w:rsid w:val="009169AC"/>
    <w:rsid w:val="00917064"/>
    <w:rsid w:val="00917A19"/>
    <w:rsid w:val="00917E12"/>
    <w:rsid w:val="0092069E"/>
    <w:rsid w:val="0092085D"/>
    <w:rsid w:val="009208C2"/>
    <w:rsid w:val="00920AB2"/>
    <w:rsid w:val="0092130A"/>
    <w:rsid w:val="0092159A"/>
    <w:rsid w:val="00921BBF"/>
    <w:rsid w:val="00921C03"/>
    <w:rsid w:val="009220AC"/>
    <w:rsid w:val="00922242"/>
    <w:rsid w:val="009224F8"/>
    <w:rsid w:val="0092296E"/>
    <w:rsid w:val="00922DB8"/>
    <w:rsid w:val="0092314F"/>
    <w:rsid w:val="0092337C"/>
    <w:rsid w:val="009233F6"/>
    <w:rsid w:val="00923614"/>
    <w:rsid w:val="00926297"/>
    <w:rsid w:val="00926B30"/>
    <w:rsid w:val="00926E1F"/>
    <w:rsid w:val="00926E8D"/>
    <w:rsid w:val="00926EA2"/>
    <w:rsid w:val="0092718C"/>
    <w:rsid w:val="00927801"/>
    <w:rsid w:val="009316D0"/>
    <w:rsid w:val="00931B98"/>
    <w:rsid w:val="00931C8A"/>
    <w:rsid w:val="009322F5"/>
    <w:rsid w:val="00933069"/>
    <w:rsid w:val="009332F0"/>
    <w:rsid w:val="00933C1F"/>
    <w:rsid w:val="009343D5"/>
    <w:rsid w:val="009343E9"/>
    <w:rsid w:val="009345C9"/>
    <w:rsid w:val="00934D31"/>
    <w:rsid w:val="00935348"/>
    <w:rsid w:val="009353CD"/>
    <w:rsid w:val="00935639"/>
    <w:rsid w:val="009367DB"/>
    <w:rsid w:val="009369BB"/>
    <w:rsid w:val="0093719D"/>
    <w:rsid w:val="009372FE"/>
    <w:rsid w:val="0093736C"/>
    <w:rsid w:val="009373BF"/>
    <w:rsid w:val="009376A0"/>
    <w:rsid w:val="0093774B"/>
    <w:rsid w:val="00940104"/>
    <w:rsid w:val="00940973"/>
    <w:rsid w:val="00940C60"/>
    <w:rsid w:val="00940E79"/>
    <w:rsid w:val="00941148"/>
    <w:rsid w:val="009412D3"/>
    <w:rsid w:val="009419AB"/>
    <w:rsid w:val="00941FCC"/>
    <w:rsid w:val="009422E8"/>
    <w:rsid w:val="0094248D"/>
    <w:rsid w:val="009437A6"/>
    <w:rsid w:val="009438F2"/>
    <w:rsid w:val="00943B23"/>
    <w:rsid w:val="0094413E"/>
    <w:rsid w:val="0094419D"/>
    <w:rsid w:val="009441CE"/>
    <w:rsid w:val="009443C0"/>
    <w:rsid w:val="009443D8"/>
    <w:rsid w:val="00944646"/>
    <w:rsid w:val="009451A5"/>
    <w:rsid w:val="009456D5"/>
    <w:rsid w:val="00945B14"/>
    <w:rsid w:val="00945FB0"/>
    <w:rsid w:val="009461EC"/>
    <w:rsid w:val="0094663D"/>
    <w:rsid w:val="00947888"/>
    <w:rsid w:val="00947F95"/>
    <w:rsid w:val="00951AF8"/>
    <w:rsid w:val="00952407"/>
    <w:rsid w:val="009524A2"/>
    <w:rsid w:val="00952DA3"/>
    <w:rsid w:val="00953175"/>
    <w:rsid w:val="009537C7"/>
    <w:rsid w:val="009539AC"/>
    <w:rsid w:val="00954155"/>
    <w:rsid w:val="009545EB"/>
    <w:rsid w:val="00955102"/>
    <w:rsid w:val="00955A98"/>
    <w:rsid w:val="00955D20"/>
    <w:rsid w:val="00955FD5"/>
    <w:rsid w:val="0095621F"/>
    <w:rsid w:val="0095662D"/>
    <w:rsid w:val="00956B5B"/>
    <w:rsid w:val="009573AE"/>
    <w:rsid w:val="00957BC9"/>
    <w:rsid w:val="00957F7F"/>
    <w:rsid w:val="00961E0C"/>
    <w:rsid w:val="00961F32"/>
    <w:rsid w:val="00962118"/>
    <w:rsid w:val="00962966"/>
    <w:rsid w:val="00962992"/>
    <w:rsid w:val="00962C0F"/>
    <w:rsid w:val="009632AD"/>
    <w:rsid w:val="00963438"/>
    <w:rsid w:val="00963736"/>
    <w:rsid w:val="00963DEB"/>
    <w:rsid w:val="00964890"/>
    <w:rsid w:val="00966D49"/>
    <w:rsid w:val="00967042"/>
    <w:rsid w:val="00967217"/>
    <w:rsid w:val="0097025D"/>
    <w:rsid w:val="009706C5"/>
    <w:rsid w:val="009706ED"/>
    <w:rsid w:val="0097189B"/>
    <w:rsid w:val="00971FB1"/>
    <w:rsid w:val="00972D10"/>
    <w:rsid w:val="00972F4C"/>
    <w:rsid w:val="00973386"/>
    <w:rsid w:val="0097360C"/>
    <w:rsid w:val="009739DA"/>
    <w:rsid w:val="00973FAE"/>
    <w:rsid w:val="009749F0"/>
    <w:rsid w:val="00974A8A"/>
    <w:rsid w:val="00974F93"/>
    <w:rsid w:val="009750DC"/>
    <w:rsid w:val="009753DB"/>
    <w:rsid w:val="0097540E"/>
    <w:rsid w:val="00975CA1"/>
    <w:rsid w:val="0097637A"/>
    <w:rsid w:val="009764BF"/>
    <w:rsid w:val="00976CF8"/>
    <w:rsid w:val="00976FB1"/>
    <w:rsid w:val="009776DB"/>
    <w:rsid w:val="00977773"/>
    <w:rsid w:val="009777DB"/>
    <w:rsid w:val="00980002"/>
    <w:rsid w:val="0098051A"/>
    <w:rsid w:val="00980572"/>
    <w:rsid w:val="009806CD"/>
    <w:rsid w:val="00980719"/>
    <w:rsid w:val="00980954"/>
    <w:rsid w:val="00981403"/>
    <w:rsid w:val="00981D47"/>
    <w:rsid w:val="00982295"/>
    <w:rsid w:val="00982C54"/>
    <w:rsid w:val="00982CC5"/>
    <w:rsid w:val="00983A74"/>
    <w:rsid w:val="00983E5C"/>
    <w:rsid w:val="00983ED4"/>
    <w:rsid w:val="009844F0"/>
    <w:rsid w:val="009849A8"/>
    <w:rsid w:val="009857E0"/>
    <w:rsid w:val="00986076"/>
    <w:rsid w:val="00986123"/>
    <w:rsid w:val="00986366"/>
    <w:rsid w:val="009867EA"/>
    <w:rsid w:val="00986A62"/>
    <w:rsid w:val="00987198"/>
    <w:rsid w:val="009872E6"/>
    <w:rsid w:val="00987A13"/>
    <w:rsid w:val="00987D3C"/>
    <w:rsid w:val="00990976"/>
    <w:rsid w:val="009916BA"/>
    <w:rsid w:val="009917FE"/>
    <w:rsid w:val="009919EF"/>
    <w:rsid w:val="00991CC3"/>
    <w:rsid w:val="00992088"/>
    <w:rsid w:val="00992840"/>
    <w:rsid w:val="00994721"/>
    <w:rsid w:val="00994729"/>
    <w:rsid w:val="00995CA7"/>
    <w:rsid w:val="00996094"/>
    <w:rsid w:val="00996696"/>
    <w:rsid w:val="009974B6"/>
    <w:rsid w:val="009A03C7"/>
    <w:rsid w:val="009A0653"/>
    <w:rsid w:val="009A0F85"/>
    <w:rsid w:val="009A10FD"/>
    <w:rsid w:val="009A191D"/>
    <w:rsid w:val="009A1922"/>
    <w:rsid w:val="009A2597"/>
    <w:rsid w:val="009A27FC"/>
    <w:rsid w:val="009A2B30"/>
    <w:rsid w:val="009A2D2E"/>
    <w:rsid w:val="009A3297"/>
    <w:rsid w:val="009A4175"/>
    <w:rsid w:val="009A46F4"/>
    <w:rsid w:val="009A4858"/>
    <w:rsid w:val="009A4C27"/>
    <w:rsid w:val="009A500F"/>
    <w:rsid w:val="009A5360"/>
    <w:rsid w:val="009A5D7F"/>
    <w:rsid w:val="009A6B5C"/>
    <w:rsid w:val="009A702A"/>
    <w:rsid w:val="009A75A0"/>
    <w:rsid w:val="009A768D"/>
    <w:rsid w:val="009A7D76"/>
    <w:rsid w:val="009A7F95"/>
    <w:rsid w:val="009B0C2A"/>
    <w:rsid w:val="009B11E3"/>
    <w:rsid w:val="009B13ED"/>
    <w:rsid w:val="009B152C"/>
    <w:rsid w:val="009B19BA"/>
    <w:rsid w:val="009B1C28"/>
    <w:rsid w:val="009B1ED6"/>
    <w:rsid w:val="009B20ED"/>
    <w:rsid w:val="009B332F"/>
    <w:rsid w:val="009B4023"/>
    <w:rsid w:val="009B46F0"/>
    <w:rsid w:val="009B4C38"/>
    <w:rsid w:val="009B4DC3"/>
    <w:rsid w:val="009B4F56"/>
    <w:rsid w:val="009B62D8"/>
    <w:rsid w:val="009B6D6C"/>
    <w:rsid w:val="009B6E03"/>
    <w:rsid w:val="009B6F9D"/>
    <w:rsid w:val="009B73AC"/>
    <w:rsid w:val="009B7A27"/>
    <w:rsid w:val="009B7F56"/>
    <w:rsid w:val="009B7FB6"/>
    <w:rsid w:val="009C0660"/>
    <w:rsid w:val="009C06A0"/>
    <w:rsid w:val="009C0BAE"/>
    <w:rsid w:val="009C10AE"/>
    <w:rsid w:val="009C1178"/>
    <w:rsid w:val="009C224B"/>
    <w:rsid w:val="009C26EF"/>
    <w:rsid w:val="009C2836"/>
    <w:rsid w:val="009C2FDB"/>
    <w:rsid w:val="009C3F33"/>
    <w:rsid w:val="009C56E1"/>
    <w:rsid w:val="009C65E5"/>
    <w:rsid w:val="009C6CD6"/>
    <w:rsid w:val="009C6EC3"/>
    <w:rsid w:val="009C70D3"/>
    <w:rsid w:val="009C733C"/>
    <w:rsid w:val="009C763D"/>
    <w:rsid w:val="009C7D7C"/>
    <w:rsid w:val="009D03C4"/>
    <w:rsid w:val="009D089E"/>
    <w:rsid w:val="009D1413"/>
    <w:rsid w:val="009D15A6"/>
    <w:rsid w:val="009D1666"/>
    <w:rsid w:val="009D1E2E"/>
    <w:rsid w:val="009D21D8"/>
    <w:rsid w:val="009D2493"/>
    <w:rsid w:val="009D2706"/>
    <w:rsid w:val="009D312C"/>
    <w:rsid w:val="009D37D0"/>
    <w:rsid w:val="009D3809"/>
    <w:rsid w:val="009D3877"/>
    <w:rsid w:val="009D3B8D"/>
    <w:rsid w:val="009D46AE"/>
    <w:rsid w:val="009D4791"/>
    <w:rsid w:val="009D47F5"/>
    <w:rsid w:val="009D4ABE"/>
    <w:rsid w:val="009D4C03"/>
    <w:rsid w:val="009D55FD"/>
    <w:rsid w:val="009D565F"/>
    <w:rsid w:val="009D6227"/>
    <w:rsid w:val="009D622A"/>
    <w:rsid w:val="009D646D"/>
    <w:rsid w:val="009D764B"/>
    <w:rsid w:val="009D7854"/>
    <w:rsid w:val="009D78A0"/>
    <w:rsid w:val="009D795C"/>
    <w:rsid w:val="009D7A09"/>
    <w:rsid w:val="009E02FF"/>
    <w:rsid w:val="009E0F78"/>
    <w:rsid w:val="009E0FCC"/>
    <w:rsid w:val="009E11BD"/>
    <w:rsid w:val="009E1261"/>
    <w:rsid w:val="009E200D"/>
    <w:rsid w:val="009E2E53"/>
    <w:rsid w:val="009E2F93"/>
    <w:rsid w:val="009E3086"/>
    <w:rsid w:val="009E3852"/>
    <w:rsid w:val="009E3A73"/>
    <w:rsid w:val="009E3C22"/>
    <w:rsid w:val="009E3FED"/>
    <w:rsid w:val="009E4486"/>
    <w:rsid w:val="009E4EC0"/>
    <w:rsid w:val="009E5CD5"/>
    <w:rsid w:val="009E62E7"/>
    <w:rsid w:val="009E735D"/>
    <w:rsid w:val="009E74C5"/>
    <w:rsid w:val="009E7B90"/>
    <w:rsid w:val="009E7F5E"/>
    <w:rsid w:val="009F0005"/>
    <w:rsid w:val="009F0A59"/>
    <w:rsid w:val="009F1087"/>
    <w:rsid w:val="009F12BB"/>
    <w:rsid w:val="009F1338"/>
    <w:rsid w:val="009F1492"/>
    <w:rsid w:val="009F1910"/>
    <w:rsid w:val="009F2578"/>
    <w:rsid w:val="009F2822"/>
    <w:rsid w:val="009F2FB2"/>
    <w:rsid w:val="009F3027"/>
    <w:rsid w:val="009F37AB"/>
    <w:rsid w:val="009F3BF5"/>
    <w:rsid w:val="009F4388"/>
    <w:rsid w:val="009F43FF"/>
    <w:rsid w:val="009F53DC"/>
    <w:rsid w:val="009F55BA"/>
    <w:rsid w:val="009F708F"/>
    <w:rsid w:val="009F78D6"/>
    <w:rsid w:val="009F7A93"/>
    <w:rsid w:val="009F7B9D"/>
    <w:rsid w:val="00A0018C"/>
    <w:rsid w:val="00A00203"/>
    <w:rsid w:val="00A00792"/>
    <w:rsid w:val="00A01A94"/>
    <w:rsid w:val="00A01C21"/>
    <w:rsid w:val="00A02174"/>
    <w:rsid w:val="00A027CC"/>
    <w:rsid w:val="00A02BFE"/>
    <w:rsid w:val="00A03EAC"/>
    <w:rsid w:val="00A04A2D"/>
    <w:rsid w:val="00A056D2"/>
    <w:rsid w:val="00A05A04"/>
    <w:rsid w:val="00A062C5"/>
    <w:rsid w:val="00A062E3"/>
    <w:rsid w:val="00A065A3"/>
    <w:rsid w:val="00A068FD"/>
    <w:rsid w:val="00A06B81"/>
    <w:rsid w:val="00A06CDA"/>
    <w:rsid w:val="00A0734C"/>
    <w:rsid w:val="00A074B0"/>
    <w:rsid w:val="00A078C6"/>
    <w:rsid w:val="00A07C49"/>
    <w:rsid w:val="00A07D02"/>
    <w:rsid w:val="00A07FB5"/>
    <w:rsid w:val="00A10643"/>
    <w:rsid w:val="00A10911"/>
    <w:rsid w:val="00A10B53"/>
    <w:rsid w:val="00A1156A"/>
    <w:rsid w:val="00A11694"/>
    <w:rsid w:val="00A1177D"/>
    <w:rsid w:val="00A1185D"/>
    <w:rsid w:val="00A118CE"/>
    <w:rsid w:val="00A11C3D"/>
    <w:rsid w:val="00A1229E"/>
    <w:rsid w:val="00A13400"/>
    <w:rsid w:val="00A13ED5"/>
    <w:rsid w:val="00A140A4"/>
    <w:rsid w:val="00A141B7"/>
    <w:rsid w:val="00A14AB9"/>
    <w:rsid w:val="00A14B9D"/>
    <w:rsid w:val="00A15B5B"/>
    <w:rsid w:val="00A1616D"/>
    <w:rsid w:val="00A168C9"/>
    <w:rsid w:val="00A169AE"/>
    <w:rsid w:val="00A170D1"/>
    <w:rsid w:val="00A17DBE"/>
    <w:rsid w:val="00A2025E"/>
    <w:rsid w:val="00A20364"/>
    <w:rsid w:val="00A217BC"/>
    <w:rsid w:val="00A21BA6"/>
    <w:rsid w:val="00A21EB3"/>
    <w:rsid w:val="00A21F57"/>
    <w:rsid w:val="00A229C1"/>
    <w:rsid w:val="00A22A84"/>
    <w:rsid w:val="00A22E75"/>
    <w:rsid w:val="00A2356D"/>
    <w:rsid w:val="00A2387E"/>
    <w:rsid w:val="00A23A11"/>
    <w:rsid w:val="00A23B6E"/>
    <w:rsid w:val="00A243FD"/>
    <w:rsid w:val="00A24556"/>
    <w:rsid w:val="00A24CB5"/>
    <w:rsid w:val="00A25078"/>
    <w:rsid w:val="00A255B0"/>
    <w:rsid w:val="00A261E5"/>
    <w:rsid w:val="00A26A1D"/>
    <w:rsid w:val="00A26BCD"/>
    <w:rsid w:val="00A27217"/>
    <w:rsid w:val="00A279DB"/>
    <w:rsid w:val="00A27AAE"/>
    <w:rsid w:val="00A27CDC"/>
    <w:rsid w:val="00A301FF"/>
    <w:rsid w:val="00A30613"/>
    <w:rsid w:val="00A308DC"/>
    <w:rsid w:val="00A310CF"/>
    <w:rsid w:val="00A31318"/>
    <w:rsid w:val="00A3139C"/>
    <w:rsid w:val="00A315D3"/>
    <w:rsid w:val="00A31768"/>
    <w:rsid w:val="00A31822"/>
    <w:rsid w:val="00A31F24"/>
    <w:rsid w:val="00A31F2F"/>
    <w:rsid w:val="00A33405"/>
    <w:rsid w:val="00A3341D"/>
    <w:rsid w:val="00A3366C"/>
    <w:rsid w:val="00A337FB"/>
    <w:rsid w:val="00A34043"/>
    <w:rsid w:val="00A34C7A"/>
    <w:rsid w:val="00A34FB4"/>
    <w:rsid w:val="00A350F6"/>
    <w:rsid w:val="00A35C2C"/>
    <w:rsid w:val="00A367C0"/>
    <w:rsid w:val="00A37089"/>
    <w:rsid w:val="00A379A0"/>
    <w:rsid w:val="00A402C2"/>
    <w:rsid w:val="00A4033E"/>
    <w:rsid w:val="00A40510"/>
    <w:rsid w:val="00A407CB"/>
    <w:rsid w:val="00A40C70"/>
    <w:rsid w:val="00A40DBF"/>
    <w:rsid w:val="00A41562"/>
    <w:rsid w:val="00A41F29"/>
    <w:rsid w:val="00A422E1"/>
    <w:rsid w:val="00A42D7F"/>
    <w:rsid w:val="00A42F55"/>
    <w:rsid w:val="00A431B4"/>
    <w:rsid w:val="00A43480"/>
    <w:rsid w:val="00A43934"/>
    <w:rsid w:val="00A445AA"/>
    <w:rsid w:val="00A44967"/>
    <w:rsid w:val="00A4496A"/>
    <w:rsid w:val="00A44984"/>
    <w:rsid w:val="00A4586C"/>
    <w:rsid w:val="00A464C2"/>
    <w:rsid w:val="00A46A54"/>
    <w:rsid w:val="00A46B5F"/>
    <w:rsid w:val="00A477F3"/>
    <w:rsid w:val="00A501B5"/>
    <w:rsid w:val="00A50967"/>
    <w:rsid w:val="00A50D9D"/>
    <w:rsid w:val="00A51231"/>
    <w:rsid w:val="00A515FC"/>
    <w:rsid w:val="00A5193C"/>
    <w:rsid w:val="00A521AE"/>
    <w:rsid w:val="00A523E4"/>
    <w:rsid w:val="00A5244E"/>
    <w:rsid w:val="00A53059"/>
    <w:rsid w:val="00A5305F"/>
    <w:rsid w:val="00A53903"/>
    <w:rsid w:val="00A53CF0"/>
    <w:rsid w:val="00A53D7F"/>
    <w:rsid w:val="00A53D95"/>
    <w:rsid w:val="00A54961"/>
    <w:rsid w:val="00A54DEB"/>
    <w:rsid w:val="00A554B3"/>
    <w:rsid w:val="00A55848"/>
    <w:rsid w:val="00A55D14"/>
    <w:rsid w:val="00A56201"/>
    <w:rsid w:val="00A57408"/>
    <w:rsid w:val="00A57906"/>
    <w:rsid w:val="00A57C74"/>
    <w:rsid w:val="00A57FE1"/>
    <w:rsid w:val="00A60187"/>
    <w:rsid w:val="00A60850"/>
    <w:rsid w:val="00A60A8D"/>
    <w:rsid w:val="00A60B5A"/>
    <w:rsid w:val="00A61644"/>
    <w:rsid w:val="00A6164A"/>
    <w:rsid w:val="00A6177E"/>
    <w:rsid w:val="00A61F5F"/>
    <w:rsid w:val="00A62D66"/>
    <w:rsid w:val="00A634CA"/>
    <w:rsid w:val="00A6363C"/>
    <w:rsid w:val="00A63E3C"/>
    <w:rsid w:val="00A64961"/>
    <w:rsid w:val="00A64974"/>
    <w:rsid w:val="00A64D1E"/>
    <w:rsid w:val="00A64DEA"/>
    <w:rsid w:val="00A64EC7"/>
    <w:rsid w:val="00A6503F"/>
    <w:rsid w:val="00A65164"/>
    <w:rsid w:val="00A65416"/>
    <w:rsid w:val="00A65457"/>
    <w:rsid w:val="00A65577"/>
    <w:rsid w:val="00A655D7"/>
    <w:rsid w:val="00A65D62"/>
    <w:rsid w:val="00A660CC"/>
    <w:rsid w:val="00A6666A"/>
    <w:rsid w:val="00A66B3B"/>
    <w:rsid w:val="00A66BD5"/>
    <w:rsid w:val="00A66C45"/>
    <w:rsid w:val="00A66E4B"/>
    <w:rsid w:val="00A66F72"/>
    <w:rsid w:val="00A67565"/>
    <w:rsid w:val="00A67811"/>
    <w:rsid w:val="00A67E8D"/>
    <w:rsid w:val="00A71154"/>
    <w:rsid w:val="00A71687"/>
    <w:rsid w:val="00A72054"/>
    <w:rsid w:val="00A7285F"/>
    <w:rsid w:val="00A72DEA"/>
    <w:rsid w:val="00A73803"/>
    <w:rsid w:val="00A74083"/>
    <w:rsid w:val="00A74208"/>
    <w:rsid w:val="00A74519"/>
    <w:rsid w:val="00A7605D"/>
    <w:rsid w:val="00A763C4"/>
    <w:rsid w:val="00A76656"/>
    <w:rsid w:val="00A76881"/>
    <w:rsid w:val="00A76F9D"/>
    <w:rsid w:val="00A777DC"/>
    <w:rsid w:val="00A77982"/>
    <w:rsid w:val="00A801B7"/>
    <w:rsid w:val="00A81E68"/>
    <w:rsid w:val="00A82AF9"/>
    <w:rsid w:val="00A82BF1"/>
    <w:rsid w:val="00A82C6F"/>
    <w:rsid w:val="00A836D6"/>
    <w:rsid w:val="00A83C33"/>
    <w:rsid w:val="00A83DD7"/>
    <w:rsid w:val="00A84447"/>
    <w:rsid w:val="00A8493A"/>
    <w:rsid w:val="00A849AC"/>
    <w:rsid w:val="00A85170"/>
    <w:rsid w:val="00A8548C"/>
    <w:rsid w:val="00A8586E"/>
    <w:rsid w:val="00A85F32"/>
    <w:rsid w:val="00A86BA4"/>
    <w:rsid w:val="00A877FD"/>
    <w:rsid w:val="00A87A9A"/>
    <w:rsid w:val="00A90514"/>
    <w:rsid w:val="00A909BD"/>
    <w:rsid w:val="00A90C23"/>
    <w:rsid w:val="00A91501"/>
    <w:rsid w:val="00A917D7"/>
    <w:rsid w:val="00A91DAD"/>
    <w:rsid w:val="00A923B7"/>
    <w:rsid w:val="00A928EC"/>
    <w:rsid w:val="00A92AF7"/>
    <w:rsid w:val="00A93CA9"/>
    <w:rsid w:val="00A94067"/>
    <w:rsid w:val="00A942C7"/>
    <w:rsid w:val="00A944E1"/>
    <w:rsid w:val="00A94A03"/>
    <w:rsid w:val="00A95983"/>
    <w:rsid w:val="00A95C70"/>
    <w:rsid w:val="00A95E51"/>
    <w:rsid w:val="00A96A80"/>
    <w:rsid w:val="00A9797D"/>
    <w:rsid w:val="00AA01BC"/>
    <w:rsid w:val="00AA0634"/>
    <w:rsid w:val="00AA07FC"/>
    <w:rsid w:val="00AA1035"/>
    <w:rsid w:val="00AA29E1"/>
    <w:rsid w:val="00AA34BE"/>
    <w:rsid w:val="00AA3D05"/>
    <w:rsid w:val="00AA3D6F"/>
    <w:rsid w:val="00AA4D03"/>
    <w:rsid w:val="00AA5353"/>
    <w:rsid w:val="00AA57A2"/>
    <w:rsid w:val="00AA59C3"/>
    <w:rsid w:val="00AA5F6C"/>
    <w:rsid w:val="00AA6BF3"/>
    <w:rsid w:val="00AA71E2"/>
    <w:rsid w:val="00AA7518"/>
    <w:rsid w:val="00AA751F"/>
    <w:rsid w:val="00AB1378"/>
    <w:rsid w:val="00AB1A6A"/>
    <w:rsid w:val="00AB2327"/>
    <w:rsid w:val="00AB2514"/>
    <w:rsid w:val="00AB26A6"/>
    <w:rsid w:val="00AB2F5B"/>
    <w:rsid w:val="00AB30A7"/>
    <w:rsid w:val="00AB5B8F"/>
    <w:rsid w:val="00AB6E63"/>
    <w:rsid w:val="00AB7580"/>
    <w:rsid w:val="00AB797D"/>
    <w:rsid w:val="00AB7C3B"/>
    <w:rsid w:val="00AB7FD4"/>
    <w:rsid w:val="00AC0E76"/>
    <w:rsid w:val="00AC13D0"/>
    <w:rsid w:val="00AC152F"/>
    <w:rsid w:val="00AC18D4"/>
    <w:rsid w:val="00AC2150"/>
    <w:rsid w:val="00AC2639"/>
    <w:rsid w:val="00AC267B"/>
    <w:rsid w:val="00AC35CB"/>
    <w:rsid w:val="00AC3878"/>
    <w:rsid w:val="00AC3BBB"/>
    <w:rsid w:val="00AC4C1F"/>
    <w:rsid w:val="00AC4CE4"/>
    <w:rsid w:val="00AC4D38"/>
    <w:rsid w:val="00AC5690"/>
    <w:rsid w:val="00AC5A06"/>
    <w:rsid w:val="00AC5F3A"/>
    <w:rsid w:val="00AC6E21"/>
    <w:rsid w:val="00AC795B"/>
    <w:rsid w:val="00AC7CDC"/>
    <w:rsid w:val="00AC7D93"/>
    <w:rsid w:val="00AD0232"/>
    <w:rsid w:val="00AD059D"/>
    <w:rsid w:val="00AD141B"/>
    <w:rsid w:val="00AD1B7A"/>
    <w:rsid w:val="00AD2052"/>
    <w:rsid w:val="00AD29E8"/>
    <w:rsid w:val="00AD3373"/>
    <w:rsid w:val="00AD33C5"/>
    <w:rsid w:val="00AD3438"/>
    <w:rsid w:val="00AD3E54"/>
    <w:rsid w:val="00AD3F0C"/>
    <w:rsid w:val="00AD40F0"/>
    <w:rsid w:val="00AD415B"/>
    <w:rsid w:val="00AD4C5A"/>
    <w:rsid w:val="00AD533B"/>
    <w:rsid w:val="00AD56C0"/>
    <w:rsid w:val="00AD5FBB"/>
    <w:rsid w:val="00AD678D"/>
    <w:rsid w:val="00AD69CB"/>
    <w:rsid w:val="00AD6D52"/>
    <w:rsid w:val="00AD6FB9"/>
    <w:rsid w:val="00AD725F"/>
    <w:rsid w:val="00AD7464"/>
    <w:rsid w:val="00AD79A5"/>
    <w:rsid w:val="00AD7D95"/>
    <w:rsid w:val="00AD7E92"/>
    <w:rsid w:val="00AE036A"/>
    <w:rsid w:val="00AE050F"/>
    <w:rsid w:val="00AE0C49"/>
    <w:rsid w:val="00AE0CF0"/>
    <w:rsid w:val="00AE17BD"/>
    <w:rsid w:val="00AE1A05"/>
    <w:rsid w:val="00AE1FBE"/>
    <w:rsid w:val="00AE23B5"/>
    <w:rsid w:val="00AE267F"/>
    <w:rsid w:val="00AE2774"/>
    <w:rsid w:val="00AE2B8C"/>
    <w:rsid w:val="00AE2BF2"/>
    <w:rsid w:val="00AE310F"/>
    <w:rsid w:val="00AE3306"/>
    <w:rsid w:val="00AE3840"/>
    <w:rsid w:val="00AE3B55"/>
    <w:rsid w:val="00AE3BBB"/>
    <w:rsid w:val="00AE3F7E"/>
    <w:rsid w:val="00AE42DA"/>
    <w:rsid w:val="00AE478F"/>
    <w:rsid w:val="00AE4A35"/>
    <w:rsid w:val="00AE5703"/>
    <w:rsid w:val="00AE60AA"/>
    <w:rsid w:val="00AE643B"/>
    <w:rsid w:val="00AF06B7"/>
    <w:rsid w:val="00AF0B4D"/>
    <w:rsid w:val="00AF0BCB"/>
    <w:rsid w:val="00AF1A93"/>
    <w:rsid w:val="00AF1C7A"/>
    <w:rsid w:val="00AF33A7"/>
    <w:rsid w:val="00AF4262"/>
    <w:rsid w:val="00AF453E"/>
    <w:rsid w:val="00AF536F"/>
    <w:rsid w:val="00AF5900"/>
    <w:rsid w:val="00AF5D97"/>
    <w:rsid w:val="00AF5FDB"/>
    <w:rsid w:val="00AF61F4"/>
    <w:rsid w:val="00AF66D3"/>
    <w:rsid w:val="00AF6AB8"/>
    <w:rsid w:val="00AF77A5"/>
    <w:rsid w:val="00AF7C80"/>
    <w:rsid w:val="00B0011E"/>
    <w:rsid w:val="00B005ED"/>
    <w:rsid w:val="00B00810"/>
    <w:rsid w:val="00B00F12"/>
    <w:rsid w:val="00B01486"/>
    <w:rsid w:val="00B014BA"/>
    <w:rsid w:val="00B01DC9"/>
    <w:rsid w:val="00B01FE3"/>
    <w:rsid w:val="00B020CE"/>
    <w:rsid w:val="00B02957"/>
    <w:rsid w:val="00B02B5A"/>
    <w:rsid w:val="00B0307F"/>
    <w:rsid w:val="00B0376C"/>
    <w:rsid w:val="00B04082"/>
    <w:rsid w:val="00B05546"/>
    <w:rsid w:val="00B05A50"/>
    <w:rsid w:val="00B06060"/>
    <w:rsid w:val="00B065EB"/>
    <w:rsid w:val="00B06E3B"/>
    <w:rsid w:val="00B06E6D"/>
    <w:rsid w:val="00B074FC"/>
    <w:rsid w:val="00B07B72"/>
    <w:rsid w:val="00B104AA"/>
    <w:rsid w:val="00B106BE"/>
    <w:rsid w:val="00B10AF9"/>
    <w:rsid w:val="00B1141C"/>
    <w:rsid w:val="00B11BBA"/>
    <w:rsid w:val="00B12352"/>
    <w:rsid w:val="00B126DF"/>
    <w:rsid w:val="00B12B4E"/>
    <w:rsid w:val="00B130CB"/>
    <w:rsid w:val="00B1325C"/>
    <w:rsid w:val="00B14572"/>
    <w:rsid w:val="00B14819"/>
    <w:rsid w:val="00B14A75"/>
    <w:rsid w:val="00B153FB"/>
    <w:rsid w:val="00B15474"/>
    <w:rsid w:val="00B15686"/>
    <w:rsid w:val="00B16047"/>
    <w:rsid w:val="00B1671D"/>
    <w:rsid w:val="00B1675C"/>
    <w:rsid w:val="00B17164"/>
    <w:rsid w:val="00B17646"/>
    <w:rsid w:val="00B17B71"/>
    <w:rsid w:val="00B17B79"/>
    <w:rsid w:val="00B17D32"/>
    <w:rsid w:val="00B20343"/>
    <w:rsid w:val="00B20820"/>
    <w:rsid w:val="00B20EF0"/>
    <w:rsid w:val="00B21646"/>
    <w:rsid w:val="00B21972"/>
    <w:rsid w:val="00B21CEE"/>
    <w:rsid w:val="00B21FDC"/>
    <w:rsid w:val="00B22352"/>
    <w:rsid w:val="00B224CB"/>
    <w:rsid w:val="00B22ACD"/>
    <w:rsid w:val="00B22AFC"/>
    <w:rsid w:val="00B231E0"/>
    <w:rsid w:val="00B241EB"/>
    <w:rsid w:val="00B2450F"/>
    <w:rsid w:val="00B24533"/>
    <w:rsid w:val="00B249B7"/>
    <w:rsid w:val="00B256EB"/>
    <w:rsid w:val="00B257CC"/>
    <w:rsid w:val="00B25AD6"/>
    <w:rsid w:val="00B26198"/>
    <w:rsid w:val="00B26319"/>
    <w:rsid w:val="00B26443"/>
    <w:rsid w:val="00B26E24"/>
    <w:rsid w:val="00B278D4"/>
    <w:rsid w:val="00B27935"/>
    <w:rsid w:val="00B30195"/>
    <w:rsid w:val="00B30452"/>
    <w:rsid w:val="00B307E9"/>
    <w:rsid w:val="00B30DF0"/>
    <w:rsid w:val="00B31751"/>
    <w:rsid w:val="00B31779"/>
    <w:rsid w:val="00B3182B"/>
    <w:rsid w:val="00B31CB5"/>
    <w:rsid w:val="00B31D29"/>
    <w:rsid w:val="00B32C25"/>
    <w:rsid w:val="00B32EBE"/>
    <w:rsid w:val="00B330B6"/>
    <w:rsid w:val="00B33797"/>
    <w:rsid w:val="00B339CF"/>
    <w:rsid w:val="00B34060"/>
    <w:rsid w:val="00B3413E"/>
    <w:rsid w:val="00B34462"/>
    <w:rsid w:val="00B3468E"/>
    <w:rsid w:val="00B34A4A"/>
    <w:rsid w:val="00B34D33"/>
    <w:rsid w:val="00B34E74"/>
    <w:rsid w:val="00B34E81"/>
    <w:rsid w:val="00B35632"/>
    <w:rsid w:val="00B3566A"/>
    <w:rsid w:val="00B35673"/>
    <w:rsid w:val="00B356AA"/>
    <w:rsid w:val="00B358D9"/>
    <w:rsid w:val="00B35B24"/>
    <w:rsid w:val="00B35C04"/>
    <w:rsid w:val="00B35D74"/>
    <w:rsid w:val="00B362D7"/>
    <w:rsid w:val="00B36668"/>
    <w:rsid w:val="00B366E0"/>
    <w:rsid w:val="00B36A75"/>
    <w:rsid w:val="00B36ECD"/>
    <w:rsid w:val="00B37A43"/>
    <w:rsid w:val="00B37B09"/>
    <w:rsid w:val="00B40310"/>
    <w:rsid w:val="00B40A1E"/>
    <w:rsid w:val="00B40CF0"/>
    <w:rsid w:val="00B40F4C"/>
    <w:rsid w:val="00B41251"/>
    <w:rsid w:val="00B412A9"/>
    <w:rsid w:val="00B41682"/>
    <w:rsid w:val="00B4203C"/>
    <w:rsid w:val="00B424E9"/>
    <w:rsid w:val="00B425FE"/>
    <w:rsid w:val="00B4280E"/>
    <w:rsid w:val="00B429EF"/>
    <w:rsid w:val="00B42C68"/>
    <w:rsid w:val="00B42CC4"/>
    <w:rsid w:val="00B42F38"/>
    <w:rsid w:val="00B4321A"/>
    <w:rsid w:val="00B43B1D"/>
    <w:rsid w:val="00B43CB6"/>
    <w:rsid w:val="00B449CF"/>
    <w:rsid w:val="00B45923"/>
    <w:rsid w:val="00B4597D"/>
    <w:rsid w:val="00B45D5A"/>
    <w:rsid w:val="00B4609E"/>
    <w:rsid w:val="00B47059"/>
    <w:rsid w:val="00B47187"/>
    <w:rsid w:val="00B508A0"/>
    <w:rsid w:val="00B50DEA"/>
    <w:rsid w:val="00B51178"/>
    <w:rsid w:val="00B515C6"/>
    <w:rsid w:val="00B5185A"/>
    <w:rsid w:val="00B51A60"/>
    <w:rsid w:val="00B51C53"/>
    <w:rsid w:val="00B51CD3"/>
    <w:rsid w:val="00B5220F"/>
    <w:rsid w:val="00B52292"/>
    <w:rsid w:val="00B525CD"/>
    <w:rsid w:val="00B5296E"/>
    <w:rsid w:val="00B53242"/>
    <w:rsid w:val="00B534D5"/>
    <w:rsid w:val="00B53790"/>
    <w:rsid w:val="00B552D2"/>
    <w:rsid w:val="00B55482"/>
    <w:rsid w:val="00B566AF"/>
    <w:rsid w:val="00B566E2"/>
    <w:rsid w:val="00B5673E"/>
    <w:rsid w:val="00B56A9E"/>
    <w:rsid w:val="00B56D80"/>
    <w:rsid w:val="00B57D8C"/>
    <w:rsid w:val="00B60161"/>
    <w:rsid w:val="00B60169"/>
    <w:rsid w:val="00B60187"/>
    <w:rsid w:val="00B60369"/>
    <w:rsid w:val="00B60A8A"/>
    <w:rsid w:val="00B61591"/>
    <w:rsid w:val="00B6167D"/>
    <w:rsid w:val="00B6268C"/>
    <w:rsid w:val="00B62784"/>
    <w:rsid w:val="00B628C1"/>
    <w:rsid w:val="00B62FE5"/>
    <w:rsid w:val="00B63017"/>
    <w:rsid w:val="00B6312D"/>
    <w:rsid w:val="00B63C4A"/>
    <w:rsid w:val="00B6410D"/>
    <w:rsid w:val="00B64D5D"/>
    <w:rsid w:val="00B64E88"/>
    <w:rsid w:val="00B659D3"/>
    <w:rsid w:val="00B65AEE"/>
    <w:rsid w:val="00B65D4F"/>
    <w:rsid w:val="00B66AF7"/>
    <w:rsid w:val="00B66D33"/>
    <w:rsid w:val="00B66D88"/>
    <w:rsid w:val="00B6700E"/>
    <w:rsid w:val="00B6725A"/>
    <w:rsid w:val="00B674B4"/>
    <w:rsid w:val="00B674B9"/>
    <w:rsid w:val="00B67928"/>
    <w:rsid w:val="00B67CB4"/>
    <w:rsid w:val="00B70282"/>
    <w:rsid w:val="00B702BC"/>
    <w:rsid w:val="00B705B5"/>
    <w:rsid w:val="00B70757"/>
    <w:rsid w:val="00B711F5"/>
    <w:rsid w:val="00B71266"/>
    <w:rsid w:val="00B71F3C"/>
    <w:rsid w:val="00B72762"/>
    <w:rsid w:val="00B72939"/>
    <w:rsid w:val="00B7298B"/>
    <w:rsid w:val="00B73254"/>
    <w:rsid w:val="00B732F1"/>
    <w:rsid w:val="00B7345D"/>
    <w:rsid w:val="00B73A33"/>
    <w:rsid w:val="00B73E21"/>
    <w:rsid w:val="00B745D7"/>
    <w:rsid w:val="00B74EC6"/>
    <w:rsid w:val="00B75541"/>
    <w:rsid w:val="00B75BE7"/>
    <w:rsid w:val="00B762A2"/>
    <w:rsid w:val="00B768AE"/>
    <w:rsid w:val="00B770EF"/>
    <w:rsid w:val="00B7730D"/>
    <w:rsid w:val="00B77931"/>
    <w:rsid w:val="00B801D9"/>
    <w:rsid w:val="00B802B4"/>
    <w:rsid w:val="00B8042D"/>
    <w:rsid w:val="00B80F2D"/>
    <w:rsid w:val="00B80F3E"/>
    <w:rsid w:val="00B81693"/>
    <w:rsid w:val="00B818E2"/>
    <w:rsid w:val="00B81E54"/>
    <w:rsid w:val="00B820C8"/>
    <w:rsid w:val="00B830D1"/>
    <w:rsid w:val="00B83DB2"/>
    <w:rsid w:val="00B83ED1"/>
    <w:rsid w:val="00B8421C"/>
    <w:rsid w:val="00B84308"/>
    <w:rsid w:val="00B84AE4"/>
    <w:rsid w:val="00B85E1F"/>
    <w:rsid w:val="00B85E3A"/>
    <w:rsid w:val="00B85EFE"/>
    <w:rsid w:val="00B85F93"/>
    <w:rsid w:val="00B86190"/>
    <w:rsid w:val="00B86909"/>
    <w:rsid w:val="00B86B97"/>
    <w:rsid w:val="00B86D2C"/>
    <w:rsid w:val="00B86EC8"/>
    <w:rsid w:val="00B874E5"/>
    <w:rsid w:val="00B87848"/>
    <w:rsid w:val="00B87E46"/>
    <w:rsid w:val="00B902A2"/>
    <w:rsid w:val="00B903A6"/>
    <w:rsid w:val="00B908F8"/>
    <w:rsid w:val="00B90D47"/>
    <w:rsid w:val="00B9132E"/>
    <w:rsid w:val="00B91EE9"/>
    <w:rsid w:val="00B91F16"/>
    <w:rsid w:val="00B9201D"/>
    <w:rsid w:val="00B923F2"/>
    <w:rsid w:val="00B924C2"/>
    <w:rsid w:val="00B9270E"/>
    <w:rsid w:val="00B92792"/>
    <w:rsid w:val="00B93354"/>
    <w:rsid w:val="00B93ED5"/>
    <w:rsid w:val="00B9401A"/>
    <w:rsid w:val="00B95605"/>
    <w:rsid w:val="00B958AE"/>
    <w:rsid w:val="00B95E83"/>
    <w:rsid w:val="00B95F30"/>
    <w:rsid w:val="00B960AC"/>
    <w:rsid w:val="00B966C6"/>
    <w:rsid w:val="00BA010B"/>
    <w:rsid w:val="00BA01B0"/>
    <w:rsid w:val="00BA04A1"/>
    <w:rsid w:val="00BA123C"/>
    <w:rsid w:val="00BA2030"/>
    <w:rsid w:val="00BA21B5"/>
    <w:rsid w:val="00BA22E8"/>
    <w:rsid w:val="00BA255D"/>
    <w:rsid w:val="00BA28D3"/>
    <w:rsid w:val="00BA2EF7"/>
    <w:rsid w:val="00BA307A"/>
    <w:rsid w:val="00BA33EB"/>
    <w:rsid w:val="00BA3BC7"/>
    <w:rsid w:val="00BA3CA6"/>
    <w:rsid w:val="00BA4649"/>
    <w:rsid w:val="00BA4C8A"/>
    <w:rsid w:val="00BA5A24"/>
    <w:rsid w:val="00BA5B2E"/>
    <w:rsid w:val="00BA5EBD"/>
    <w:rsid w:val="00BA60FE"/>
    <w:rsid w:val="00BA6E69"/>
    <w:rsid w:val="00BA703D"/>
    <w:rsid w:val="00BA7246"/>
    <w:rsid w:val="00BA735B"/>
    <w:rsid w:val="00BA744D"/>
    <w:rsid w:val="00BA75CC"/>
    <w:rsid w:val="00BA7E27"/>
    <w:rsid w:val="00BB0BBE"/>
    <w:rsid w:val="00BB0EEA"/>
    <w:rsid w:val="00BB1C34"/>
    <w:rsid w:val="00BB291C"/>
    <w:rsid w:val="00BB40E2"/>
    <w:rsid w:val="00BB4105"/>
    <w:rsid w:val="00BB4317"/>
    <w:rsid w:val="00BB45CA"/>
    <w:rsid w:val="00BB479E"/>
    <w:rsid w:val="00BB48BD"/>
    <w:rsid w:val="00BB5342"/>
    <w:rsid w:val="00BB5F5E"/>
    <w:rsid w:val="00BB6350"/>
    <w:rsid w:val="00BB6C22"/>
    <w:rsid w:val="00BB71D8"/>
    <w:rsid w:val="00BB7332"/>
    <w:rsid w:val="00BB7D3F"/>
    <w:rsid w:val="00BB7F9A"/>
    <w:rsid w:val="00BC02BE"/>
    <w:rsid w:val="00BC0358"/>
    <w:rsid w:val="00BC03A3"/>
    <w:rsid w:val="00BC0509"/>
    <w:rsid w:val="00BC06F7"/>
    <w:rsid w:val="00BC086C"/>
    <w:rsid w:val="00BC0B6E"/>
    <w:rsid w:val="00BC1482"/>
    <w:rsid w:val="00BC1E67"/>
    <w:rsid w:val="00BC208D"/>
    <w:rsid w:val="00BC2317"/>
    <w:rsid w:val="00BC32CF"/>
    <w:rsid w:val="00BC3D15"/>
    <w:rsid w:val="00BC3F39"/>
    <w:rsid w:val="00BC42CF"/>
    <w:rsid w:val="00BC43EF"/>
    <w:rsid w:val="00BC476E"/>
    <w:rsid w:val="00BC4B2C"/>
    <w:rsid w:val="00BC567E"/>
    <w:rsid w:val="00BC5D8C"/>
    <w:rsid w:val="00BC616A"/>
    <w:rsid w:val="00BC66B6"/>
    <w:rsid w:val="00BC6EE7"/>
    <w:rsid w:val="00BC7C39"/>
    <w:rsid w:val="00BD0349"/>
    <w:rsid w:val="00BD0A04"/>
    <w:rsid w:val="00BD1420"/>
    <w:rsid w:val="00BD1F7B"/>
    <w:rsid w:val="00BD3C5B"/>
    <w:rsid w:val="00BD3E46"/>
    <w:rsid w:val="00BD40DE"/>
    <w:rsid w:val="00BD4238"/>
    <w:rsid w:val="00BD4BD2"/>
    <w:rsid w:val="00BD4C5D"/>
    <w:rsid w:val="00BD54D4"/>
    <w:rsid w:val="00BD59AF"/>
    <w:rsid w:val="00BD5A32"/>
    <w:rsid w:val="00BD5F8B"/>
    <w:rsid w:val="00BD6610"/>
    <w:rsid w:val="00BD691C"/>
    <w:rsid w:val="00BD72BB"/>
    <w:rsid w:val="00BD779F"/>
    <w:rsid w:val="00BE0169"/>
    <w:rsid w:val="00BE051B"/>
    <w:rsid w:val="00BE06A4"/>
    <w:rsid w:val="00BE1017"/>
    <w:rsid w:val="00BE16C5"/>
    <w:rsid w:val="00BE19D2"/>
    <w:rsid w:val="00BE1B45"/>
    <w:rsid w:val="00BE1F11"/>
    <w:rsid w:val="00BE25F9"/>
    <w:rsid w:val="00BE3821"/>
    <w:rsid w:val="00BE4378"/>
    <w:rsid w:val="00BE4612"/>
    <w:rsid w:val="00BE46CA"/>
    <w:rsid w:val="00BE4801"/>
    <w:rsid w:val="00BE4C5B"/>
    <w:rsid w:val="00BE5091"/>
    <w:rsid w:val="00BE5E35"/>
    <w:rsid w:val="00BE609B"/>
    <w:rsid w:val="00BE6153"/>
    <w:rsid w:val="00BE6EAB"/>
    <w:rsid w:val="00BE7075"/>
    <w:rsid w:val="00BE73E9"/>
    <w:rsid w:val="00BE7B80"/>
    <w:rsid w:val="00BE7E06"/>
    <w:rsid w:val="00BF04F3"/>
    <w:rsid w:val="00BF071B"/>
    <w:rsid w:val="00BF113A"/>
    <w:rsid w:val="00BF1E35"/>
    <w:rsid w:val="00BF1F87"/>
    <w:rsid w:val="00BF2320"/>
    <w:rsid w:val="00BF29E7"/>
    <w:rsid w:val="00BF2F9F"/>
    <w:rsid w:val="00BF30B6"/>
    <w:rsid w:val="00BF3795"/>
    <w:rsid w:val="00BF41B5"/>
    <w:rsid w:val="00BF48DF"/>
    <w:rsid w:val="00BF4E8C"/>
    <w:rsid w:val="00BF4FD4"/>
    <w:rsid w:val="00BF565D"/>
    <w:rsid w:val="00BF69A4"/>
    <w:rsid w:val="00BF69E3"/>
    <w:rsid w:val="00BF6C56"/>
    <w:rsid w:val="00BF6D99"/>
    <w:rsid w:val="00BF6ECB"/>
    <w:rsid w:val="00BF795C"/>
    <w:rsid w:val="00BF7B9A"/>
    <w:rsid w:val="00C00037"/>
    <w:rsid w:val="00C00FBA"/>
    <w:rsid w:val="00C0115F"/>
    <w:rsid w:val="00C02576"/>
    <w:rsid w:val="00C02AA3"/>
    <w:rsid w:val="00C030AA"/>
    <w:rsid w:val="00C03103"/>
    <w:rsid w:val="00C032F8"/>
    <w:rsid w:val="00C0343F"/>
    <w:rsid w:val="00C03B5A"/>
    <w:rsid w:val="00C04293"/>
    <w:rsid w:val="00C055BA"/>
    <w:rsid w:val="00C06B1C"/>
    <w:rsid w:val="00C06F8C"/>
    <w:rsid w:val="00C06FAA"/>
    <w:rsid w:val="00C0702F"/>
    <w:rsid w:val="00C072F4"/>
    <w:rsid w:val="00C07973"/>
    <w:rsid w:val="00C10822"/>
    <w:rsid w:val="00C10CC9"/>
    <w:rsid w:val="00C112A9"/>
    <w:rsid w:val="00C119A9"/>
    <w:rsid w:val="00C11BDC"/>
    <w:rsid w:val="00C11C86"/>
    <w:rsid w:val="00C1234C"/>
    <w:rsid w:val="00C12DB2"/>
    <w:rsid w:val="00C13840"/>
    <w:rsid w:val="00C14109"/>
    <w:rsid w:val="00C142DD"/>
    <w:rsid w:val="00C14459"/>
    <w:rsid w:val="00C14CFF"/>
    <w:rsid w:val="00C156FC"/>
    <w:rsid w:val="00C15832"/>
    <w:rsid w:val="00C161D0"/>
    <w:rsid w:val="00C165E2"/>
    <w:rsid w:val="00C16747"/>
    <w:rsid w:val="00C175F7"/>
    <w:rsid w:val="00C176FA"/>
    <w:rsid w:val="00C17793"/>
    <w:rsid w:val="00C17A0C"/>
    <w:rsid w:val="00C20939"/>
    <w:rsid w:val="00C21F7C"/>
    <w:rsid w:val="00C2210D"/>
    <w:rsid w:val="00C228AA"/>
    <w:rsid w:val="00C22DF1"/>
    <w:rsid w:val="00C242EE"/>
    <w:rsid w:val="00C247FF"/>
    <w:rsid w:val="00C2547C"/>
    <w:rsid w:val="00C257C5"/>
    <w:rsid w:val="00C258BA"/>
    <w:rsid w:val="00C25C33"/>
    <w:rsid w:val="00C260E4"/>
    <w:rsid w:val="00C26CE6"/>
    <w:rsid w:val="00C26EF3"/>
    <w:rsid w:val="00C276E8"/>
    <w:rsid w:val="00C27833"/>
    <w:rsid w:val="00C27D9C"/>
    <w:rsid w:val="00C30232"/>
    <w:rsid w:val="00C30301"/>
    <w:rsid w:val="00C304A1"/>
    <w:rsid w:val="00C304AA"/>
    <w:rsid w:val="00C31151"/>
    <w:rsid w:val="00C32665"/>
    <w:rsid w:val="00C327AB"/>
    <w:rsid w:val="00C32D1F"/>
    <w:rsid w:val="00C336AA"/>
    <w:rsid w:val="00C33BCE"/>
    <w:rsid w:val="00C34FE0"/>
    <w:rsid w:val="00C355D5"/>
    <w:rsid w:val="00C35DA5"/>
    <w:rsid w:val="00C3616F"/>
    <w:rsid w:val="00C3633A"/>
    <w:rsid w:val="00C366DA"/>
    <w:rsid w:val="00C36BE5"/>
    <w:rsid w:val="00C36D1D"/>
    <w:rsid w:val="00C36F7E"/>
    <w:rsid w:val="00C37569"/>
    <w:rsid w:val="00C37926"/>
    <w:rsid w:val="00C379A8"/>
    <w:rsid w:val="00C37A4A"/>
    <w:rsid w:val="00C37C91"/>
    <w:rsid w:val="00C37DD2"/>
    <w:rsid w:val="00C4008E"/>
    <w:rsid w:val="00C40BA9"/>
    <w:rsid w:val="00C40DC7"/>
    <w:rsid w:val="00C40F96"/>
    <w:rsid w:val="00C41023"/>
    <w:rsid w:val="00C41417"/>
    <w:rsid w:val="00C42644"/>
    <w:rsid w:val="00C4273A"/>
    <w:rsid w:val="00C42A28"/>
    <w:rsid w:val="00C42D90"/>
    <w:rsid w:val="00C4452B"/>
    <w:rsid w:val="00C44BA9"/>
    <w:rsid w:val="00C456B6"/>
    <w:rsid w:val="00C46798"/>
    <w:rsid w:val="00C46EAE"/>
    <w:rsid w:val="00C4788F"/>
    <w:rsid w:val="00C50F12"/>
    <w:rsid w:val="00C5134C"/>
    <w:rsid w:val="00C5145A"/>
    <w:rsid w:val="00C51C0C"/>
    <w:rsid w:val="00C51D47"/>
    <w:rsid w:val="00C51EB0"/>
    <w:rsid w:val="00C5216E"/>
    <w:rsid w:val="00C53022"/>
    <w:rsid w:val="00C537AC"/>
    <w:rsid w:val="00C53ABE"/>
    <w:rsid w:val="00C53E2F"/>
    <w:rsid w:val="00C53E4E"/>
    <w:rsid w:val="00C54AE0"/>
    <w:rsid w:val="00C54E06"/>
    <w:rsid w:val="00C54EC8"/>
    <w:rsid w:val="00C550EB"/>
    <w:rsid w:val="00C552DE"/>
    <w:rsid w:val="00C55748"/>
    <w:rsid w:val="00C55FA9"/>
    <w:rsid w:val="00C560E3"/>
    <w:rsid w:val="00C56465"/>
    <w:rsid w:val="00C5690C"/>
    <w:rsid w:val="00C56C31"/>
    <w:rsid w:val="00C56DD8"/>
    <w:rsid w:val="00C56F26"/>
    <w:rsid w:val="00C57311"/>
    <w:rsid w:val="00C574A7"/>
    <w:rsid w:val="00C5790A"/>
    <w:rsid w:val="00C57B7E"/>
    <w:rsid w:val="00C61146"/>
    <w:rsid w:val="00C6124C"/>
    <w:rsid w:val="00C61318"/>
    <w:rsid w:val="00C619D8"/>
    <w:rsid w:val="00C61C9E"/>
    <w:rsid w:val="00C61E97"/>
    <w:rsid w:val="00C61F8A"/>
    <w:rsid w:val="00C62095"/>
    <w:rsid w:val="00C62A1C"/>
    <w:rsid w:val="00C63F17"/>
    <w:rsid w:val="00C640EF"/>
    <w:rsid w:val="00C65113"/>
    <w:rsid w:val="00C654F3"/>
    <w:rsid w:val="00C6570F"/>
    <w:rsid w:val="00C65E35"/>
    <w:rsid w:val="00C66318"/>
    <w:rsid w:val="00C6668F"/>
    <w:rsid w:val="00C66883"/>
    <w:rsid w:val="00C66F4A"/>
    <w:rsid w:val="00C6784F"/>
    <w:rsid w:val="00C67EC9"/>
    <w:rsid w:val="00C703F4"/>
    <w:rsid w:val="00C705BA"/>
    <w:rsid w:val="00C70CE4"/>
    <w:rsid w:val="00C71410"/>
    <w:rsid w:val="00C714CC"/>
    <w:rsid w:val="00C71581"/>
    <w:rsid w:val="00C73241"/>
    <w:rsid w:val="00C732B2"/>
    <w:rsid w:val="00C73A39"/>
    <w:rsid w:val="00C73DCC"/>
    <w:rsid w:val="00C7402F"/>
    <w:rsid w:val="00C74459"/>
    <w:rsid w:val="00C744EE"/>
    <w:rsid w:val="00C745E9"/>
    <w:rsid w:val="00C7479B"/>
    <w:rsid w:val="00C74D98"/>
    <w:rsid w:val="00C74FF4"/>
    <w:rsid w:val="00C751B4"/>
    <w:rsid w:val="00C75273"/>
    <w:rsid w:val="00C75508"/>
    <w:rsid w:val="00C7578F"/>
    <w:rsid w:val="00C75973"/>
    <w:rsid w:val="00C759ED"/>
    <w:rsid w:val="00C762E0"/>
    <w:rsid w:val="00C76907"/>
    <w:rsid w:val="00C76C5D"/>
    <w:rsid w:val="00C77079"/>
    <w:rsid w:val="00C77095"/>
    <w:rsid w:val="00C77777"/>
    <w:rsid w:val="00C779F9"/>
    <w:rsid w:val="00C77A9E"/>
    <w:rsid w:val="00C77B9C"/>
    <w:rsid w:val="00C8038A"/>
    <w:rsid w:val="00C816F2"/>
    <w:rsid w:val="00C81E74"/>
    <w:rsid w:val="00C81E98"/>
    <w:rsid w:val="00C81EB3"/>
    <w:rsid w:val="00C82253"/>
    <w:rsid w:val="00C829CB"/>
    <w:rsid w:val="00C83C73"/>
    <w:rsid w:val="00C845B0"/>
    <w:rsid w:val="00C84AA4"/>
    <w:rsid w:val="00C84D1E"/>
    <w:rsid w:val="00C84EF1"/>
    <w:rsid w:val="00C84FFB"/>
    <w:rsid w:val="00C857B3"/>
    <w:rsid w:val="00C858A0"/>
    <w:rsid w:val="00C85903"/>
    <w:rsid w:val="00C85C54"/>
    <w:rsid w:val="00C85EA1"/>
    <w:rsid w:val="00C861AE"/>
    <w:rsid w:val="00C861FF"/>
    <w:rsid w:val="00C865C4"/>
    <w:rsid w:val="00C866CB"/>
    <w:rsid w:val="00C86939"/>
    <w:rsid w:val="00C86F28"/>
    <w:rsid w:val="00C871BD"/>
    <w:rsid w:val="00C87A17"/>
    <w:rsid w:val="00C87BC3"/>
    <w:rsid w:val="00C87FD9"/>
    <w:rsid w:val="00C90125"/>
    <w:rsid w:val="00C903A4"/>
    <w:rsid w:val="00C912C5"/>
    <w:rsid w:val="00C915E0"/>
    <w:rsid w:val="00C91874"/>
    <w:rsid w:val="00C91BFB"/>
    <w:rsid w:val="00C91E23"/>
    <w:rsid w:val="00C9251E"/>
    <w:rsid w:val="00C928A7"/>
    <w:rsid w:val="00C92B48"/>
    <w:rsid w:val="00C93A39"/>
    <w:rsid w:val="00C93C9F"/>
    <w:rsid w:val="00C93DB9"/>
    <w:rsid w:val="00C940AB"/>
    <w:rsid w:val="00C94992"/>
    <w:rsid w:val="00C949E9"/>
    <w:rsid w:val="00C94D01"/>
    <w:rsid w:val="00C94E55"/>
    <w:rsid w:val="00C96A7F"/>
    <w:rsid w:val="00C97C05"/>
    <w:rsid w:val="00C97D28"/>
    <w:rsid w:val="00C97D47"/>
    <w:rsid w:val="00C97F91"/>
    <w:rsid w:val="00CA1AEB"/>
    <w:rsid w:val="00CA2B15"/>
    <w:rsid w:val="00CA32AA"/>
    <w:rsid w:val="00CA42F5"/>
    <w:rsid w:val="00CA45C0"/>
    <w:rsid w:val="00CA46C0"/>
    <w:rsid w:val="00CA4ABE"/>
    <w:rsid w:val="00CA4B6C"/>
    <w:rsid w:val="00CA4FA9"/>
    <w:rsid w:val="00CA500F"/>
    <w:rsid w:val="00CA50F1"/>
    <w:rsid w:val="00CA56F0"/>
    <w:rsid w:val="00CA577D"/>
    <w:rsid w:val="00CA63D8"/>
    <w:rsid w:val="00CA6646"/>
    <w:rsid w:val="00CA6863"/>
    <w:rsid w:val="00CA78CD"/>
    <w:rsid w:val="00CB0B0A"/>
    <w:rsid w:val="00CB0CDE"/>
    <w:rsid w:val="00CB0ED0"/>
    <w:rsid w:val="00CB14AB"/>
    <w:rsid w:val="00CB160E"/>
    <w:rsid w:val="00CB184E"/>
    <w:rsid w:val="00CB1BB5"/>
    <w:rsid w:val="00CB1FB2"/>
    <w:rsid w:val="00CB26E6"/>
    <w:rsid w:val="00CB2DE9"/>
    <w:rsid w:val="00CB2EA4"/>
    <w:rsid w:val="00CB31F2"/>
    <w:rsid w:val="00CB3248"/>
    <w:rsid w:val="00CB3A7D"/>
    <w:rsid w:val="00CB3B9F"/>
    <w:rsid w:val="00CB3BBE"/>
    <w:rsid w:val="00CB4012"/>
    <w:rsid w:val="00CB41AB"/>
    <w:rsid w:val="00CB4218"/>
    <w:rsid w:val="00CB453D"/>
    <w:rsid w:val="00CB4F67"/>
    <w:rsid w:val="00CB5B9A"/>
    <w:rsid w:val="00CB5CDF"/>
    <w:rsid w:val="00CB6EA3"/>
    <w:rsid w:val="00CB7472"/>
    <w:rsid w:val="00CB78FB"/>
    <w:rsid w:val="00CB7F66"/>
    <w:rsid w:val="00CC018F"/>
    <w:rsid w:val="00CC0210"/>
    <w:rsid w:val="00CC0481"/>
    <w:rsid w:val="00CC08E5"/>
    <w:rsid w:val="00CC0A51"/>
    <w:rsid w:val="00CC103F"/>
    <w:rsid w:val="00CC1738"/>
    <w:rsid w:val="00CC2402"/>
    <w:rsid w:val="00CC28A2"/>
    <w:rsid w:val="00CC295A"/>
    <w:rsid w:val="00CC2AAF"/>
    <w:rsid w:val="00CC2C60"/>
    <w:rsid w:val="00CC2E7D"/>
    <w:rsid w:val="00CC409F"/>
    <w:rsid w:val="00CC46D5"/>
    <w:rsid w:val="00CC4862"/>
    <w:rsid w:val="00CC4A17"/>
    <w:rsid w:val="00CC5208"/>
    <w:rsid w:val="00CC5816"/>
    <w:rsid w:val="00CC5BFD"/>
    <w:rsid w:val="00CC61F7"/>
    <w:rsid w:val="00CC71F5"/>
    <w:rsid w:val="00CC729D"/>
    <w:rsid w:val="00CC759C"/>
    <w:rsid w:val="00CC7962"/>
    <w:rsid w:val="00CC7AF3"/>
    <w:rsid w:val="00CC7DBB"/>
    <w:rsid w:val="00CD00C0"/>
    <w:rsid w:val="00CD03F3"/>
    <w:rsid w:val="00CD0781"/>
    <w:rsid w:val="00CD0B0F"/>
    <w:rsid w:val="00CD0EA3"/>
    <w:rsid w:val="00CD11DA"/>
    <w:rsid w:val="00CD1537"/>
    <w:rsid w:val="00CD221D"/>
    <w:rsid w:val="00CD2328"/>
    <w:rsid w:val="00CD282A"/>
    <w:rsid w:val="00CD29C2"/>
    <w:rsid w:val="00CD3526"/>
    <w:rsid w:val="00CD3569"/>
    <w:rsid w:val="00CD3A4C"/>
    <w:rsid w:val="00CD49D8"/>
    <w:rsid w:val="00CD543C"/>
    <w:rsid w:val="00CD5E9E"/>
    <w:rsid w:val="00CD6A24"/>
    <w:rsid w:val="00CD6E4C"/>
    <w:rsid w:val="00CD6E65"/>
    <w:rsid w:val="00CD7205"/>
    <w:rsid w:val="00CD776D"/>
    <w:rsid w:val="00CD7C5D"/>
    <w:rsid w:val="00CE0306"/>
    <w:rsid w:val="00CE0733"/>
    <w:rsid w:val="00CE0B86"/>
    <w:rsid w:val="00CE0D34"/>
    <w:rsid w:val="00CE1184"/>
    <w:rsid w:val="00CE13EC"/>
    <w:rsid w:val="00CE1A76"/>
    <w:rsid w:val="00CE1B7F"/>
    <w:rsid w:val="00CE1D3A"/>
    <w:rsid w:val="00CE2891"/>
    <w:rsid w:val="00CE29E9"/>
    <w:rsid w:val="00CE2B21"/>
    <w:rsid w:val="00CE2DF2"/>
    <w:rsid w:val="00CE3169"/>
    <w:rsid w:val="00CE32BF"/>
    <w:rsid w:val="00CE3871"/>
    <w:rsid w:val="00CE3BAC"/>
    <w:rsid w:val="00CE426A"/>
    <w:rsid w:val="00CE489A"/>
    <w:rsid w:val="00CE5449"/>
    <w:rsid w:val="00CE5E4A"/>
    <w:rsid w:val="00CE6153"/>
    <w:rsid w:val="00CE6936"/>
    <w:rsid w:val="00CE6F99"/>
    <w:rsid w:val="00CE7AFF"/>
    <w:rsid w:val="00CE7BEE"/>
    <w:rsid w:val="00CF0070"/>
    <w:rsid w:val="00CF0233"/>
    <w:rsid w:val="00CF09B4"/>
    <w:rsid w:val="00CF0B6B"/>
    <w:rsid w:val="00CF0CDA"/>
    <w:rsid w:val="00CF1593"/>
    <w:rsid w:val="00CF178B"/>
    <w:rsid w:val="00CF18C6"/>
    <w:rsid w:val="00CF1AD3"/>
    <w:rsid w:val="00CF20EE"/>
    <w:rsid w:val="00CF212A"/>
    <w:rsid w:val="00CF29D3"/>
    <w:rsid w:val="00CF2CB5"/>
    <w:rsid w:val="00CF3201"/>
    <w:rsid w:val="00CF35D1"/>
    <w:rsid w:val="00CF5226"/>
    <w:rsid w:val="00CF5479"/>
    <w:rsid w:val="00CF600A"/>
    <w:rsid w:val="00CF6450"/>
    <w:rsid w:val="00CF691F"/>
    <w:rsid w:val="00CF6D96"/>
    <w:rsid w:val="00CF7BD8"/>
    <w:rsid w:val="00D00380"/>
    <w:rsid w:val="00D006F6"/>
    <w:rsid w:val="00D012E7"/>
    <w:rsid w:val="00D01D45"/>
    <w:rsid w:val="00D0275D"/>
    <w:rsid w:val="00D02E98"/>
    <w:rsid w:val="00D03375"/>
    <w:rsid w:val="00D03A76"/>
    <w:rsid w:val="00D048C4"/>
    <w:rsid w:val="00D053FB"/>
    <w:rsid w:val="00D05A10"/>
    <w:rsid w:val="00D06A2F"/>
    <w:rsid w:val="00D072D6"/>
    <w:rsid w:val="00D072E1"/>
    <w:rsid w:val="00D075ED"/>
    <w:rsid w:val="00D07926"/>
    <w:rsid w:val="00D07B35"/>
    <w:rsid w:val="00D07FF2"/>
    <w:rsid w:val="00D10602"/>
    <w:rsid w:val="00D10714"/>
    <w:rsid w:val="00D10A2D"/>
    <w:rsid w:val="00D116F6"/>
    <w:rsid w:val="00D11A51"/>
    <w:rsid w:val="00D124F5"/>
    <w:rsid w:val="00D12D3D"/>
    <w:rsid w:val="00D13172"/>
    <w:rsid w:val="00D1473B"/>
    <w:rsid w:val="00D14D13"/>
    <w:rsid w:val="00D16FC7"/>
    <w:rsid w:val="00D17FA8"/>
    <w:rsid w:val="00D202A4"/>
    <w:rsid w:val="00D205D7"/>
    <w:rsid w:val="00D20639"/>
    <w:rsid w:val="00D208D2"/>
    <w:rsid w:val="00D20929"/>
    <w:rsid w:val="00D20FEC"/>
    <w:rsid w:val="00D2123D"/>
    <w:rsid w:val="00D215AE"/>
    <w:rsid w:val="00D21C64"/>
    <w:rsid w:val="00D21D50"/>
    <w:rsid w:val="00D2223A"/>
    <w:rsid w:val="00D2226A"/>
    <w:rsid w:val="00D22791"/>
    <w:rsid w:val="00D22AA4"/>
    <w:rsid w:val="00D22AF2"/>
    <w:rsid w:val="00D22F6B"/>
    <w:rsid w:val="00D23694"/>
    <w:rsid w:val="00D23C5F"/>
    <w:rsid w:val="00D23E15"/>
    <w:rsid w:val="00D243EF"/>
    <w:rsid w:val="00D25443"/>
    <w:rsid w:val="00D255CA"/>
    <w:rsid w:val="00D25ACA"/>
    <w:rsid w:val="00D25FE6"/>
    <w:rsid w:val="00D26887"/>
    <w:rsid w:val="00D26991"/>
    <w:rsid w:val="00D26BAB"/>
    <w:rsid w:val="00D26BBE"/>
    <w:rsid w:val="00D27842"/>
    <w:rsid w:val="00D278F9"/>
    <w:rsid w:val="00D27D9C"/>
    <w:rsid w:val="00D27F22"/>
    <w:rsid w:val="00D307FD"/>
    <w:rsid w:val="00D30EEB"/>
    <w:rsid w:val="00D317B0"/>
    <w:rsid w:val="00D31BA3"/>
    <w:rsid w:val="00D31CD0"/>
    <w:rsid w:val="00D32C64"/>
    <w:rsid w:val="00D32DB8"/>
    <w:rsid w:val="00D33314"/>
    <w:rsid w:val="00D36137"/>
    <w:rsid w:val="00D36569"/>
    <w:rsid w:val="00D36D42"/>
    <w:rsid w:val="00D36EFB"/>
    <w:rsid w:val="00D36F61"/>
    <w:rsid w:val="00D370C6"/>
    <w:rsid w:val="00D37434"/>
    <w:rsid w:val="00D37BA1"/>
    <w:rsid w:val="00D406B6"/>
    <w:rsid w:val="00D40861"/>
    <w:rsid w:val="00D40FBC"/>
    <w:rsid w:val="00D412D8"/>
    <w:rsid w:val="00D413C4"/>
    <w:rsid w:val="00D4225E"/>
    <w:rsid w:val="00D42848"/>
    <w:rsid w:val="00D42ACD"/>
    <w:rsid w:val="00D43DD7"/>
    <w:rsid w:val="00D44501"/>
    <w:rsid w:val="00D44648"/>
    <w:rsid w:val="00D44CC5"/>
    <w:rsid w:val="00D45025"/>
    <w:rsid w:val="00D45809"/>
    <w:rsid w:val="00D45A55"/>
    <w:rsid w:val="00D461FE"/>
    <w:rsid w:val="00D464F6"/>
    <w:rsid w:val="00D4745E"/>
    <w:rsid w:val="00D47735"/>
    <w:rsid w:val="00D505AA"/>
    <w:rsid w:val="00D50B7E"/>
    <w:rsid w:val="00D51385"/>
    <w:rsid w:val="00D514A8"/>
    <w:rsid w:val="00D515A3"/>
    <w:rsid w:val="00D51772"/>
    <w:rsid w:val="00D51919"/>
    <w:rsid w:val="00D521F7"/>
    <w:rsid w:val="00D52E25"/>
    <w:rsid w:val="00D531BE"/>
    <w:rsid w:val="00D5353A"/>
    <w:rsid w:val="00D540C8"/>
    <w:rsid w:val="00D54812"/>
    <w:rsid w:val="00D54C23"/>
    <w:rsid w:val="00D55451"/>
    <w:rsid w:val="00D5553B"/>
    <w:rsid w:val="00D55A38"/>
    <w:rsid w:val="00D56579"/>
    <w:rsid w:val="00D566D8"/>
    <w:rsid w:val="00D57231"/>
    <w:rsid w:val="00D57724"/>
    <w:rsid w:val="00D60066"/>
    <w:rsid w:val="00D60221"/>
    <w:rsid w:val="00D60B26"/>
    <w:rsid w:val="00D60BD0"/>
    <w:rsid w:val="00D60DE6"/>
    <w:rsid w:val="00D61092"/>
    <w:rsid w:val="00D611E1"/>
    <w:rsid w:val="00D61449"/>
    <w:rsid w:val="00D61ABF"/>
    <w:rsid w:val="00D61AF9"/>
    <w:rsid w:val="00D62524"/>
    <w:rsid w:val="00D62526"/>
    <w:rsid w:val="00D62584"/>
    <w:rsid w:val="00D62DC2"/>
    <w:rsid w:val="00D635E0"/>
    <w:rsid w:val="00D637A1"/>
    <w:rsid w:val="00D637BA"/>
    <w:rsid w:val="00D6390A"/>
    <w:rsid w:val="00D63B3A"/>
    <w:rsid w:val="00D63DC1"/>
    <w:rsid w:val="00D64160"/>
    <w:rsid w:val="00D642D6"/>
    <w:rsid w:val="00D64A16"/>
    <w:rsid w:val="00D6536D"/>
    <w:rsid w:val="00D653A9"/>
    <w:rsid w:val="00D65899"/>
    <w:rsid w:val="00D65D6F"/>
    <w:rsid w:val="00D662AA"/>
    <w:rsid w:val="00D66A8A"/>
    <w:rsid w:val="00D66F19"/>
    <w:rsid w:val="00D706AF"/>
    <w:rsid w:val="00D70938"/>
    <w:rsid w:val="00D71479"/>
    <w:rsid w:val="00D71576"/>
    <w:rsid w:val="00D716C2"/>
    <w:rsid w:val="00D71976"/>
    <w:rsid w:val="00D72432"/>
    <w:rsid w:val="00D724EE"/>
    <w:rsid w:val="00D727F0"/>
    <w:rsid w:val="00D72B47"/>
    <w:rsid w:val="00D72C4D"/>
    <w:rsid w:val="00D72EDD"/>
    <w:rsid w:val="00D73111"/>
    <w:rsid w:val="00D731D8"/>
    <w:rsid w:val="00D733CB"/>
    <w:rsid w:val="00D733F0"/>
    <w:rsid w:val="00D73A81"/>
    <w:rsid w:val="00D73B96"/>
    <w:rsid w:val="00D74EDD"/>
    <w:rsid w:val="00D75303"/>
    <w:rsid w:val="00D760E5"/>
    <w:rsid w:val="00D76B86"/>
    <w:rsid w:val="00D77155"/>
    <w:rsid w:val="00D77599"/>
    <w:rsid w:val="00D77F20"/>
    <w:rsid w:val="00D804E9"/>
    <w:rsid w:val="00D8113C"/>
    <w:rsid w:val="00D81464"/>
    <w:rsid w:val="00D81B5E"/>
    <w:rsid w:val="00D8311D"/>
    <w:rsid w:val="00D83180"/>
    <w:rsid w:val="00D8357E"/>
    <w:rsid w:val="00D83998"/>
    <w:rsid w:val="00D83C48"/>
    <w:rsid w:val="00D83ED6"/>
    <w:rsid w:val="00D83F80"/>
    <w:rsid w:val="00D840E4"/>
    <w:rsid w:val="00D84125"/>
    <w:rsid w:val="00D843D0"/>
    <w:rsid w:val="00D84B35"/>
    <w:rsid w:val="00D84EA0"/>
    <w:rsid w:val="00D84EE1"/>
    <w:rsid w:val="00D85097"/>
    <w:rsid w:val="00D8572E"/>
    <w:rsid w:val="00D857A8"/>
    <w:rsid w:val="00D85E7C"/>
    <w:rsid w:val="00D86175"/>
    <w:rsid w:val="00D8644D"/>
    <w:rsid w:val="00D866D7"/>
    <w:rsid w:val="00D86C34"/>
    <w:rsid w:val="00D874FD"/>
    <w:rsid w:val="00D87571"/>
    <w:rsid w:val="00D92DB2"/>
    <w:rsid w:val="00D935EC"/>
    <w:rsid w:val="00D93841"/>
    <w:rsid w:val="00D93A6C"/>
    <w:rsid w:val="00D93C28"/>
    <w:rsid w:val="00D93C84"/>
    <w:rsid w:val="00D93F11"/>
    <w:rsid w:val="00D93FDC"/>
    <w:rsid w:val="00D941EA"/>
    <w:rsid w:val="00D9478E"/>
    <w:rsid w:val="00D94C7D"/>
    <w:rsid w:val="00D94D27"/>
    <w:rsid w:val="00D94F28"/>
    <w:rsid w:val="00D95073"/>
    <w:rsid w:val="00D952D5"/>
    <w:rsid w:val="00D9586D"/>
    <w:rsid w:val="00D95ACB"/>
    <w:rsid w:val="00D95EBC"/>
    <w:rsid w:val="00D96434"/>
    <w:rsid w:val="00D96995"/>
    <w:rsid w:val="00D96E7C"/>
    <w:rsid w:val="00D97785"/>
    <w:rsid w:val="00D97982"/>
    <w:rsid w:val="00DA0200"/>
    <w:rsid w:val="00DA036F"/>
    <w:rsid w:val="00DA0D7C"/>
    <w:rsid w:val="00DA0F42"/>
    <w:rsid w:val="00DA1194"/>
    <w:rsid w:val="00DA1E3E"/>
    <w:rsid w:val="00DA1F42"/>
    <w:rsid w:val="00DA2131"/>
    <w:rsid w:val="00DA2D7D"/>
    <w:rsid w:val="00DA2D97"/>
    <w:rsid w:val="00DA3F56"/>
    <w:rsid w:val="00DA4050"/>
    <w:rsid w:val="00DA4E97"/>
    <w:rsid w:val="00DA513D"/>
    <w:rsid w:val="00DA58B7"/>
    <w:rsid w:val="00DA5DAA"/>
    <w:rsid w:val="00DA5E88"/>
    <w:rsid w:val="00DA64FE"/>
    <w:rsid w:val="00DA68A9"/>
    <w:rsid w:val="00DA6E46"/>
    <w:rsid w:val="00DA6FBB"/>
    <w:rsid w:val="00DA7525"/>
    <w:rsid w:val="00DA7EC6"/>
    <w:rsid w:val="00DA7F97"/>
    <w:rsid w:val="00DB019F"/>
    <w:rsid w:val="00DB1949"/>
    <w:rsid w:val="00DB1BDF"/>
    <w:rsid w:val="00DB1BF2"/>
    <w:rsid w:val="00DB2FE1"/>
    <w:rsid w:val="00DB3182"/>
    <w:rsid w:val="00DB33A9"/>
    <w:rsid w:val="00DB37AB"/>
    <w:rsid w:val="00DB3942"/>
    <w:rsid w:val="00DB3C86"/>
    <w:rsid w:val="00DB4196"/>
    <w:rsid w:val="00DB45B8"/>
    <w:rsid w:val="00DB4852"/>
    <w:rsid w:val="00DB4857"/>
    <w:rsid w:val="00DB53CF"/>
    <w:rsid w:val="00DB5AE0"/>
    <w:rsid w:val="00DB6105"/>
    <w:rsid w:val="00DB61F1"/>
    <w:rsid w:val="00DB634B"/>
    <w:rsid w:val="00DB6B32"/>
    <w:rsid w:val="00DB7681"/>
    <w:rsid w:val="00DB76CF"/>
    <w:rsid w:val="00DB7729"/>
    <w:rsid w:val="00DB794B"/>
    <w:rsid w:val="00DB7BD4"/>
    <w:rsid w:val="00DC0794"/>
    <w:rsid w:val="00DC14A9"/>
    <w:rsid w:val="00DC190F"/>
    <w:rsid w:val="00DC1980"/>
    <w:rsid w:val="00DC1998"/>
    <w:rsid w:val="00DC1A60"/>
    <w:rsid w:val="00DC21E0"/>
    <w:rsid w:val="00DC2216"/>
    <w:rsid w:val="00DC2823"/>
    <w:rsid w:val="00DC2E96"/>
    <w:rsid w:val="00DC2F14"/>
    <w:rsid w:val="00DC3140"/>
    <w:rsid w:val="00DC3AC7"/>
    <w:rsid w:val="00DC4162"/>
    <w:rsid w:val="00DC435A"/>
    <w:rsid w:val="00DC4D48"/>
    <w:rsid w:val="00DC50D3"/>
    <w:rsid w:val="00DC5321"/>
    <w:rsid w:val="00DC5F38"/>
    <w:rsid w:val="00DC61EE"/>
    <w:rsid w:val="00DC6221"/>
    <w:rsid w:val="00DC664A"/>
    <w:rsid w:val="00DC68BF"/>
    <w:rsid w:val="00DC68F9"/>
    <w:rsid w:val="00DC7C6F"/>
    <w:rsid w:val="00DC7D87"/>
    <w:rsid w:val="00DD083B"/>
    <w:rsid w:val="00DD1A4D"/>
    <w:rsid w:val="00DD1BB2"/>
    <w:rsid w:val="00DD205E"/>
    <w:rsid w:val="00DD231A"/>
    <w:rsid w:val="00DD288D"/>
    <w:rsid w:val="00DD3004"/>
    <w:rsid w:val="00DD31D1"/>
    <w:rsid w:val="00DD3C2D"/>
    <w:rsid w:val="00DD3D0D"/>
    <w:rsid w:val="00DD47FD"/>
    <w:rsid w:val="00DD49CC"/>
    <w:rsid w:val="00DD4BDE"/>
    <w:rsid w:val="00DD4C33"/>
    <w:rsid w:val="00DD4F14"/>
    <w:rsid w:val="00DD5874"/>
    <w:rsid w:val="00DD5F2D"/>
    <w:rsid w:val="00DD6BEE"/>
    <w:rsid w:val="00DD6CB2"/>
    <w:rsid w:val="00DD6EBA"/>
    <w:rsid w:val="00DD6F6B"/>
    <w:rsid w:val="00DD72BF"/>
    <w:rsid w:val="00DD748E"/>
    <w:rsid w:val="00DD754C"/>
    <w:rsid w:val="00DE053C"/>
    <w:rsid w:val="00DE16A2"/>
    <w:rsid w:val="00DE1E95"/>
    <w:rsid w:val="00DE24CC"/>
    <w:rsid w:val="00DE310A"/>
    <w:rsid w:val="00DE34C4"/>
    <w:rsid w:val="00DE3906"/>
    <w:rsid w:val="00DE3B15"/>
    <w:rsid w:val="00DE3CC3"/>
    <w:rsid w:val="00DE3CEC"/>
    <w:rsid w:val="00DE40DB"/>
    <w:rsid w:val="00DE4238"/>
    <w:rsid w:val="00DE4E98"/>
    <w:rsid w:val="00DE5352"/>
    <w:rsid w:val="00DE56DD"/>
    <w:rsid w:val="00DE58E7"/>
    <w:rsid w:val="00DE5FD8"/>
    <w:rsid w:val="00DE6480"/>
    <w:rsid w:val="00DE6CA5"/>
    <w:rsid w:val="00DE74A6"/>
    <w:rsid w:val="00DE7731"/>
    <w:rsid w:val="00DE7B50"/>
    <w:rsid w:val="00DF03A5"/>
    <w:rsid w:val="00DF0BEF"/>
    <w:rsid w:val="00DF1493"/>
    <w:rsid w:val="00DF1CE0"/>
    <w:rsid w:val="00DF2312"/>
    <w:rsid w:val="00DF2580"/>
    <w:rsid w:val="00DF2F49"/>
    <w:rsid w:val="00DF3763"/>
    <w:rsid w:val="00DF42BD"/>
    <w:rsid w:val="00DF440F"/>
    <w:rsid w:val="00DF49BE"/>
    <w:rsid w:val="00DF4CAA"/>
    <w:rsid w:val="00DF56CF"/>
    <w:rsid w:val="00DF5B12"/>
    <w:rsid w:val="00DF5B69"/>
    <w:rsid w:val="00DF5D42"/>
    <w:rsid w:val="00DF5E11"/>
    <w:rsid w:val="00DF6C66"/>
    <w:rsid w:val="00DF6E40"/>
    <w:rsid w:val="00DF7539"/>
    <w:rsid w:val="00DF7890"/>
    <w:rsid w:val="00DF79E4"/>
    <w:rsid w:val="00DF7F87"/>
    <w:rsid w:val="00E005CF"/>
    <w:rsid w:val="00E01163"/>
    <w:rsid w:val="00E011D6"/>
    <w:rsid w:val="00E018F8"/>
    <w:rsid w:val="00E01A9A"/>
    <w:rsid w:val="00E029D4"/>
    <w:rsid w:val="00E02B50"/>
    <w:rsid w:val="00E02F22"/>
    <w:rsid w:val="00E03014"/>
    <w:rsid w:val="00E0377B"/>
    <w:rsid w:val="00E03EB0"/>
    <w:rsid w:val="00E0444B"/>
    <w:rsid w:val="00E049BA"/>
    <w:rsid w:val="00E04B84"/>
    <w:rsid w:val="00E04C8D"/>
    <w:rsid w:val="00E05438"/>
    <w:rsid w:val="00E05983"/>
    <w:rsid w:val="00E05DBF"/>
    <w:rsid w:val="00E05FCE"/>
    <w:rsid w:val="00E060A9"/>
    <w:rsid w:val="00E063CE"/>
    <w:rsid w:val="00E07025"/>
    <w:rsid w:val="00E070D7"/>
    <w:rsid w:val="00E07226"/>
    <w:rsid w:val="00E07833"/>
    <w:rsid w:val="00E07DFC"/>
    <w:rsid w:val="00E07EAC"/>
    <w:rsid w:val="00E10287"/>
    <w:rsid w:val="00E10361"/>
    <w:rsid w:val="00E10892"/>
    <w:rsid w:val="00E10AC0"/>
    <w:rsid w:val="00E10C2A"/>
    <w:rsid w:val="00E110F3"/>
    <w:rsid w:val="00E12325"/>
    <w:rsid w:val="00E129B8"/>
    <w:rsid w:val="00E12B51"/>
    <w:rsid w:val="00E132BF"/>
    <w:rsid w:val="00E132FE"/>
    <w:rsid w:val="00E13580"/>
    <w:rsid w:val="00E136AF"/>
    <w:rsid w:val="00E13DF2"/>
    <w:rsid w:val="00E13F85"/>
    <w:rsid w:val="00E13F90"/>
    <w:rsid w:val="00E1413D"/>
    <w:rsid w:val="00E14BD2"/>
    <w:rsid w:val="00E15947"/>
    <w:rsid w:val="00E15BE1"/>
    <w:rsid w:val="00E16B0A"/>
    <w:rsid w:val="00E1735B"/>
    <w:rsid w:val="00E204A4"/>
    <w:rsid w:val="00E20589"/>
    <w:rsid w:val="00E21025"/>
    <w:rsid w:val="00E210CF"/>
    <w:rsid w:val="00E21986"/>
    <w:rsid w:val="00E220DC"/>
    <w:rsid w:val="00E22BC8"/>
    <w:rsid w:val="00E22EA2"/>
    <w:rsid w:val="00E23053"/>
    <w:rsid w:val="00E237A6"/>
    <w:rsid w:val="00E23AE9"/>
    <w:rsid w:val="00E242CA"/>
    <w:rsid w:val="00E2472B"/>
    <w:rsid w:val="00E24BF7"/>
    <w:rsid w:val="00E2555C"/>
    <w:rsid w:val="00E262D1"/>
    <w:rsid w:val="00E271F5"/>
    <w:rsid w:val="00E27378"/>
    <w:rsid w:val="00E27483"/>
    <w:rsid w:val="00E277B9"/>
    <w:rsid w:val="00E27B5D"/>
    <w:rsid w:val="00E27CD6"/>
    <w:rsid w:val="00E27F0D"/>
    <w:rsid w:val="00E300FB"/>
    <w:rsid w:val="00E302F6"/>
    <w:rsid w:val="00E31612"/>
    <w:rsid w:val="00E321D4"/>
    <w:rsid w:val="00E32400"/>
    <w:rsid w:val="00E326CD"/>
    <w:rsid w:val="00E32EDC"/>
    <w:rsid w:val="00E33365"/>
    <w:rsid w:val="00E334A3"/>
    <w:rsid w:val="00E33DAD"/>
    <w:rsid w:val="00E3471B"/>
    <w:rsid w:val="00E34912"/>
    <w:rsid w:val="00E349DC"/>
    <w:rsid w:val="00E34CDC"/>
    <w:rsid w:val="00E350A0"/>
    <w:rsid w:val="00E352AC"/>
    <w:rsid w:val="00E35B73"/>
    <w:rsid w:val="00E35BE2"/>
    <w:rsid w:val="00E3611F"/>
    <w:rsid w:val="00E37784"/>
    <w:rsid w:val="00E37DF4"/>
    <w:rsid w:val="00E37F08"/>
    <w:rsid w:val="00E401BE"/>
    <w:rsid w:val="00E4030D"/>
    <w:rsid w:val="00E40521"/>
    <w:rsid w:val="00E40993"/>
    <w:rsid w:val="00E409A7"/>
    <w:rsid w:val="00E409FD"/>
    <w:rsid w:val="00E4110D"/>
    <w:rsid w:val="00E41847"/>
    <w:rsid w:val="00E41942"/>
    <w:rsid w:val="00E4203D"/>
    <w:rsid w:val="00E42B3F"/>
    <w:rsid w:val="00E44021"/>
    <w:rsid w:val="00E447DE"/>
    <w:rsid w:val="00E448D2"/>
    <w:rsid w:val="00E44AC1"/>
    <w:rsid w:val="00E44E3C"/>
    <w:rsid w:val="00E45363"/>
    <w:rsid w:val="00E458B5"/>
    <w:rsid w:val="00E45A54"/>
    <w:rsid w:val="00E45F77"/>
    <w:rsid w:val="00E463D4"/>
    <w:rsid w:val="00E464DB"/>
    <w:rsid w:val="00E47332"/>
    <w:rsid w:val="00E47627"/>
    <w:rsid w:val="00E47B2A"/>
    <w:rsid w:val="00E50480"/>
    <w:rsid w:val="00E5059A"/>
    <w:rsid w:val="00E5080D"/>
    <w:rsid w:val="00E50F06"/>
    <w:rsid w:val="00E50F25"/>
    <w:rsid w:val="00E50F5A"/>
    <w:rsid w:val="00E51B52"/>
    <w:rsid w:val="00E52066"/>
    <w:rsid w:val="00E521CC"/>
    <w:rsid w:val="00E5247B"/>
    <w:rsid w:val="00E52871"/>
    <w:rsid w:val="00E52FDE"/>
    <w:rsid w:val="00E53490"/>
    <w:rsid w:val="00E53815"/>
    <w:rsid w:val="00E54D3F"/>
    <w:rsid w:val="00E55AF2"/>
    <w:rsid w:val="00E55C77"/>
    <w:rsid w:val="00E5688F"/>
    <w:rsid w:val="00E57D80"/>
    <w:rsid w:val="00E57E13"/>
    <w:rsid w:val="00E57F6B"/>
    <w:rsid w:val="00E60DE1"/>
    <w:rsid w:val="00E62385"/>
    <w:rsid w:val="00E6295E"/>
    <w:rsid w:val="00E62A8B"/>
    <w:rsid w:val="00E62C57"/>
    <w:rsid w:val="00E62F63"/>
    <w:rsid w:val="00E6352B"/>
    <w:rsid w:val="00E637E3"/>
    <w:rsid w:val="00E643A9"/>
    <w:rsid w:val="00E648E7"/>
    <w:rsid w:val="00E64E2D"/>
    <w:rsid w:val="00E652DA"/>
    <w:rsid w:val="00E66A32"/>
    <w:rsid w:val="00E66B48"/>
    <w:rsid w:val="00E7014F"/>
    <w:rsid w:val="00E7098A"/>
    <w:rsid w:val="00E70DD9"/>
    <w:rsid w:val="00E70E65"/>
    <w:rsid w:val="00E70FE4"/>
    <w:rsid w:val="00E71558"/>
    <w:rsid w:val="00E71AFE"/>
    <w:rsid w:val="00E71E37"/>
    <w:rsid w:val="00E71EED"/>
    <w:rsid w:val="00E728C6"/>
    <w:rsid w:val="00E73BC5"/>
    <w:rsid w:val="00E73DCE"/>
    <w:rsid w:val="00E73E5A"/>
    <w:rsid w:val="00E744D5"/>
    <w:rsid w:val="00E74956"/>
    <w:rsid w:val="00E74A8D"/>
    <w:rsid w:val="00E74ACB"/>
    <w:rsid w:val="00E74D9F"/>
    <w:rsid w:val="00E757F5"/>
    <w:rsid w:val="00E75A4A"/>
    <w:rsid w:val="00E76672"/>
    <w:rsid w:val="00E76EED"/>
    <w:rsid w:val="00E77092"/>
    <w:rsid w:val="00E771EB"/>
    <w:rsid w:val="00E77519"/>
    <w:rsid w:val="00E77752"/>
    <w:rsid w:val="00E80074"/>
    <w:rsid w:val="00E80851"/>
    <w:rsid w:val="00E80968"/>
    <w:rsid w:val="00E80C8D"/>
    <w:rsid w:val="00E817E8"/>
    <w:rsid w:val="00E81E63"/>
    <w:rsid w:val="00E82B48"/>
    <w:rsid w:val="00E83066"/>
    <w:rsid w:val="00E83384"/>
    <w:rsid w:val="00E83C1B"/>
    <w:rsid w:val="00E842D6"/>
    <w:rsid w:val="00E84ACC"/>
    <w:rsid w:val="00E84CD2"/>
    <w:rsid w:val="00E85380"/>
    <w:rsid w:val="00E85531"/>
    <w:rsid w:val="00E856E5"/>
    <w:rsid w:val="00E85791"/>
    <w:rsid w:val="00E86377"/>
    <w:rsid w:val="00E8709F"/>
    <w:rsid w:val="00E87371"/>
    <w:rsid w:val="00E875BA"/>
    <w:rsid w:val="00E9014F"/>
    <w:rsid w:val="00E90375"/>
    <w:rsid w:val="00E90543"/>
    <w:rsid w:val="00E906EF"/>
    <w:rsid w:val="00E907A1"/>
    <w:rsid w:val="00E90808"/>
    <w:rsid w:val="00E91204"/>
    <w:rsid w:val="00E9153E"/>
    <w:rsid w:val="00E9185F"/>
    <w:rsid w:val="00E919E1"/>
    <w:rsid w:val="00E91AC4"/>
    <w:rsid w:val="00E91E24"/>
    <w:rsid w:val="00E9214D"/>
    <w:rsid w:val="00E92510"/>
    <w:rsid w:val="00E927F7"/>
    <w:rsid w:val="00E92B5B"/>
    <w:rsid w:val="00E92C1D"/>
    <w:rsid w:val="00E92CC2"/>
    <w:rsid w:val="00E92D1D"/>
    <w:rsid w:val="00E9356B"/>
    <w:rsid w:val="00E93735"/>
    <w:rsid w:val="00E93D29"/>
    <w:rsid w:val="00E93DC8"/>
    <w:rsid w:val="00E94558"/>
    <w:rsid w:val="00E949BD"/>
    <w:rsid w:val="00E953D8"/>
    <w:rsid w:val="00E955C8"/>
    <w:rsid w:val="00E95656"/>
    <w:rsid w:val="00E95C89"/>
    <w:rsid w:val="00E9616B"/>
    <w:rsid w:val="00E9628A"/>
    <w:rsid w:val="00E967C2"/>
    <w:rsid w:val="00E97876"/>
    <w:rsid w:val="00E97FE1"/>
    <w:rsid w:val="00EA012F"/>
    <w:rsid w:val="00EA0330"/>
    <w:rsid w:val="00EA0660"/>
    <w:rsid w:val="00EA0BC5"/>
    <w:rsid w:val="00EA1395"/>
    <w:rsid w:val="00EA2CDF"/>
    <w:rsid w:val="00EA32B3"/>
    <w:rsid w:val="00EA32C1"/>
    <w:rsid w:val="00EA36D3"/>
    <w:rsid w:val="00EA3B4B"/>
    <w:rsid w:val="00EA3B6F"/>
    <w:rsid w:val="00EA4745"/>
    <w:rsid w:val="00EA582D"/>
    <w:rsid w:val="00EA594B"/>
    <w:rsid w:val="00EA5EE9"/>
    <w:rsid w:val="00EA5F18"/>
    <w:rsid w:val="00EA60D8"/>
    <w:rsid w:val="00EA6295"/>
    <w:rsid w:val="00EA7007"/>
    <w:rsid w:val="00EA763D"/>
    <w:rsid w:val="00EA7FF6"/>
    <w:rsid w:val="00EB001F"/>
    <w:rsid w:val="00EB02E6"/>
    <w:rsid w:val="00EB050D"/>
    <w:rsid w:val="00EB0561"/>
    <w:rsid w:val="00EB0A40"/>
    <w:rsid w:val="00EB0B71"/>
    <w:rsid w:val="00EB0EB0"/>
    <w:rsid w:val="00EB14F3"/>
    <w:rsid w:val="00EB15E8"/>
    <w:rsid w:val="00EB18FA"/>
    <w:rsid w:val="00EB1C2C"/>
    <w:rsid w:val="00EB1D1D"/>
    <w:rsid w:val="00EB217D"/>
    <w:rsid w:val="00EB2400"/>
    <w:rsid w:val="00EB2C2F"/>
    <w:rsid w:val="00EB2EF2"/>
    <w:rsid w:val="00EB368D"/>
    <w:rsid w:val="00EB37EA"/>
    <w:rsid w:val="00EB3903"/>
    <w:rsid w:val="00EB3C7D"/>
    <w:rsid w:val="00EB463C"/>
    <w:rsid w:val="00EB48CC"/>
    <w:rsid w:val="00EB4A5C"/>
    <w:rsid w:val="00EB4AA6"/>
    <w:rsid w:val="00EB54FF"/>
    <w:rsid w:val="00EB55C5"/>
    <w:rsid w:val="00EB58F9"/>
    <w:rsid w:val="00EB7209"/>
    <w:rsid w:val="00EB7443"/>
    <w:rsid w:val="00EB78D4"/>
    <w:rsid w:val="00EB7AE4"/>
    <w:rsid w:val="00EB7C9D"/>
    <w:rsid w:val="00EB7D2C"/>
    <w:rsid w:val="00EC00F8"/>
    <w:rsid w:val="00EC02BC"/>
    <w:rsid w:val="00EC0326"/>
    <w:rsid w:val="00EC04D8"/>
    <w:rsid w:val="00EC1A3D"/>
    <w:rsid w:val="00EC1AD2"/>
    <w:rsid w:val="00EC244B"/>
    <w:rsid w:val="00EC3005"/>
    <w:rsid w:val="00EC30EB"/>
    <w:rsid w:val="00EC38FD"/>
    <w:rsid w:val="00EC3AFB"/>
    <w:rsid w:val="00EC3C7C"/>
    <w:rsid w:val="00EC43DB"/>
    <w:rsid w:val="00EC45CF"/>
    <w:rsid w:val="00EC48F6"/>
    <w:rsid w:val="00EC4902"/>
    <w:rsid w:val="00EC4DE9"/>
    <w:rsid w:val="00EC4FDC"/>
    <w:rsid w:val="00EC50A8"/>
    <w:rsid w:val="00EC6300"/>
    <w:rsid w:val="00EC6647"/>
    <w:rsid w:val="00EC6C5E"/>
    <w:rsid w:val="00EC75A0"/>
    <w:rsid w:val="00EC7885"/>
    <w:rsid w:val="00EC78F1"/>
    <w:rsid w:val="00ED028D"/>
    <w:rsid w:val="00ED051E"/>
    <w:rsid w:val="00ED186E"/>
    <w:rsid w:val="00ED19B8"/>
    <w:rsid w:val="00ED1E25"/>
    <w:rsid w:val="00ED292E"/>
    <w:rsid w:val="00ED2D48"/>
    <w:rsid w:val="00ED2E0A"/>
    <w:rsid w:val="00ED33FF"/>
    <w:rsid w:val="00ED3C76"/>
    <w:rsid w:val="00ED3EEC"/>
    <w:rsid w:val="00ED3F31"/>
    <w:rsid w:val="00ED41F6"/>
    <w:rsid w:val="00ED453A"/>
    <w:rsid w:val="00ED4A4B"/>
    <w:rsid w:val="00ED5230"/>
    <w:rsid w:val="00ED5914"/>
    <w:rsid w:val="00ED5E1B"/>
    <w:rsid w:val="00ED6EE0"/>
    <w:rsid w:val="00ED6FCF"/>
    <w:rsid w:val="00ED70A6"/>
    <w:rsid w:val="00ED724C"/>
    <w:rsid w:val="00ED7778"/>
    <w:rsid w:val="00ED7C37"/>
    <w:rsid w:val="00ED7D06"/>
    <w:rsid w:val="00ED7E17"/>
    <w:rsid w:val="00EE0A81"/>
    <w:rsid w:val="00EE138D"/>
    <w:rsid w:val="00EE1E56"/>
    <w:rsid w:val="00EE2ABB"/>
    <w:rsid w:val="00EE2E68"/>
    <w:rsid w:val="00EE33C5"/>
    <w:rsid w:val="00EE3797"/>
    <w:rsid w:val="00EE37E4"/>
    <w:rsid w:val="00EE390E"/>
    <w:rsid w:val="00EE3A79"/>
    <w:rsid w:val="00EE3C7A"/>
    <w:rsid w:val="00EE3CE5"/>
    <w:rsid w:val="00EE3DF0"/>
    <w:rsid w:val="00EE44BA"/>
    <w:rsid w:val="00EE503B"/>
    <w:rsid w:val="00EE5258"/>
    <w:rsid w:val="00EE5616"/>
    <w:rsid w:val="00EE5C98"/>
    <w:rsid w:val="00EE5E0B"/>
    <w:rsid w:val="00EE6622"/>
    <w:rsid w:val="00EE6F88"/>
    <w:rsid w:val="00EE72DA"/>
    <w:rsid w:val="00EE7702"/>
    <w:rsid w:val="00EE7F26"/>
    <w:rsid w:val="00EF041F"/>
    <w:rsid w:val="00EF05DF"/>
    <w:rsid w:val="00EF0B1A"/>
    <w:rsid w:val="00EF0D68"/>
    <w:rsid w:val="00EF12F2"/>
    <w:rsid w:val="00EF172E"/>
    <w:rsid w:val="00EF1BDA"/>
    <w:rsid w:val="00EF29F1"/>
    <w:rsid w:val="00EF2DE3"/>
    <w:rsid w:val="00EF2F2E"/>
    <w:rsid w:val="00EF32F8"/>
    <w:rsid w:val="00EF368A"/>
    <w:rsid w:val="00EF3D68"/>
    <w:rsid w:val="00EF4564"/>
    <w:rsid w:val="00EF4AF0"/>
    <w:rsid w:val="00EF505A"/>
    <w:rsid w:val="00EF5A57"/>
    <w:rsid w:val="00EF624B"/>
    <w:rsid w:val="00EF6AC7"/>
    <w:rsid w:val="00EF6B29"/>
    <w:rsid w:val="00EF6CF2"/>
    <w:rsid w:val="00EF71A5"/>
    <w:rsid w:val="00EF7523"/>
    <w:rsid w:val="00EF78EF"/>
    <w:rsid w:val="00F0054B"/>
    <w:rsid w:val="00F00ABB"/>
    <w:rsid w:val="00F00BCA"/>
    <w:rsid w:val="00F01AA3"/>
    <w:rsid w:val="00F01BEB"/>
    <w:rsid w:val="00F023CE"/>
    <w:rsid w:val="00F02668"/>
    <w:rsid w:val="00F02773"/>
    <w:rsid w:val="00F02AF1"/>
    <w:rsid w:val="00F02FC9"/>
    <w:rsid w:val="00F03003"/>
    <w:rsid w:val="00F0514B"/>
    <w:rsid w:val="00F052FC"/>
    <w:rsid w:val="00F05507"/>
    <w:rsid w:val="00F0571D"/>
    <w:rsid w:val="00F05BB1"/>
    <w:rsid w:val="00F06078"/>
    <w:rsid w:val="00F06606"/>
    <w:rsid w:val="00F067B9"/>
    <w:rsid w:val="00F06B79"/>
    <w:rsid w:val="00F06B7A"/>
    <w:rsid w:val="00F06FA3"/>
    <w:rsid w:val="00F10245"/>
    <w:rsid w:val="00F10EA9"/>
    <w:rsid w:val="00F11091"/>
    <w:rsid w:val="00F1109A"/>
    <w:rsid w:val="00F11189"/>
    <w:rsid w:val="00F111F2"/>
    <w:rsid w:val="00F11A56"/>
    <w:rsid w:val="00F120B7"/>
    <w:rsid w:val="00F124BF"/>
    <w:rsid w:val="00F1265E"/>
    <w:rsid w:val="00F12747"/>
    <w:rsid w:val="00F12995"/>
    <w:rsid w:val="00F12C4E"/>
    <w:rsid w:val="00F12FD6"/>
    <w:rsid w:val="00F130C4"/>
    <w:rsid w:val="00F13374"/>
    <w:rsid w:val="00F136DF"/>
    <w:rsid w:val="00F13CE7"/>
    <w:rsid w:val="00F14F02"/>
    <w:rsid w:val="00F1525A"/>
    <w:rsid w:val="00F15832"/>
    <w:rsid w:val="00F15918"/>
    <w:rsid w:val="00F17340"/>
    <w:rsid w:val="00F17580"/>
    <w:rsid w:val="00F17AF2"/>
    <w:rsid w:val="00F200CD"/>
    <w:rsid w:val="00F20375"/>
    <w:rsid w:val="00F20398"/>
    <w:rsid w:val="00F2092B"/>
    <w:rsid w:val="00F20D52"/>
    <w:rsid w:val="00F21F34"/>
    <w:rsid w:val="00F21F7C"/>
    <w:rsid w:val="00F222C5"/>
    <w:rsid w:val="00F22686"/>
    <w:rsid w:val="00F228E7"/>
    <w:rsid w:val="00F22D93"/>
    <w:rsid w:val="00F23322"/>
    <w:rsid w:val="00F23D3B"/>
    <w:rsid w:val="00F23D87"/>
    <w:rsid w:val="00F2453C"/>
    <w:rsid w:val="00F2521B"/>
    <w:rsid w:val="00F253BA"/>
    <w:rsid w:val="00F25B7F"/>
    <w:rsid w:val="00F26714"/>
    <w:rsid w:val="00F272F4"/>
    <w:rsid w:val="00F3001E"/>
    <w:rsid w:val="00F305E6"/>
    <w:rsid w:val="00F306CF"/>
    <w:rsid w:val="00F3110D"/>
    <w:rsid w:val="00F31DBB"/>
    <w:rsid w:val="00F321AD"/>
    <w:rsid w:val="00F324E1"/>
    <w:rsid w:val="00F32740"/>
    <w:rsid w:val="00F33498"/>
    <w:rsid w:val="00F33D53"/>
    <w:rsid w:val="00F34099"/>
    <w:rsid w:val="00F34974"/>
    <w:rsid w:val="00F3522A"/>
    <w:rsid w:val="00F35608"/>
    <w:rsid w:val="00F35BE2"/>
    <w:rsid w:val="00F36909"/>
    <w:rsid w:val="00F37D01"/>
    <w:rsid w:val="00F37F76"/>
    <w:rsid w:val="00F400CB"/>
    <w:rsid w:val="00F40104"/>
    <w:rsid w:val="00F40393"/>
    <w:rsid w:val="00F40867"/>
    <w:rsid w:val="00F40BDD"/>
    <w:rsid w:val="00F40CDB"/>
    <w:rsid w:val="00F41703"/>
    <w:rsid w:val="00F41954"/>
    <w:rsid w:val="00F41F38"/>
    <w:rsid w:val="00F4305B"/>
    <w:rsid w:val="00F43199"/>
    <w:rsid w:val="00F43742"/>
    <w:rsid w:val="00F43984"/>
    <w:rsid w:val="00F443D1"/>
    <w:rsid w:val="00F444F7"/>
    <w:rsid w:val="00F45020"/>
    <w:rsid w:val="00F45319"/>
    <w:rsid w:val="00F454E3"/>
    <w:rsid w:val="00F45CDB"/>
    <w:rsid w:val="00F467DC"/>
    <w:rsid w:val="00F46A66"/>
    <w:rsid w:val="00F47CB5"/>
    <w:rsid w:val="00F5023F"/>
    <w:rsid w:val="00F507B8"/>
    <w:rsid w:val="00F50AD0"/>
    <w:rsid w:val="00F51629"/>
    <w:rsid w:val="00F516A6"/>
    <w:rsid w:val="00F519CD"/>
    <w:rsid w:val="00F52BCB"/>
    <w:rsid w:val="00F533F8"/>
    <w:rsid w:val="00F536D1"/>
    <w:rsid w:val="00F53CE2"/>
    <w:rsid w:val="00F540D1"/>
    <w:rsid w:val="00F542A8"/>
    <w:rsid w:val="00F54938"/>
    <w:rsid w:val="00F54C64"/>
    <w:rsid w:val="00F5500F"/>
    <w:rsid w:val="00F55586"/>
    <w:rsid w:val="00F556EA"/>
    <w:rsid w:val="00F559AB"/>
    <w:rsid w:val="00F55A76"/>
    <w:rsid w:val="00F55E2B"/>
    <w:rsid w:val="00F55E6F"/>
    <w:rsid w:val="00F561D0"/>
    <w:rsid w:val="00F56D4B"/>
    <w:rsid w:val="00F56F78"/>
    <w:rsid w:val="00F572C4"/>
    <w:rsid w:val="00F572CD"/>
    <w:rsid w:val="00F574AE"/>
    <w:rsid w:val="00F5799E"/>
    <w:rsid w:val="00F57F06"/>
    <w:rsid w:val="00F60F62"/>
    <w:rsid w:val="00F610F0"/>
    <w:rsid w:val="00F6177F"/>
    <w:rsid w:val="00F61997"/>
    <w:rsid w:val="00F61A03"/>
    <w:rsid w:val="00F61A4B"/>
    <w:rsid w:val="00F62157"/>
    <w:rsid w:val="00F62405"/>
    <w:rsid w:val="00F62785"/>
    <w:rsid w:val="00F628D2"/>
    <w:rsid w:val="00F62E52"/>
    <w:rsid w:val="00F638A0"/>
    <w:rsid w:val="00F63B2C"/>
    <w:rsid w:val="00F64050"/>
    <w:rsid w:val="00F6421F"/>
    <w:rsid w:val="00F6446E"/>
    <w:rsid w:val="00F648C2"/>
    <w:rsid w:val="00F649AD"/>
    <w:rsid w:val="00F64DAC"/>
    <w:rsid w:val="00F65252"/>
    <w:rsid w:val="00F65836"/>
    <w:rsid w:val="00F6597B"/>
    <w:rsid w:val="00F659F8"/>
    <w:rsid w:val="00F6647D"/>
    <w:rsid w:val="00F66ECA"/>
    <w:rsid w:val="00F67792"/>
    <w:rsid w:val="00F700B1"/>
    <w:rsid w:val="00F70BA2"/>
    <w:rsid w:val="00F70C46"/>
    <w:rsid w:val="00F70F9A"/>
    <w:rsid w:val="00F7117D"/>
    <w:rsid w:val="00F7161D"/>
    <w:rsid w:val="00F71C42"/>
    <w:rsid w:val="00F71D04"/>
    <w:rsid w:val="00F7294E"/>
    <w:rsid w:val="00F72AC5"/>
    <w:rsid w:val="00F72B9B"/>
    <w:rsid w:val="00F73098"/>
    <w:rsid w:val="00F74745"/>
    <w:rsid w:val="00F74DCE"/>
    <w:rsid w:val="00F74F05"/>
    <w:rsid w:val="00F75075"/>
    <w:rsid w:val="00F751FF"/>
    <w:rsid w:val="00F752E5"/>
    <w:rsid w:val="00F7579A"/>
    <w:rsid w:val="00F75E67"/>
    <w:rsid w:val="00F766FE"/>
    <w:rsid w:val="00F76B6F"/>
    <w:rsid w:val="00F76BA1"/>
    <w:rsid w:val="00F774D5"/>
    <w:rsid w:val="00F77DEC"/>
    <w:rsid w:val="00F80212"/>
    <w:rsid w:val="00F80725"/>
    <w:rsid w:val="00F80AB9"/>
    <w:rsid w:val="00F81162"/>
    <w:rsid w:val="00F81773"/>
    <w:rsid w:val="00F82E49"/>
    <w:rsid w:val="00F83154"/>
    <w:rsid w:val="00F83155"/>
    <w:rsid w:val="00F8375F"/>
    <w:rsid w:val="00F838EB"/>
    <w:rsid w:val="00F840C7"/>
    <w:rsid w:val="00F842A6"/>
    <w:rsid w:val="00F849D8"/>
    <w:rsid w:val="00F8537A"/>
    <w:rsid w:val="00F85C76"/>
    <w:rsid w:val="00F85D3C"/>
    <w:rsid w:val="00F85E84"/>
    <w:rsid w:val="00F86331"/>
    <w:rsid w:val="00F86541"/>
    <w:rsid w:val="00F87043"/>
    <w:rsid w:val="00F870AA"/>
    <w:rsid w:val="00F87DB2"/>
    <w:rsid w:val="00F87F6C"/>
    <w:rsid w:val="00F918AE"/>
    <w:rsid w:val="00F91CA1"/>
    <w:rsid w:val="00F92A75"/>
    <w:rsid w:val="00F92E7F"/>
    <w:rsid w:val="00F933EF"/>
    <w:rsid w:val="00F936AA"/>
    <w:rsid w:val="00F93D89"/>
    <w:rsid w:val="00F94482"/>
    <w:rsid w:val="00F94ED8"/>
    <w:rsid w:val="00F9588D"/>
    <w:rsid w:val="00F95A9F"/>
    <w:rsid w:val="00F965F3"/>
    <w:rsid w:val="00F970C9"/>
    <w:rsid w:val="00F97579"/>
    <w:rsid w:val="00F9771B"/>
    <w:rsid w:val="00F97EEB"/>
    <w:rsid w:val="00F97F79"/>
    <w:rsid w:val="00FA0107"/>
    <w:rsid w:val="00FA09CC"/>
    <w:rsid w:val="00FA200A"/>
    <w:rsid w:val="00FA2042"/>
    <w:rsid w:val="00FA23F6"/>
    <w:rsid w:val="00FA2449"/>
    <w:rsid w:val="00FA2473"/>
    <w:rsid w:val="00FA3226"/>
    <w:rsid w:val="00FA420C"/>
    <w:rsid w:val="00FA441D"/>
    <w:rsid w:val="00FA4B5D"/>
    <w:rsid w:val="00FA5908"/>
    <w:rsid w:val="00FA59DB"/>
    <w:rsid w:val="00FA61A4"/>
    <w:rsid w:val="00FA6618"/>
    <w:rsid w:val="00FA6D03"/>
    <w:rsid w:val="00FA6D1D"/>
    <w:rsid w:val="00FA715B"/>
    <w:rsid w:val="00FA75FD"/>
    <w:rsid w:val="00FA776D"/>
    <w:rsid w:val="00FB05C6"/>
    <w:rsid w:val="00FB080A"/>
    <w:rsid w:val="00FB0B8C"/>
    <w:rsid w:val="00FB0C1B"/>
    <w:rsid w:val="00FB0E06"/>
    <w:rsid w:val="00FB0E4B"/>
    <w:rsid w:val="00FB1503"/>
    <w:rsid w:val="00FB16F8"/>
    <w:rsid w:val="00FB19AC"/>
    <w:rsid w:val="00FB1E1A"/>
    <w:rsid w:val="00FB285D"/>
    <w:rsid w:val="00FB2A34"/>
    <w:rsid w:val="00FB3462"/>
    <w:rsid w:val="00FB3EB7"/>
    <w:rsid w:val="00FB4F4B"/>
    <w:rsid w:val="00FB51ED"/>
    <w:rsid w:val="00FB5E1B"/>
    <w:rsid w:val="00FB6289"/>
    <w:rsid w:val="00FB6306"/>
    <w:rsid w:val="00FB683D"/>
    <w:rsid w:val="00FB7A90"/>
    <w:rsid w:val="00FB7B8B"/>
    <w:rsid w:val="00FC0171"/>
    <w:rsid w:val="00FC1B55"/>
    <w:rsid w:val="00FC2434"/>
    <w:rsid w:val="00FC2685"/>
    <w:rsid w:val="00FC270E"/>
    <w:rsid w:val="00FC2D1E"/>
    <w:rsid w:val="00FC2FA4"/>
    <w:rsid w:val="00FC333E"/>
    <w:rsid w:val="00FC335C"/>
    <w:rsid w:val="00FC3F47"/>
    <w:rsid w:val="00FC40C1"/>
    <w:rsid w:val="00FC4AD4"/>
    <w:rsid w:val="00FC4ADC"/>
    <w:rsid w:val="00FC5844"/>
    <w:rsid w:val="00FC5876"/>
    <w:rsid w:val="00FC6C9C"/>
    <w:rsid w:val="00FC74B2"/>
    <w:rsid w:val="00FC7B47"/>
    <w:rsid w:val="00FC7B94"/>
    <w:rsid w:val="00FD0461"/>
    <w:rsid w:val="00FD0A5D"/>
    <w:rsid w:val="00FD10A5"/>
    <w:rsid w:val="00FD189D"/>
    <w:rsid w:val="00FD1B6F"/>
    <w:rsid w:val="00FD2561"/>
    <w:rsid w:val="00FD2904"/>
    <w:rsid w:val="00FD2D47"/>
    <w:rsid w:val="00FD2E6B"/>
    <w:rsid w:val="00FD3BF0"/>
    <w:rsid w:val="00FD3E99"/>
    <w:rsid w:val="00FD40BE"/>
    <w:rsid w:val="00FD4661"/>
    <w:rsid w:val="00FD4E1B"/>
    <w:rsid w:val="00FD6967"/>
    <w:rsid w:val="00FD6F54"/>
    <w:rsid w:val="00FD7018"/>
    <w:rsid w:val="00FD70BC"/>
    <w:rsid w:val="00FD734B"/>
    <w:rsid w:val="00FD7B39"/>
    <w:rsid w:val="00FD7BA2"/>
    <w:rsid w:val="00FD7EFA"/>
    <w:rsid w:val="00FE0126"/>
    <w:rsid w:val="00FE0ECD"/>
    <w:rsid w:val="00FE12E0"/>
    <w:rsid w:val="00FE1500"/>
    <w:rsid w:val="00FE1673"/>
    <w:rsid w:val="00FE1792"/>
    <w:rsid w:val="00FE1B7E"/>
    <w:rsid w:val="00FE1CE9"/>
    <w:rsid w:val="00FE2415"/>
    <w:rsid w:val="00FE299A"/>
    <w:rsid w:val="00FE32E1"/>
    <w:rsid w:val="00FE370B"/>
    <w:rsid w:val="00FE3F5C"/>
    <w:rsid w:val="00FE465F"/>
    <w:rsid w:val="00FE4785"/>
    <w:rsid w:val="00FE4856"/>
    <w:rsid w:val="00FE48E8"/>
    <w:rsid w:val="00FE4C96"/>
    <w:rsid w:val="00FE4CE4"/>
    <w:rsid w:val="00FE52BA"/>
    <w:rsid w:val="00FE5683"/>
    <w:rsid w:val="00FE6425"/>
    <w:rsid w:val="00FE6548"/>
    <w:rsid w:val="00FE688F"/>
    <w:rsid w:val="00FE7A16"/>
    <w:rsid w:val="00FE7A3B"/>
    <w:rsid w:val="00FF0562"/>
    <w:rsid w:val="00FF07CE"/>
    <w:rsid w:val="00FF0C2E"/>
    <w:rsid w:val="00FF125F"/>
    <w:rsid w:val="00FF139F"/>
    <w:rsid w:val="00FF13F4"/>
    <w:rsid w:val="00FF1581"/>
    <w:rsid w:val="00FF1708"/>
    <w:rsid w:val="00FF1841"/>
    <w:rsid w:val="00FF1B99"/>
    <w:rsid w:val="00FF2073"/>
    <w:rsid w:val="00FF2317"/>
    <w:rsid w:val="00FF287A"/>
    <w:rsid w:val="00FF323F"/>
    <w:rsid w:val="00FF391B"/>
    <w:rsid w:val="00FF3BB4"/>
    <w:rsid w:val="00FF3DA0"/>
    <w:rsid w:val="00FF4294"/>
    <w:rsid w:val="00FF44D8"/>
    <w:rsid w:val="00FF5300"/>
    <w:rsid w:val="00FF5849"/>
    <w:rsid w:val="00FF6328"/>
    <w:rsid w:val="00FF6D0F"/>
    <w:rsid w:val="00FF72C7"/>
    <w:rsid w:val="00FF74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4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PGothic" w:hAnsi="Arial"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line number" w:uiPriority="0"/>
    <w:lsdException w:name="end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Simple 1" w:uiPriority="0"/>
    <w:lsdException w:name="Table Simple 2" w:uiPriority="0"/>
    <w:lsdException w:name="Table Simple 3"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C8B"/>
    <w:rPr>
      <w:sz w:val="24"/>
      <w:szCs w:val="24"/>
      <w:lang w:val="es-ES_tradnl" w:eastAsia="es-ES"/>
    </w:rPr>
  </w:style>
  <w:style w:type="paragraph" w:styleId="Ttulo1">
    <w:name w:val="heading 1"/>
    <w:basedOn w:val="Normal"/>
    <w:next w:val="Normal"/>
    <w:link w:val="Ttulo1Car"/>
    <w:uiPriority w:val="9"/>
    <w:qFormat/>
    <w:rsid w:val="00774E8D"/>
    <w:pPr>
      <w:keepNext/>
      <w:keepLines/>
      <w:numPr>
        <w:numId w:val="1"/>
      </w:numPr>
      <w:spacing w:before="480" w:line="360" w:lineRule="auto"/>
      <w:jc w:val="both"/>
      <w:outlineLvl w:val="0"/>
    </w:pPr>
    <w:rPr>
      <w:rFonts w:eastAsia="Times New Roman"/>
      <w:b/>
      <w:bCs/>
      <w:sz w:val="28"/>
      <w:szCs w:val="28"/>
      <w:lang w:val="es-MX" w:eastAsia="en-US"/>
    </w:rPr>
  </w:style>
  <w:style w:type="paragraph" w:styleId="Ttulo2">
    <w:name w:val="heading 2"/>
    <w:basedOn w:val="Normal"/>
    <w:next w:val="Normal"/>
    <w:link w:val="Ttulo2Car"/>
    <w:uiPriority w:val="9"/>
    <w:unhideWhenUsed/>
    <w:qFormat/>
    <w:rsid w:val="00774E8D"/>
    <w:pPr>
      <w:keepNext/>
      <w:keepLines/>
      <w:numPr>
        <w:ilvl w:val="1"/>
        <w:numId w:val="1"/>
      </w:numPr>
      <w:spacing w:before="200" w:line="360" w:lineRule="auto"/>
      <w:jc w:val="both"/>
      <w:outlineLvl w:val="1"/>
    </w:pPr>
    <w:rPr>
      <w:rFonts w:eastAsia="Times New Roman"/>
      <w:b/>
      <w:bCs/>
      <w:sz w:val="26"/>
      <w:szCs w:val="26"/>
      <w:lang w:val="es-MX" w:eastAsia="en-US"/>
    </w:rPr>
  </w:style>
  <w:style w:type="paragraph" w:styleId="Ttulo3">
    <w:name w:val="heading 3"/>
    <w:basedOn w:val="Normal"/>
    <w:next w:val="Normal"/>
    <w:link w:val="Ttulo3Car"/>
    <w:uiPriority w:val="9"/>
    <w:unhideWhenUsed/>
    <w:qFormat/>
    <w:rsid w:val="00774E8D"/>
    <w:pPr>
      <w:keepNext/>
      <w:keepLines/>
      <w:numPr>
        <w:ilvl w:val="2"/>
        <w:numId w:val="1"/>
      </w:numPr>
      <w:spacing w:before="200" w:line="360" w:lineRule="auto"/>
      <w:jc w:val="both"/>
      <w:outlineLvl w:val="2"/>
    </w:pPr>
    <w:rPr>
      <w:rFonts w:eastAsia="Times New Roman"/>
      <w:b/>
      <w:bCs/>
      <w:color w:val="808080"/>
      <w:sz w:val="22"/>
      <w:szCs w:val="22"/>
      <w:lang w:val="es-MX" w:eastAsia="en-US"/>
    </w:rPr>
  </w:style>
  <w:style w:type="paragraph" w:styleId="Ttulo4">
    <w:name w:val="heading 4"/>
    <w:basedOn w:val="Normal"/>
    <w:next w:val="Normal"/>
    <w:link w:val="Ttulo4Car"/>
    <w:uiPriority w:val="9"/>
    <w:unhideWhenUsed/>
    <w:qFormat/>
    <w:rsid w:val="00774E8D"/>
    <w:pPr>
      <w:keepNext/>
      <w:keepLines/>
      <w:numPr>
        <w:ilvl w:val="3"/>
        <w:numId w:val="1"/>
      </w:numPr>
      <w:spacing w:before="200" w:line="360" w:lineRule="auto"/>
      <w:jc w:val="both"/>
      <w:outlineLvl w:val="3"/>
    </w:pPr>
    <w:rPr>
      <w:rFonts w:eastAsia="Times New Roman"/>
      <w:b/>
      <w:bCs/>
      <w:i/>
      <w:iCs/>
      <w:sz w:val="22"/>
      <w:szCs w:val="22"/>
      <w:lang w:val="es-MX" w:eastAsia="en-US"/>
    </w:rPr>
  </w:style>
  <w:style w:type="paragraph" w:styleId="Ttulo5">
    <w:name w:val="heading 5"/>
    <w:basedOn w:val="Normal"/>
    <w:next w:val="Normal"/>
    <w:link w:val="Ttulo5Car"/>
    <w:uiPriority w:val="9"/>
    <w:unhideWhenUsed/>
    <w:qFormat/>
    <w:rsid w:val="00774E8D"/>
    <w:pPr>
      <w:keepNext/>
      <w:keepLines/>
      <w:numPr>
        <w:ilvl w:val="4"/>
        <w:numId w:val="1"/>
      </w:numPr>
      <w:spacing w:before="200" w:line="360" w:lineRule="auto"/>
      <w:jc w:val="both"/>
      <w:outlineLvl w:val="4"/>
    </w:pPr>
    <w:rPr>
      <w:rFonts w:eastAsia="Times New Roman"/>
      <w:sz w:val="22"/>
      <w:szCs w:val="22"/>
      <w:lang w:val="es-MX" w:eastAsia="en-US"/>
    </w:rPr>
  </w:style>
  <w:style w:type="paragraph" w:styleId="Ttulo6">
    <w:name w:val="heading 6"/>
    <w:basedOn w:val="Normal"/>
    <w:next w:val="Normal"/>
    <w:link w:val="Ttulo6Car"/>
    <w:uiPriority w:val="9"/>
    <w:unhideWhenUsed/>
    <w:qFormat/>
    <w:rsid w:val="00774E8D"/>
    <w:pPr>
      <w:keepNext/>
      <w:keepLines/>
      <w:numPr>
        <w:ilvl w:val="5"/>
        <w:numId w:val="1"/>
      </w:numPr>
      <w:spacing w:before="200" w:line="360" w:lineRule="auto"/>
      <w:jc w:val="both"/>
      <w:outlineLvl w:val="5"/>
    </w:pPr>
    <w:rPr>
      <w:rFonts w:eastAsia="Times New Roman"/>
      <w:i/>
      <w:iCs/>
      <w:color w:val="243F60"/>
      <w:sz w:val="22"/>
      <w:szCs w:val="22"/>
      <w:lang w:val="es-MX" w:eastAsia="en-US"/>
    </w:rPr>
  </w:style>
  <w:style w:type="paragraph" w:styleId="Ttulo7">
    <w:name w:val="heading 7"/>
    <w:basedOn w:val="Normal"/>
    <w:next w:val="Normal"/>
    <w:link w:val="Ttulo7Car"/>
    <w:uiPriority w:val="9"/>
    <w:unhideWhenUsed/>
    <w:qFormat/>
    <w:rsid w:val="00774E8D"/>
    <w:pPr>
      <w:keepNext/>
      <w:keepLines/>
      <w:numPr>
        <w:ilvl w:val="6"/>
        <w:numId w:val="1"/>
      </w:numPr>
      <w:spacing w:before="200" w:line="360" w:lineRule="auto"/>
      <w:jc w:val="both"/>
      <w:outlineLvl w:val="6"/>
    </w:pPr>
    <w:rPr>
      <w:rFonts w:eastAsia="Times New Roman"/>
      <w:i/>
      <w:iCs/>
      <w:color w:val="404040"/>
      <w:sz w:val="22"/>
      <w:szCs w:val="22"/>
      <w:lang w:val="es-MX" w:eastAsia="en-US"/>
    </w:rPr>
  </w:style>
  <w:style w:type="paragraph" w:styleId="Ttulo8">
    <w:name w:val="heading 8"/>
    <w:basedOn w:val="Normal"/>
    <w:next w:val="Normal"/>
    <w:link w:val="Ttulo8Car"/>
    <w:uiPriority w:val="9"/>
    <w:unhideWhenUsed/>
    <w:qFormat/>
    <w:rsid w:val="00774E8D"/>
    <w:pPr>
      <w:keepNext/>
      <w:keepLines/>
      <w:numPr>
        <w:ilvl w:val="7"/>
        <w:numId w:val="1"/>
      </w:numPr>
      <w:spacing w:before="200" w:line="360" w:lineRule="auto"/>
      <w:jc w:val="both"/>
      <w:outlineLvl w:val="7"/>
    </w:pPr>
    <w:rPr>
      <w:rFonts w:eastAsia="Times New Roman"/>
      <w:color w:val="404040"/>
      <w:sz w:val="20"/>
      <w:szCs w:val="20"/>
      <w:lang w:val="es-MX" w:eastAsia="en-US"/>
    </w:rPr>
  </w:style>
  <w:style w:type="paragraph" w:styleId="Ttulo9">
    <w:name w:val="heading 9"/>
    <w:basedOn w:val="Normal"/>
    <w:next w:val="Normal"/>
    <w:link w:val="Ttulo9Car"/>
    <w:uiPriority w:val="9"/>
    <w:unhideWhenUsed/>
    <w:qFormat/>
    <w:rsid w:val="00774E8D"/>
    <w:pPr>
      <w:keepNext/>
      <w:keepLines/>
      <w:numPr>
        <w:ilvl w:val="8"/>
        <w:numId w:val="1"/>
      </w:numPr>
      <w:spacing w:before="200" w:line="360" w:lineRule="auto"/>
      <w:jc w:val="both"/>
      <w:outlineLvl w:val="8"/>
    </w:pPr>
    <w:rPr>
      <w:rFonts w:eastAsia="Times New Roman"/>
      <w:i/>
      <w:iCs/>
      <w:color w:val="404040"/>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ínea,del,_Encabezado"/>
    <w:basedOn w:val="Normal"/>
    <w:link w:val="EncabezadoCar"/>
    <w:uiPriority w:val="99"/>
    <w:unhideWhenUsed/>
    <w:rsid w:val="00315CBE"/>
    <w:pPr>
      <w:tabs>
        <w:tab w:val="center" w:pos="4252"/>
        <w:tab w:val="right" w:pos="8504"/>
      </w:tabs>
    </w:pPr>
  </w:style>
  <w:style w:type="character" w:customStyle="1" w:styleId="EncabezadoCar">
    <w:name w:val="Encabezado Car"/>
    <w:aliases w:val="Línea Car,del Car,_Encabezado Car"/>
    <w:basedOn w:val="Fuentedeprrafopredeter"/>
    <w:link w:val="Encabezado"/>
    <w:uiPriority w:val="99"/>
    <w:rsid w:val="00315CBE"/>
  </w:style>
  <w:style w:type="paragraph" w:styleId="Piedepgina">
    <w:name w:val="footer"/>
    <w:basedOn w:val="Normal"/>
    <w:link w:val="PiedepginaCar"/>
    <w:uiPriority w:val="99"/>
    <w:unhideWhenUsed/>
    <w:rsid w:val="00315CBE"/>
    <w:pPr>
      <w:tabs>
        <w:tab w:val="center" w:pos="4252"/>
        <w:tab w:val="right" w:pos="8504"/>
      </w:tabs>
    </w:pPr>
  </w:style>
  <w:style w:type="character" w:customStyle="1" w:styleId="PiedepginaCar">
    <w:name w:val="Pie de página Car"/>
    <w:basedOn w:val="Fuentedeprrafopredeter"/>
    <w:link w:val="Piedepgina"/>
    <w:uiPriority w:val="99"/>
    <w:rsid w:val="00315CBE"/>
  </w:style>
  <w:style w:type="paragraph" w:styleId="Textodeglobo">
    <w:name w:val="Balloon Text"/>
    <w:basedOn w:val="Normal"/>
    <w:link w:val="TextodegloboCar"/>
    <w:uiPriority w:val="99"/>
    <w:semiHidden/>
    <w:unhideWhenUsed/>
    <w:rsid w:val="00315CBE"/>
    <w:rPr>
      <w:rFonts w:ascii="Lucida Grande" w:hAnsi="Lucida Grande" w:cs="Lucida Grande"/>
      <w:sz w:val="18"/>
      <w:szCs w:val="18"/>
    </w:rPr>
  </w:style>
  <w:style w:type="character" w:customStyle="1" w:styleId="TextodegloboCar">
    <w:name w:val="Texto de globo Car"/>
    <w:link w:val="Textodeglobo"/>
    <w:uiPriority w:val="99"/>
    <w:semiHidden/>
    <w:rsid w:val="00315CBE"/>
    <w:rPr>
      <w:rFonts w:ascii="Lucida Grande" w:hAnsi="Lucida Grande" w:cs="Lucida Grande"/>
      <w:sz w:val="18"/>
      <w:szCs w:val="18"/>
    </w:rPr>
  </w:style>
  <w:style w:type="paragraph" w:styleId="NormalWeb">
    <w:name w:val="Normal (Web)"/>
    <w:basedOn w:val="Normal"/>
    <w:uiPriority w:val="99"/>
    <w:unhideWhenUsed/>
    <w:rsid w:val="00DA58B7"/>
    <w:pPr>
      <w:spacing w:before="100" w:beforeAutospacing="1" w:after="100" w:afterAutospacing="1"/>
    </w:pPr>
    <w:rPr>
      <w:rFonts w:ascii="Times New Roman" w:eastAsia="Times New Roman" w:hAnsi="Times New Roman"/>
      <w:lang w:val="es-MX" w:eastAsia="es-MX"/>
    </w:rPr>
  </w:style>
  <w:style w:type="paragraph" w:customStyle="1" w:styleId="ecxmsonormal">
    <w:name w:val="ecxmsonormal"/>
    <w:basedOn w:val="Normal"/>
    <w:uiPriority w:val="99"/>
    <w:rsid w:val="00DA58B7"/>
    <w:pPr>
      <w:spacing w:after="324"/>
    </w:pPr>
    <w:rPr>
      <w:rFonts w:ascii="Times New Roman" w:eastAsia="Times New Roman" w:hAnsi="Times New Roman"/>
      <w:lang w:val="es-MX" w:eastAsia="es-MX"/>
    </w:rPr>
  </w:style>
  <w:style w:type="paragraph" w:styleId="Ttulo">
    <w:name w:val="Title"/>
    <w:basedOn w:val="Normal"/>
    <w:link w:val="TtuloCar"/>
    <w:uiPriority w:val="10"/>
    <w:qFormat/>
    <w:rsid w:val="00DA58B7"/>
    <w:pPr>
      <w:jc w:val="center"/>
    </w:pPr>
    <w:rPr>
      <w:rFonts w:ascii="Times New Roman" w:eastAsia="Times New Roman" w:hAnsi="Times New Roman"/>
      <w:b/>
      <w:szCs w:val="20"/>
    </w:rPr>
  </w:style>
  <w:style w:type="character" w:customStyle="1" w:styleId="TtuloCar">
    <w:name w:val="Título Car"/>
    <w:link w:val="Ttulo"/>
    <w:uiPriority w:val="10"/>
    <w:rsid w:val="00DA58B7"/>
    <w:rPr>
      <w:rFonts w:ascii="Times New Roman" w:eastAsia="Times New Roman" w:hAnsi="Times New Roman" w:cs="Times New Roman"/>
      <w:b/>
      <w:szCs w:val="20"/>
    </w:rPr>
  </w:style>
  <w:style w:type="paragraph" w:styleId="Prrafodelista">
    <w:name w:val="List Paragraph"/>
    <w:basedOn w:val="Normal"/>
    <w:link w:val="PrrafodelistaCar"/>
    <w:uiPriority w:val="34"/>
    <w:qFormat/>
    <w:rsid w:val="00A83C33"/>
    <w:pPr>
      <w:ind w:left="720"/>
      <w:contextualSpacing/>
    </w:pPr>
  </w:style>
  <w:style w:type="character" w:customStyle="1" w:styleId="Ttulo1Car">
    <w:name w:val="Título 1 Car"/>
    <w:link w:val="Ttulo1"/>
    <w:uiPriority w:val="9"/>
    <w:rsid w:val="00774E8D"/>
    <w:rPr>
      <w:rFonts w:eastAsia="Times New Roman"/>
      <w:b/>
      <w:bCs/>
      <w:sz w:val="28"/>
      <w:szCs w:val="28"/>
      <w:lang w:eastAsia="en-US"/>
    </w:rPr>
  </w:style>
  <w:style w:type="character" w:customStyle="1" w:styleId="Ttulo2Car">
    <w:name w:val="Título 2 Car"/>
    <w:link w:val="Ttulo2"/>
    <w:uiPriority w:val="9"/>
    <w:rsid w:val="00774E8D"/>
    <w:rPr>
      <w:rFonts w:eastAsia="Times New Roman"/>
      <w:b/>
      <w:bCs/>
      <w:sz w:val="26"/>
      <w:szCs w:val="26"/>
      <w:lang w:eastAsia="en-US"/>
    </w:rPr>
  </w:style>
  <w:style w:type="character" w:customStyle="1" w:styleId="Ttulo3Car">
    <w:name w:val="Título 3 Car"/>
    <w:link w:val="Ttulo3"/>
    <w:uiPriority w:val="9"/>
    <w:rsid w:val="00774E8D"/>
    <w:rPr>
      <w:rFonts w:eastAsia="Times New Roman"/>
      <w:b/>
      <w:bCs/>
      <w:color w:val="808080"/>
      <w:sz w:val="22"/>
      <w:szCs w:val="22"/>
      <w:lang w:eastAsia="en-US"/>
    </w:rPr>
  </w:style>
  <w:style w:type="character" w:customStyle="1" w:styleId="Ttulo4Car">
    <w:name w:val="Título 4 Car"/>
    <w:link w:val="Ttulo4"/>
    <w:uiPriority w:val="9"/>
    <w:rsid w:val="00774E8D"/>
    <w:rPr>
      <w:rFonts w:eastAsia="Times New Roman"/>
      <w:b/>
      <w:bCs/>
      <w:i/>
      <w:iCs/>
      <w:sz w:val="22"/>
      <w:szCs w:val="22"/>
      <w:lang w:eastAsia="en-US"/>
    </w:rPr>
  </w:style>
  <w:style w:type="character" w:customStyle="1" w:styleId="Ttulo5Car">
    <w:name w:val="Título 5 Car"/>
    <w:link w:val="Ttulo5"/>
    <w:uiPriority w:val="9"/>
    <w:rsid w:val="00774E8D"/>
    <w:rPr>
      <w:rFonts w:eastAsia="Times New Roman"/>
      <w:sz w:val="22"/>
      <w:szCs w:val="22"/>
      <w:lang w:eastAsia="en-US"/>
    </w:rPr>
  </w:style>
  <w:style w:type="character" w:customStyle="1" w:styleId="Ttulo6Car">
    <w:name w:val="Título 6 Car"/>
    <w:link w:val="Ttulo6"/>
    <w:uiPriority w:val="9"/>
    <w:rsid w:val="00774E8D"/>
    <w:rPr>
      <w:rFonts w:eastAsia="Times New Roman"/>
      <w:i/>
      <w:iCs/>
      <w:color w:val="243F60"/>
      <w:sz w:val="22"/>
      <w:szCs w:val="22"/>
      <w:lang w:eastAsia="en-US"/>
    </w:rPr>
  </w:style>
  <w:style w:type="character" w:customStyle="1" w:styleId="Ttulo7Car">
    <w:name w:val="Título 7 Car"/>
    <w:link w:val="Ttulo7"/>
    <w:uiPriority w:val="9"/>
    <w:rsid w:val="00774E8D"/>
    <w:rPr>
      <w:rFonts w:eastAsia="Times New Roman"/>
      <w:i/>
      <w:iCs/>
      <w:color w:val="404040"/>
      <w:sz w:val="22"/>
      <w:szCs w:val="22"/>
      <w:lang w:eastAsia="en-US"/>
    </w:rPr>
  </w:style>
  <w:style w:type="character" w:customStyle="1" w:styleId="Ttulo8Car">
    <w:name w:val="Título 8 Car"/>
    <w:link w:val="Ttulo8"/>
    <w:uiPriority w:val="9"/>
    <w:rsid w:val="00774E8D"/>
    <w:rPr>
      <w:rFonts w:eastAsia="Times New Roman"/>
      <w:color w:val="404040"/>
      <w:lang w:eastAsia="en-US"/>
    </w:rPr>
  </w:style>
  <w:style w:type="character" w:customStyle="1" w:styleId="Ttulo9Car">
    <w:name w:val="Título 9 Car"/>
    <w:link w:val="Ttulo9"/>
    <w:uiPriority w:val="9"/>
    <w:rsid w:val="00774E8D"/>
    <w:rPr>
      <w:rFonts w:eastAsia="Times New Roman"/>
      <w:i/>
      <w:iCs/>
      <w:color w:val="404040"/>
      <w:lang w:eastAsia="en-US"/>
    </w:rPr>
  </w:style>
  <w:style w:type="paragraph" w:styleId="Epgrafe">
    <w:name w:val="caption"/>
    <w:basedOn w:val="Normal"/>
    <w:next w:val="Normal"/>
    <w:link w:val="EpgrafeCar"/>
    <w:autoRedefine/>
    <w:uiPriority w:val="35"/>
    <w:unhideWhenUsed/>
    <w:qFormat/>
    <w:rsid w:val="00A25078"/>
    <w:pPr>
      <w:keepNext/>
      <w:suppressAutoHyphens/>
      <w:spacing w:after="200"/>
      <w:ind w:hanging="2"/>
      <w:jc w:val="center"/>
      <w:textAlignment w:val="top"/>
      <w:outlineLvl w:val="0"/>
    </w:pPr>
    <w:rPr>
      <w:rFonts w:ascii="Montserrat" w:eastAsia="Arial" w:hAnsi="Montserrat" w:cs="Arial"/>
      <w:i/>
      <w:iCs/>
      <w:color w:val="000000"/>
      <w:position w:val="-1"/>
      <w:sz w:val="12"/>
      <w:szCs w:val="12"/>
      <w:lang w:val="es-419"/>
    </w:rPr>
  </w:style>
  <w:style w:type="paragraph" w:styleId="Textonotapie">
    <w:name w:val="footnote text"/>
    <w:aliases w:val="nota,pie,Letrero,margen,_TEXTO NOTA PIE DE PAGINA"/>
    <w:basedOn w:val="Normal"/>
    <w:link w:val="TextonotapieCar"/>
    <w:uiPriority w:val="99"/>
    <w:unhideWhenUsed/>
    <w:rsid w:val="00774E8D"/>
    <w:pPr>
      <w:jc w:val="both"/>
    </w:pPr>
    <w:rPr>
      <w:rFonts w:eastAsia="Arial"/>
      <w:sz w:val="20"/>
      <w:szCs w:val="20"/>
      <w:lang w:val="es-MX" w:eastAsia="en-US"/>
    </w:rPr>
  </w:style>
  <w:style w:type="character" w:customStyle="1" w:styleId="TextonotapieCar">
    <w:name w:val="Texto nota pie Car"/>
    <w:aliases w:val="nota Car,pie Car,Letrero Car,margen Car,_TEXTO NOTA PIE DE PAGINA Car"/>
    <w:link w:val="Textonotapie"/>
    <w:uiPriority w:val="99"/>
    <w:rsid w:val="00774E8D"/>
    <w:rPr>
      <w:rFonts w:eastAsia="Arial" w:cs="Times New Roman"/>
      <w:sz w:val="20"/>
      <w:szCs w:val="20"/>
      <w:lang w:val="es-MX" w:eastAsia="en-US"/>
    </w:rPr>
  </w:style>
  <w:style w:type="character" w:styleId="Refdenotaalpie">
    <w:name w:val="footnote reference"/>
    <w:unhideWhenUsed/>
    <w:qFormat/>
    <w:rsid w:val="00774E8D"/>
    <w:rPr>
      <w:vertAlign w:val="superscript"/>
    </w:rPr>
  </w:style>
  <w:style w:type="paragraph" w:customStyle="1" w:styleId="ROMANOS">
    <w:name w:val="ROMANOS"/>
    <w:basedOn w:val="Normal"/>
    <w:link w:val="ROMANOSCar"/>
    <w:rsid w:val="00774E8D"/>
    <w:pPr>
      <w:tabs>
        <w:tab w:val="left" w:pos="720"/>
      </w:tabs>
      <w:spacing w:after="101" w:line="216" w:lineRule="exact"/>
      <w:ind w:left="720" w:hanging="432"/>
      <w:jc w:val="both"/>
    </w:pPr>
    <w:rPr>
      <w:rFonts w:eastAsia="Calibri"/>
      <w:sz w:val="18"/>
      <w:szCs w:val="18"/>
      <w:lang w:val="es-MX" w:eastAsia="en-US"/>
    </w:rPr>
  </w:style>
  <w:style w:type="character" w:customStyle="1" w:styleId="ROMANOSCar">
    <w:name w:val="ROMANOS Car"/>
    <w:link w:val="ROMANOS"/>
    <w:locked/>
    <w:rsid w:val="00774E8D"/>
    <w:rPr>
      <w:rFonts w:eastAsia="Calibri" w:cs="Times New Roman"/>
      <w:sz w:val="18"/>
      <w:szCs w:val="18"/>
      <w:lang w:val="es-MX" w:eastAsia="en-US"/>
    </w:rPr>
  </w:style>
  <w:style w:type="paragraph" w:customStyle="1" w:styleId="Texto">
    <w:name w:val="Texto"/>
    <w:aliases w:val="independiente"/>
    <w:basedOn w:val="Normal"/>
    <w:link w:val="TextoCar"/>
    <w:qFormat/>
    <w:rsid w:val="00774E8D"/>
    <w:pPr>
      <w:spacing w:after="101" w:line="216" w:lineRule="exact"/>
      <w:ind w:firstLine="288"/>
      <w:jc w:val="both"/>
    </w:pPr>
    <w:rPr>
      <w:rFonts w:eastAsia="Calibri"/>
      <w:sz w:val="18"/>
      <w:szCs w:val="20"/>
      <w:lang w:val="es-MX" w:eastAsia="en-US"/>
    </w:rPr>
  </w:style>
  <w:style w:type="character" w:customStyle="1" w:styleId="TextoCar">
    <w:name w:val="Texto Car"/>
    <w:link w:val="Texto"/>
    <w:locked/>
    <w:rsid w:val="00774E8D"/>
    <w:rPr>
      <w:rFonts w:eastAsia="Calibri" w:cs="Times New Roman"/>
      <w:sz w:val="18"/>
      <w:szCs w:val="20"/>
      <w:lang w:val="es-MX" w:eastAsia="en-US"/>
    </w:rPr>
  </w:style>
  <w:style w:type="paragraph" w:styleId="Textoindependiente2">
    <w:name w:val="Body Text 2"/>
    <w:basedOn w:val="Normal"/>
    <w:link w:val="Textoindependiente2Car"/>
    <w:uiPriority w:val="99"/>
    <w:rsid w:val="00774E8D"/>
    <w:pPr>
      <w:jc w:val="both"/>
    </w:pPr>
    <w:rPr>
      <w:rFonts w:eastAsia="Times New Roman"/>
      <w:sz w:val="20"/>
      <w:szCs w:val="20"/>
      <w:lang w:val="es-ES"/>
    </w:rPr>
  </w:style>
  <w:style w:type="character" w:customStyle="1" w:styleId="Textoindependiente2Car">
    <w:name w:val="Texto independiente 2 Car"/>
    <w:link w:val="Textoindependiente2"/>
    <w:uiPriority w:val="99"/>
    <w:rsid w:val="00774E8D"/>
    <w:rPr>
      <w:rFonts w:eastAsia="Times New Roman" w:cs="Times New Roman"/>
      <w:sz w:val="20"/>
      <w:szCs w:val="20"/>
      <w:lang w:val="es-ES"/>
    </w:rPr>
  </w:style>
  <w:style w:type="character" w:styleId="Nmerodepgina">
    <w:name w:val="page number"/>
    <w:basedOn w:val="Fuentedeprrafopredeter"/>
    <w:uiPriority w:val="99"/>
    <w:unhideWhenUsed/>
    <w:rsid w:val="00A17DBE"/>
  </w:style>
  <w:style w:type="table" w:styleId="Tablaconcuadrcula">
    <w:name w:val="Table Grid"/>
    <w:basedOn w:val="Tablanormal"/>
    <w:uiPriority w:val="59"/>
    <w:rsid w:val="001E386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
    <w:name w:val="TABLA"/>
    <w:basedOn w:val="Normal"/>
    <w:link w:val="TABLACar"/>
    <w:qFormat/>
    <w:rsid w:val="001E3866"/>
    <w:rPr>
      <w:rFonts w:ascii="Arial Narrow" w:eastAsia="Arial" w:hAnsi="Arial Narrow"/>
      <w:sz w:val="16"/>
      <w:szCs w:val="16"/>
      <w:lang w:val="es-MX" w:eastAsia="es-MX"/>
    </w:rPr>
  </w:style>
  <w:style w:type="character" w:customStyle="1" w:styleId="TABLACar">
    <w:name w:val="TABLA Car"/>
    <w:link w:val="TABLA"/>
    <w:rsid w:val="001E3866"/>
    <w:rPr>
      <w:rFonts w:ascii="Arial Narrow" w:eastAsia="Arial" w:hAnsi="Arial Narrow"/>
      <w:sz w:val="16"/>
      <w:szCs w:val="16"/>
      <w:lang w:val="es-MX" w:eastAsia="es-MX"/>
    </w:rPr>
  </w:style>
  <w:style w:type="paragraph" w:styleId="Subttulo">
    <w:name w:val="Subtitle"/>
    <w:basedOn w:val="Normal"/>
    <w:next w:val="Normal"/>
    <w:link w:val="SubttuloCar"/>
    <w:uiPriority w:val="11"/>
    <w:qFormat/>
    <w:rsid w:val="001E3866"/>
    <w:pPr>
      <w:numPr>
        <w:ilvl w:val="1"/>
      </w:numPr>
      <w:spacing w:before="120" w:after="120" w:line="360" w:lineRule="auto"/>
      <w:ind w:firstLine="709"/>
      <w:jc w:val="both"/>
    </w:pPr>
    <w:rPr>
      <w:rFonts w:eastAsia="Times New Roman"/>
      <w:i/>
      <w:iCs/>
      <w:spacing w:val="15"/>
      <w:sz w:val="28"/>
      <w:lang w:val="es-MX" w:eastAsia="en-US"/>
    </w:rPr>
  </w:style>
  <w:style w:type="character" w:customStyle="1" w:styleId="SubttuloCar">
    <w:name w:val="Subtítulo Car"/>
    <w:link w:val="Subttulo"/>
    <w:uiPriority w:val="11"/>
    <w:rsid w:val="001E3866"/>
    <w:rPr>
      <w:rFonts w:ascii="Arial" w:eastAsia="Times New Roman" w:hAnsi="Arial" w:cs="Times New Roman"/>
      <w:i/>
      <w:iCs/>
      <w:spacing w:val="15"/>
      <w:sz w:val="28"/>
      <w:lang w:val="es-MX" w:eastAsia="en-US"/>
    </w:rPr>
  </w:style>
  <w:style w:type="character" w:styleId="Hipervnculo">
    <w:name w:val="Hyperlink"/>
    <w:uiPriority w:val="99"/>
    <w:unhideWhenUsed/>
    <w:rsid w:val="001E3866"/>
    <w:rPr>
      <w:color w:val="0000FF"/>
      <w:u w:val="single"/>
    </w:rPr>
  </w:style>
  <w:style w:type="character" w:customStyle="1" w:styleId="PrrafodelistaCar">
    <w:name w:val="Párrafo de lista Car"/>
    <w:basedOn w:val="Fuentedeprrafopredeter"/>
    <w:link w:val="Prrafodelista"/>
    <w:uiPriority w:val="34"/>
    <w:rsid w:val="001E3866"/>
  </w:style>
  <w:style w:type="character" w:styleId="Textoennegrita">
    <w:name w:val="Strong"/>
    <w:uiPriority w:val="22"/>
    <w:qFormat/>
    <w:rsid w:val="001E3866"/>
    <w:rPr>
      <w:rFonts w:ascii="Arial Narrow" w:hAnsi="Arial Narrow"/>
      <w:b/>
      <w:bCs/>
      <w:i w:val="0"/>
      <w:color w:val="auto"/>
    </w:rPr>
  </w:style>
  <w:style w:type="character" w:customStyle="1" w:styleId="EpgrafeCar">
    <w:name w:val="Epígrafe Car"/>
    <w:link w:val="Epgrafe"/>
    <w:uiPriority w:val="35"/>
    <w:rsid w:val="00A25078"/>
    <w:rPr>
      <w:rFonts w:ascii="Montserrat" w:eastAsia="Arial" w:hAnsi="Montserrat" w:cs="Arial"/>
      <w:i/>
      <w:iCs/>
      <w:color w:val="000000"/>
      <w:position w:val="-1"/>
      <w:sz w:val="12"/>
      <w:szCs w:val="12"/>
      <w:lang w:val="es-419" w:eastAsia="es-ES"/>
    </w:rPr>
  </w:style>
  <w:style w:type="numbering" w:customStyle="1" w:styleId="Sinlista1">
    <w:name w:val="Sin lista1"/>
    <w:next w:val="Sinlista"/>
    <w:uiPriority w:val="99"/>
    <w:semiHidden/>
    <w:unhideWhenUsed/>
    <w:rsid w:val="001E3866"/>
  </w:style>
  <w:style w:type="paragraph" w:customStyle="1" w:styleId="Style">
    <w:name w:val="Style"/>
    <w:uiPriority w:val="99"/>
    <w:rsid w:val="001E3866"/>
    <w:pPr>
      <w:widowControl w:val="0"/>
      <w:autoSpaceDE w:val="0"/>
      <w:autoSpaceDN w:val="0"/>
      <w:adjustRightInd w:val="0"/>
    </w:pPr>
    <w:rPr>
      <w:rFonts w:eastAsia="Times New Roman" w:cs="Arial"/>
      <w:sz w:val="24"/>
      <w:szCs w:val="24"/>
    </w:rPr>
  </w:style>
  <w:style w:type="table" w:customStyle="1" w:styleId="Tablaconcuadrcula1">
    <w:name w:val="Tabla con cuadrícula1"/>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rsid w:val="001E3866"/>
    <w:rPr>
      <w:sz w:val="16"/>
      <w:szCs w:val="16"/>
    </w:rPr>
  </w:style>
  <w:style w:type="paragraph" w:styleId="Textocomentario">
    <w:name w:val="annotation text"/>
    <w:basedOn w:val="Normal"/>
    <w:link w:val="TextocomentarioCar"/>
    <w:uiPriority w:val="99"/>
    <w:rsid w:val="001E3866"/>
    <w:pPr>
      <w:jc w:val="both"/>
    </w:pPr>
    <w:rPr>
      <w:rFonts w:ascii="Arial Narrow" w:eastAsia="Times New Roman" w:hAnsi="Arial Narrow" w:cs="Tahoma"/>
      <w:sz w:val="20"/>
      <w:szCs w:val="20"/>
      <w:lang w:val="es-MX" w:eastAsia="en-US"/>
    </w:rPr>
  </w:style>
  <w:style w:type="character" w:customStyle="1" w:styleId="TextocomentarioCar">
    <w:name w:val="Texto comentario Car"/>
    <w:link w:val="Textocomentario"/>
    <w:uiPriority w:val="99"/>
    <w:rsid w:val="001E3866"/>
    <w:rPr>
      <w:rFonts w:ascii="Arial Narrow" w:eastAsia="Times New Roman" w:hAnsi="Arial Narrow" w:cs="Tahoma"/>
      <w:sz w:val="20"/>
      <w:szCs w:val="20"/>
      <w:lang w:val="es-MX" w:eastAsia="en-US"/>
    </w:rPr>
  </w:style>
  <w:style w:type="paragraph" w:styleId="Asuntodelcomentario">
    <w:name w:val="annotation subject"/>
    <w:basedOn w:val="Textocomentario"/>
    <w:next w:val="Textocomentario"/>
    <w:link w:val="AsuntodelcomentarioCar"/>
    <w:uiPriority w:val="99"/>
    <w:semiHidden/>
    <w:rsid w:val="001E3866"/>
    <w:rPr>
      <w:b/>
      <w:bCs/>
    </w:rPr>
  </w:style>
  <w:style w:type="character" w:customStyle="1" w:styleId="AsuntodelcomentarioCar">
    <w:name w:val="Asunto del comentario Car"/>
    <w:link w:val="Asuntodelcomentario"/>
    <w:uiPriority w:val="99"/>
    <w:semiHidden/>
    <w:rsid w:val="001E3866"/>
    <w:rPr>
      <w:rFonts w:ascii="Arial Narrow" w:eastAsia="Times New Roman" w:hAnsi="Arial Narrow" w:cs="Tahoma"/>
      <w:b/>
      <w:bCs/>
      <w:sz w:val="20"/>
      <w:szCs w:val="20"/>
      <w:lang w:val="es-MX" w:eastAsia="en-US"/>
    </w:rPr>
  </w:style>
  <w:style w:type="paragraph" w:styleId="TDC1">
    <w:name w:val="toc 1"/>
    <w:basedOn w:val="Normal"/>
    <w:next w:val="Normal"/>
    <w:autoRedefine/>
    <w:uiPriority w:val="39"/>
    <w:rsid w:val="001E3866"/>
    <w:pPr>
      <w:tabs>
        <w:tab w:val="left" w:pos="440"/>
        <w:tab w:val="right" w:leader="dot" w:pos="8460"/>
      </w:tabs>
      <w:ind w:left="567" w:hanging="567"/>
    </w:pPr>
    <w:rPr>
      <w:rFonts w:ascii="Arial Narrow" w:eastAsia="Times New Roman" w:hAnsi="Arial Narrow" w:cs="Tahoma"/>
      <w:bCs/>
      <w:caps/>
      <w:sz w:val="22"/>
      <w:szCs w:val="20"/>
      <w:lang w:val="es-MX" w:eastAsia="en-US"/>
    </w:rPr>
  </w:style>
  <w:style w:type="paragraph" w:styleId="Mapadeldocumento">
    <w:name w:val="Document Map"/>
    <w:basedOn w:val="Normal"/>
    <w:link w:val="MapadeldocumentoCar"/>
    <w:uiPriority w:val="99"/>
    <w:semiHidden/>
    <w:rsid w:val="001E3866"/>
    <w:pPr>
      <w:shd w:val="clear" w:color="auto" w:fill="000080"/>
      <w:jc w:val="both"/>
    </w:pPr>
    <w:rPr>
      <w:rFonts w:ascii="Tahoma" w:eastAsia="Times New Roman" w:hAnsi="Tahoma" w:cs="Tahoma"/>
      <w:sz w:val="20"/>
      <w:szCs w:val="20"/>
      <w:lang w:val="es-MX" w:eastAsia="en-US"/>
    </w:rPr>
  </w:style>
  <w:style w:type="character" w:customStyle="1" w:styleId="MapadeldocumentoCar">
    <w:name w:val="Mapa del documento Car"/>
    <w:link w:val="Mapadeldocumento"/>
    <w:uiPriority w:val="99"/>
    <w:semiHidden/>
    <w:rsid w:val="001E3866"/>
    <w:rPr>
      <w:rFonts w:ascii="Tahoma" w:eastAsia="Times New Roman" w:hAnsi="Tahoma" w:cs="Tahoma"/>
      <w:sz w:val="20"/>
      <w:szCs w:val="20"/>
      <w:shd w:val="clear" w:color="auto" w:fill="000080"/>
      <w:lang w:val="es-MX" w:eastAsia="en-US"/>
    </w:rPr>
  </w:style>
  <w:style w:type="paragraph" w:customStyle="1" w:styleId="p0">
    <w:name w:val="p0"/>
    <w:basedOn w:val="Normal"/>
    <w:uiPriority w:val="99"/>
    <w:rsid w:val="001E3866"/>
    <w:pPr>
      <w:widowControl w:val="0"/>
      <w:spacing w:before="240"/>
      <w:jc w:val="both"/>
    </w:pPr>
    <w:rPr>
      <w:rFonts w:eastAsia="Times New Roman" w:cs="Tahoma"/>
      <w:color w:val="0000FF"/>
      <w:sz w:val="22"/>
      <w:szCs w:val="20"/>
      <w:lang w:val="es-MX" w:eastAsia="en-US"/>
    </w:rPr>
  </w:style>
  <w:style w:type="paragraph" w:styleId="Lista">
    <w:name w:val="List"/>
    <w:basedOn w:val="Normal"/>
    <w:uiPriority w:val="99"/>
    <w:rsid w:val="001E3866"/>
    <w:pPr>
      <w:ind w:left="283" w:hanging="283"/>
      <w:contextualSpacing/>
      <w:jc w:val="both"/>
    </w:pPr>
    <w:rPr>
      <w:rFonts w:ascii="Arial Narrow" w:eastAsia="Times New Roman" w:hAnsi="Arial Narrow" w:cs="Tahoma"/>
      <w:sz w:val="22"/>
      <w:szCs w:val="20"/>
      <w:lang w:val="es-MX" w:eastAsia="en-US"/>
    </w:rPr>
  </w:style>
  <w:style w:type="paragraph" w:styleId="Tabladeilustraciones">
    <w:name w:val="table of figures"/>
    <w:basedOn w:val="Normal"/>
    <w:next w:val="Normal"/>
    <w:uiPriority w:val="99"/>
    <w:rsid w:val="001E3866"/>
    <w:pPr>
      <w:jc w:val="both"/>
    </w:pPr>
    <w:rPr>
      <w:rFonts w:ascii="Arial Narrow" w:eastAsia="Times New Roman" w:hAnsi="Arial Narrow" w:cs="Tahoma"/>
      <w:sz w:val="22"/>
      <w:szCs w:val="20"/>
      <w:lang w:val="es-MX" w:eastAsia="en-US"/>
    </w:rPr>
  </w:style>
  <w:style w:type="paragraph" w:styleId="Lista2">
    <w:name w:val="List 2"/>
    <w:basedOn w:val="Normal"/>
    <w:uiPriority w:val="99"/>
    <w:rsid w:val="001E3866"/>
    <w:pPr>
      <w:ind w:left="566" w:hanging="283"/>
      <w:contextualSpacing/>
      <w:jc w:val="both"/>
    </w:pPr>
    <w:rPr>
      <w:rFonts w:ascii="Arial Narrow" w:eastAsia="Times New Roman" w:hAnsi="Arial Narrow" w:cs="Tahoma"/>
      <w:sz w:val="22"/>
      <w:szCs w:val="20"/>
      <w:lang w:val="es-MX" w:eastAsia="en-US"/>
    </w:rPr>
  </w:style>
  <w:style w:type="paragraph" w:styleId="Lista3">
    <w:name w:val="List 3"/>
    <w:basedOn w:val="Normal"/>
    <w:uiPriority w:val="99"/>
    <w:rsid w:val="001E3866"/>
    <w:pPr>
      <w:ind w:left="849" w:hanging="283"/>
      <w:contextualSpacing/>
      <w:jc w:val="both"/>
    </w:pPr>
    <w:rPr>
      <w:rFonts w:ascii="Arial Narrow" w:eastAsia="Times New Roman" w:hAnsi="Arial Narrow" w:cs="Tahoma"/>
      <w:sz w:val="22"/>
      <w:szCs w:val="20"/>
      <w:lang w:val="es-MX" w:eastAsia="en-US"/>
    </w:rPr>
  </w:style>
  <w:style w:type="paragraph" w:styleId="Lista4">
    <w:name w:val="List 4"/>
    <w:basedOn w:val="Normal"/>
    <w:uiPriority w:val="99"/>
    <w:rsid w:val="001E3866"/>
    <w:pPr>
      <w:ind w:left="1132" w:hanging="283"/>
      <w:contextualSpacing/>
      <w:jc w:val="both"/>
    </w:pPr>
    <w:rPr>
      <w:rFonts w:ascii="Arial Narrow" w:eastAsia="Times New Roman" w:hAnsi="Arial Narrow" w:cs="Tahoma"/>
      <w:sz w:val="22"/>
      <w:szCs w:val="20"/>
      <w:lang w:val="es-MX" w:eastAsia="en-US"/>
    </w:rPr>
  </w:style>
  <w:style w:type="paragraph" w:styleId="Saludo">
    <w:name w:val="Salutation"/>
    <w:basedOn w:val="Normal"/>
    <w:next w:val="Normal"/>
    <w:link w:val="SaludoCar"/>
    <w:uiPriority w:val="99"/>
    <w:rsid w:val="001E3866"/>
    <w:pPr>
      <w:jc w:val="both"/>
    </w:pPr>
    <w:rPr>
      <w:rFonts w:ascii="Arial Narrow" w:eastAsia="Times New Roman" w:hAnsi="Arial Narrow" w:cs="Tahoma"/>
      <w:sz w:val="22"/>
      <w:szCs w:val="20"/>
      <w:lang w:val="es-MX" w:eastAsia="en-US"/>
    </w:rPr>
  </w:style>
  <w:style w:type="character" w:customStyle="1" w:styleId="SaludoCar">
    <w:name w:val="Saludo Car"/>
    <w:link w:val="Saludo"/>
    <w:uiPriority w:val="99"/>
    <w:rsid w:val="001E3866"/>
    <w:rPr>
      <w:rFonts w:ascii="Arial Narrow" w:eastAsia="Times New Roman" w:hAnsi="Arial Narrow" w:cs="Tahoma"/>
      <w:sz w:val="22"/>
      <w:szCs w:val="20"/>
      <w:lang w:val="es-MX" w:eastAsia="en-US"/>
    </w:rPr>
  </w:style>
  <w:style w:type="paragraph" w:styleId="Listaconvietas4">
    <w:name w:val="List Bullet 4"/>
    <w:basedOn w:val="Normal"/>
    <w:uiPriority w:val="99"/>
    <w:rsid w:val="001E3866"/>
    <w:pPr>
      <w:numPr>
        <w:numId w:val="2"/>
      </w:numPr>
      <w:tabs>
        <w:tab w:val="clear" w:pos="1209"/>
      </w:tabs>
      <w:ind w:left="1287" w:hanging="432"/>
      <w:contextualSpacing/>
      <w:jc w:val="both"/>
    </w:pPr>
    <w:rPr>
      <w:rFonts w:ascii="Arial Narrow" w:eastAsia="Times New Roman" w:hAnsi="Arial Narrow" w:cs="Tahoma"/>
      <w:sz w:val="22"/>
      <w:szCs w:val="20"/>
      <w:lang w:val="es-MX" w:eastAsia="en-US"/>
    </w:rPr>
  </w:style>
  <w:style w:type="paragraph" w:styleId="Continuarlista">
    <w:name w:val="List Continue"/>
    <w:basedOn w:val="Normal"/>
    <w:uiPriority w:val="99"/>
    <w:rsid w:val="001E3866"/>
    <w:pPr>
      <w:spacing w:after="120"/>
      <w:ind w:left="283"/>
      <w:contextualSpacing/>
      <w:jc w:val="both"/>
    </w:pPr>
    <w:rPr>
      <w:rFonts w:ascii="Arial Narrow" w:eastAsia="Times New Roman" w:hAnsi="Arial Narrow" w:cs="Tahoma"/>
      <w:sz w:val="22"/>
      <w:szCs w:val="20"/>
      <w:lang w:val="es-MX" w:eastAsia="en-US"/>
    </w:rPr>
  </w:style>
  <w:style w:type="paragraph" w:styleId="Continuarlista2">
    <w:name w:val="List Continue 2"/>
    <w:basedOn w:val="Normal"/>
    <w:uiPriority w:val="99"/>
    <w:rsid w:val="001E3866"/>
    <w:pPr>
      <w:spacing w:after="120"/>
      <w:ind w:left="566"/>
      <w:contextualSpacing/>
      <w:jc w:val="both"/>
    </w:pPr>
    <w:rPr>
      <w:rFonts w:ascii="Arial Narrow" w:eastAsia="Times New Roman" w:hAnsi="Arial Narrow" w:cs="Tahoma"/>
      <w:sz w:val="22"/>
      <w:szCs w:val="20"/>
      <w:lang w:val="es-MX" w:eastAsia="en-US"/>
    </w:rPr>
  </w:style>
  <w:style w:type="paragraph" w:styleId="Continuarlista3">
    <w:name w:val="List Continue 3"/>
    <w:basedOn w:val="Normal"/>
    <w:uiPriority w:val="99"/>
    <w:rsid w:val="001E3866"/>
    <w:pPr>
      <w:spacing w:after="120"/>
      <w:ind w:left="849"/>
      <w:contextualSpacing/>
      <w:jc w:val="both"/>
    </w:pPr>
    <w:rPr>
      <w:rFonts w:ascii="Arial Narrow" w:eastAsia="Times New Roman" w:hAnsi="Arial Narrow" w:cs="Tahoma"/>
      <w:sz w:val="22"/>
      <w:szCs w:val="20"/>
      <w:lang w:val="es-MX" w:eastAsia="en-US"/>
    </w:rPr>
  </w:style>
  <w:style w:type="paragraph" w:styleId="Textoindependiente">
    <w:name w:val="Body Text"/>
    <w:aliases w:val="Letrero margen"/>
    <w:basedOn w:val="Normal"/>
    <w:link w:val="TextoindependienteCar"/>
    <w:uiPriority w:val="99"/>
    <w:rsid w:val="001E3866"/>
    <w:pPr>
      <w:spacing w:after="120"/>
      <w:jc w:val="both"/>
    </w:pPr>
    <w:rPr>
      <w:rFonts w:ascii="Arial Narrow" w:eastAsia="Times New Roman" w:hAnsi="Arial Narrow" w:cs="Tahoma"/>
      <w:sz w:val="22"/>
      <w:szCs w:val="20"/>
      <w:lang w:val="es-MX" w:eastAsia="en-US"/>
    </w:rPr>
  </w:style>
  <w:style w:type="character" w:customStyle="1" w:styleId="TextoindependienteCar">
    <w:name w:val="Texto independiente Car"/>
    <w:aliases w:val="Letrero margen Car"/>
    <w:link w:val="Textoindependiente"/>
    <w:uiPriority w:val="99"/>
    <w:rsid w:val="001E3866"/>
    <w:rPr>
      <w:rFonts w:ascii="Arial Narrow" w:eastAsia="Times New Roman" w:hAnsi="Arial Narrow" w:cs="Tahoma"/>
      <w:sz w:val="22"/>
      <w:szCs w:val="20"/>
      <w:lang w:val="es-MX" w:eastAsia="en-US"/>
    </w:rPr>
  </w:style>
  <w:style w:type="paragraph" w:styleId="Sangradetextonormal">
    <w:name w:val="Body Text Indent"/>
    <w:basedOn w:val="Normal"/>
    <w:link w:val="SangradetextonormalCar"/>
    <w:uiPriority w:val="99"/>
    <w:rsid w:val="001E3866"/>
    <w:pPr>
      <w:spacing w:after="120"/>
      <w:ind w:left="283"/>
      <w:jc w:val="both"/>
    </w:pPr>
    <w:rPr>
      <w:rFonts w:ascii="Arial Narrow" w:eastAsia="Times New Roman" w:hAnsi="Arial Narrow" w:cs="Tahoma"/>
      <w:sz w:val="22"/>
      <w:szCs w:val="20"/>
      <w:lang w:val="es-MX" w:eastAsia="en-US"/>
    </w:rPr>
  </w:style>
  <w:style w:type="character" w:customStyle="1" w:styleId="SangradetextonormalCar">
    <w:name w:val="Sangría de texto normal Car"/>
    <w:link w:val="Sangradetextonormal"/>
    <w:uiPriority w:val="99"/>
    <w:rsid w:val="001E3866"/>
    <w:rPr>
      <w:rFonts w:ascii="Arial Narrow" w:eastAsia="Times New Roman" w:hAnsi="Arial Narrow" w:cs="Tahoma"/>
      <w:sz w:val="22"/>
      <w:szCs w:val="20"/>
      <w:lang w:val="es-MX" w:eastAsia="en-US"/>
    </w:rPr>
  </w:style>
  <w:style w:type="paragraph" w:styleId="Textoindependienteprimerasangra">
    <w:name w:val="Body Text First Indent"/>
    <w:basedOn w:val="Textoindependiente"/>
    <w:link w:val="TextoindependienteprimerasangraCar"/>
    <w:uiPriority w:val="99"/>
    <w:rsid w:val="001E3866"/>
    <w:pPr>
      <w:spacing w:after="0"/>
      <w:ind w:firstLine="360"/>
    </w:pPr>
  </w:style>
  <w:style w:type="character" w:customStyle="1" w:styleId="TextoindependienteprimerasangraCar">
    <w:name w:val="Texto independiente primera sangría Car"/>
    <w:link w:val="Textoindependienteprimerasangra"/>
    <w:uiPriority w:val="99"/>
    <w:rsid w:val="001E3866"/>
    <w:rPr>
      <w:rFonts w:ascii="Arial Narrow" w:eastAsia="Times New Roman" w:hAnsi="Arial Narrow" w:cs="Tahoma"/>
      <w:sz w:val="22"/>
      <w:szCs w:val="20"/>
      <w:lang w:val="es-MX" w:eastAsia="en-US"/>
    </w:rPr>
  </w:style>
  <w:style w:type="paragraph" w:styleId="Textoindependienteprimerasangra2">
    <w:name w:val="Body Text First Indent 2"/>
    <w:basedOn w:val="Sangradetextonormal"/>
    <w:link w:val="Textoindependienteprimerasangra2Car"/>
    <w:uiPriority w:val="99"/>
    <w:rsid w:val="001E3866"/>
    <w:pPr>
      <w:spacing w:after="0"/>
      <w:ind w:left="360" w:firstLine="360"/>
    </w:pPr>
  </w:style>
  <w:style w:type="character" w:customStyle="1" w:styleId="Textoindependienteprimerasangra2Car">
    <w:name w:val="Texto independiente primera sangría 2 Car"/>
    <w:link w:val="Textoindependienteprimerasangra2"/>
    <w:uiPriority w:val="99"/>
    <w:rsid w:val="001E3866"/>
    <w:rPr>
      <w:rFonts w:ascii="Arial Narrow" w:eastAsia="Times New Roman" w:hAnsi="Arial Narrow" w:cs="Tahoma"/>
      <w:sz w:val="22"/>
      <w:szCs w:val="20"/>
      <w:lang w:val="es-MX" w:eastAsia="en-US"/>
    </w:rPr>
  </w:style>
  <w:style w:type="paragraph" w:styleId="Revisin">
    <w:name w:val="Revision"/>
    <w:hidden/>
    <w:uiPriority w:val="99"/>
    <w:semiHidden/>
    <w:rsid w:val="001E3866"/>
    <w:rPr>
      <w:rFonts w:ascii="Times New Roman" w:eastAsia="Times New Roman" w:hAnsi="Times New Roman" w:cs="Tahoma"/>
      <w:sz w:val="24"/>
      <w:szCs w:val="24"/>
      <w:lang w:val="es-ES" w:eastAsia="es-ES"/>
    </w:rPr>
  </w:style>
  <w:style w:type="paragraph" w:customStyle="1" w:styleId="Default">
    <w:name w:val="Default"/>
    <w:rsid w:val="001E3866"/>
    <w:pPr>
      <w:autoSpaceDE w:val="0"/>
      <w:autoSpaceDN w:val="0"/>
      <w:adjustRightInd w:val="0"/>
    </w:pPr>
    <w:rPr>
      <w:rFonts w:ascii="Futura Lt BT" w:eastAsia="Times New Roman" w:hAnsi="Futura Lt BT" w:cs="Futura Lt BT"/>
      <w:color w:val="000000"/>
      <w:sz w:val="24"/>
      <w:szCs w:val="24"/>
      <w:lang w:eastAsia="en-US"/>
    </w:rPr>
  </w:style>
  <w:style w:type="paragraph" w:styleId="Textonotaalfinal">
    <w:name w:val="endnote text"/>
    <w:basedOn w:val="Normal"/>
    <w:link w:val="TextonotaalfinalCar"/>
    <w:uiPriority w:val="99"/>
    <w:rsid w:val="001E3866"/>
    <w:pPr>
      <w:jc w:val="both"/>
    </w:pPr>
    <w:rPr>
      <w:rFonts w:ascii="Arial Narrow" w:eastAsia="Times New Roman" w:hAnsi="Arial Narrow" w:cs="Tahoma"/>
      <w:sz w:val="20"/>
      <w:szCs w:val="20"/>
      <w:lang w:val="es-MX" w:eastAsia="en-US"/>
    </w:rPr>
  </w:style>
  <w:style w:type="character" w:customStyle="1" w:styleId="TextonotaalfinalCar">
    <w:name w:val="Texto nota al final Car"/>
    <w:link w:val="Textonotaalfinal"/>
    <w:uiPriority w:val="99"/>
    <w:rsid w:val="001E3866"/>
    <w:rPr>
      <w:rFonts w:ascii="Arial Narrow" w:eastAsia="Times New Roman" w:hAnsi="Arial Narrow" w:cs="Tahoma"/>
      <w:sz w:val="20"/>
      <w:szCs w:val="20"/>
      <w:lang w:val="es-MX" w:eastAsia="en-US"/>
    </w:rPr>
  </w:style>
  <w:style w:type="character" w:styleId="Refdenotaalfinal">
    <w:name w:val="endnote reference"/>
    <w:rsid w:val="001E3866"/>
    <w:rPr>
      <w:vertAlign w:val="superscript"/>
    </w:rPr>
  </w:style>
  <w:style w:type="paragraph" w:customStyle="1" w:styleId="Normal1">
    <w:name w:val="Normal1"/>
    <w:basedOn w:val="Normal"/>
    <w:uiPriority w:val="99"/>
    <w:rsid w:val="001E3866"/>
    <w:pPr>
      <w:widowControl w:val="0"/>
      <w:autoSpaceDE w:val="0"/>
      <w:autoSpaceDN w:val="0"/>
      <w:jc w:val="both"/>
    </w:pPr>
    <w:rPr>
      <w:rFonts w:ascii="Arial Narrow" w:eastAsia="Times New Roman" w:hAnsi="Arial Narrow" w:cs="Tahoma"/>
      <w:b/>
      <w:bCs/>
      <w:i/>
      <w:iCs/>
      <w:sz w:val="22"/>
      <w:szCs w:val="20"/>
      <w:lang w:eastAsia="en-US"/>
    </w:rPr>
  </w:style>
  <w:style w:type="paragraph" w:styleId="Textodebloque">
    <w:name w:val="Block Text"/>
    <w:basedOn w:val="Normal"/>
    <w:uiPriority w:val="99"/>
    <w:rsid w:val="001E3866"/>
    <w:pPr>
      <w:widowControl w:val="0"/>
      <w:tabs>
        <w:tab w:val="left" w:pos="426"/>
      </w:tabs>
      <w:autoSpaceDE w:val="0"/>
      <w:autoSpaceDN w:val="0"/>
      <w:ind w:left="1134" w:right="-91" w:hanging="1134"/>
      <w:jc w:val="both"/>
    </w:pPr>
    <w:rPr>
      <w:rFonts w:ascii="Arial Narrow" w:eastAsia="Times New Roman" w:hAnsi="Arial Narrow" w:cs="Tahoma"/>
      <w:b/>
      <w:bCs/>
      <w:sz w:val="22"/>
      <w:szCs w:val="20"/>
      <w:lang w:eastAsia="en-US"/>
    </w:rPr>
  </w:style>
  <w:style w:type="paragraph" w:styleId="Sangra2detindependiente">
    <w:name w:val="Body Text Indent 2"/>
    <w:basedOn w:val="Normal"/>
    <w:link w:val="Sangra2detindependienteCar"/>
    <w:uiPriority w:val="99"/>
    <w:rsid w:val="001E3866"/>
    <w:pPr>
      <w:widowControl w:val="0"/>
      <w:tabs>
        <w:tab w:val="left" w:pos="426"/>
      </w:tabs>
      <w:autoSpaceDE w:val="0"/>
      <w:autoSpaceDN w:val="0"/>
      <w:ind w:right="-91" w:firstLine="1134"/>
      <w:jc w:val="both"/>
    </w:pPr>
    <w:rPr>
      <w:rFonts w:ascii="Arial Narrow" w:eastAsia="Times New Roman" w:hAnsi="Arial Narrow" w:cs="Tahoma"/>
      <w:sz w:val="22"/>
      <w:szCs w:val="20"/>
      <w:lang w:eastAsia="en-US"/>
    </w:rPr>
  </w:style>
  <w:style w:type="character" w:customStyle="1" w:styleId="Sangra2detindependienteCar">
    <w:name w:val="Sangría 2 de t. independiente Car"/>
    <w:link w:val="Sangra2detindependiente"/>
    <w:uiPriority w:val="99"/>
    <w:rsid w:val="001E3866"/>
    <w:rPr>
      <w:rFonts w:ascii="Arial Narrow" w:eastAsia="Times New Roman" w:hAnsi="Arial Narrow" w:cs="Tahoma"/>
      <w:sz w:val="22"/>
      <w:szCs w:val="20"/>
      <w:lang w:eastAsia="en-US"/>
    </w:rPr>
  </w:style>
  <w:style w:type="paragraph" w:customStyle="1" w:styleId="Ttulo10">
    <w:name w:val="Título1"/>
    <w:basedOn w:val="Normal"/>
    <w:next w:val="Normal"/>
    <w:uiPriority w:val="10"/>
    <w:qFormat/>
    <w:rsid w:val="001E3866"/>
    <w:pPr>
      <w:contextualSpacing/>
      <w:jc w:val="both"/>
    </w:pPr>
    <w:rPr>
      <w:rFonts w:ascii="Arial Narrow" w:eastAsia="Times New Roman" w:hAnsi="Arial Narrow"/>
      <w:spacing w:val="-10"/>
      <w:sz w:val="56"/>
      <w:szCs w:val="56"/>
      <w:lang w:val="es-MX" w:eastAsia="en-US"/>
    </w:rPr>
  </w:style>
  <w:style w:type="character" w:customStyle="1" w:styleId="TtuloCar1">
    <w:name w:val="Título Car1"/>
    <w:uiPriority w:val="10"/>
    <w:rsid w:val="001E3866"/>
    <w:rPr>
      <w:rFonts w:ascii="Arial Narrow" w:eastAsia="Times New Roman" w:hAnsi="Arial Narrow" w:cs="Times New Roman"/>
      <w:spacing w:val="-10"/>
      <w:sz w:val="56"/>
      <w:szCs w:val="56"/>
    </w:rPr>
  </w:style>
  <w:style w:type="paragraph" w:styleId="Sangra3detindependiente">
    <w:name w:val="Body Text Indent 3"/>
    <w:basedOn w:val="Normal"/>
    <w:link w:val="Sangra3detindependienteCar"/>
    <w:uiPriority w:val="99"/>
    <w:rsid w:val="001E3866"/>
    <w:pPr>
      <w:widowControl w:val="0"/>
      <w:tabs>
        <w:tab w:val="left" w:pos="426"/>
      </w:tabs>
      <w:autoSpaceDE w:val="0"/>
      <w:autoSpaceDN w:val="0"/>
      <w:ind w:firstLine="1134"/>
      <w:jc w:val="both"/>
    </w:pPr>
    <w:rPr>
      <w:rFonts w:ascii="Arial Narrow" w:eastAsia="Times New Roman" w:hAnsi="Arial Narrow" w:cs="Tahoma"/>
      <w:sz w:val="22"/>
      <w:szCs w:val="20"/>
      <w:lang w:eastAsia="en-US"/>
    </w:rPr>
  </w:style>
  <w:style w:type="character" w:customStyle="1" w:styleId="Sangra3detindependienteCar">
    <w:name w:val="Sangría 3 de t. independiente Car"/>
    <w:link w:val="Sangra3detindependiente"/>
    <w:uiPriority w:val="99"/>
    <w:rsid w:val="001E3866"/>
    <w:rPr>
      <w:rFonts w:ascii="Arial Narrow" w:eastAsia="Times New Roman" w:hAnsi="Arial Narrow" w:cs="Tahoma"/>
      <w:sz w:val="22"/>
      <w:szCs w:val="20"/>
      <w:lang w:eastAsia="en-US"/>
    </w:rPr>
  </w:style>
  <w:style w:type="paragraph" w:styleId="Textosinformato">
    <w:name w:val="Plain Text"/>
    <w:basedOn w:val="Normal"/>
    <w:link w:val="TextosinformatoCar"/>
    <w:rsid w:val="001E3866"/>
    <w:pPr>
      <w:jc w:val="both"/>
    </w:pPr>
    <w:rPr>
      <w:rFonts w:ascii="Courier New" w:eastAsia="Times New Roman" w:hAnsi="Courier New" w:cs="Tahoma"/>
      <w:sz w:val="20"/>
      <w:szCs w:val="20"/>
      <w:lang w:val="es-MX" w:eastAsia="en-US"/>
    </w:rPr>
  </w:style>
  <w:style w:type="character" w:customStyle="1" w:styleId="TextosinformatoCar">
    <w:name w:val="Texto sin formato Car"/>
    <w:link w:val="Textosinformato"/>
    <w:rsid w:val="001E3866"/>
    <w:rPr>
      <w:rFonts w:ascii="Courier New" w:eastAsia="Times New Roman" w:hAnsi="Courier New" w:cs="Tahoma"/>
      <w:sz w:val="20"/>
      <w:szCs w:val="20"/>
      <w:lang w:val="es-MX" w:eastAsia="en-US"/>
    </w:rPr>
  </w:style>
  <w:style w:type="paragraph" w:customStyle="1" w:styleId="Pa11">
    <w:name w:val="Pa11"/>
    <w:basedOn w:val="Normal"/>
    <w:next w:val="Normal"/>
    <w:uiPriority w:val="99"/>
    <w:rsid w:val="001E3866"/>
    <w:pPr>
      <w:autoSpaceDE w:val="0"/>
      <w:autoSpaceDN w:val="0"/>
      <w:adjustRightInd w:val="0"/>
      <w:spacing w:before="40" w:after="100" w:line="201" w:lineRule="atLeast"/>
      <w:jc w:val="both"/>
    </w:pPr>
    <w:rPr>
      <w:rFonts w:ascii="RotisSansSerif" w:eastAsia="Times New Roman" w:hAnsi="RotisSansSerif" w:cs="Tahoma"/>
      <w:sz w:val="22"/>
      <w:szCs w:val="20"/>
      <w:lang w:val="es-MX" w:eastAsia="en-US"/>
    </w:rPr>
  </w:style>
  <w:style w:type="paragraph" w:styleId="Sinespaciado">
    <w:name w:val="No Spacing"/>
    <w:link w:val="SinespaciadoCar"/>
    <w:uiPriority w:val="1"/>
    <w:qFormat/>
    <w:rsid w:val="001E3866"/>
    <w:rPr>
      <w:rFonts w:ascii="Arial Narrow" w:eastAsia="Times New Roman" w:hAnsi="Arial Narrow" w:cs="Tahoma"/>
      <w:sz w:val="18"/>
      <w:lang w:eastAsia="en-US"/>
    </w:rPr>
  </w:style>
  <w:style w:type="character" w:styleId="Hipervnculovisitado">
    <w:name w:val="FollowedHyperlink"/>
    <w:uiPriority w:val="99"/>
    <w:unhideWhenUsed/>
    <w:rsid w:val="001E3866"/>
    <w:rPr>
      <w:color w:val="800080"/>
      <w:u w:val="single"/>
    </w:rPr>
  </w:style>
  <w:style w:type="paragraph" w:customStyle="1" w:styleId="xl87">
    <w:name w:val="xl87"/>
    <w:basedOn w:val="Normal"/>
    <w:rsid w:val="001E3866"/>
    <w:pP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88">
    <w:name w:val="xl88"/>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89">
    <w:name w:val="xl89"/>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0">
    <w:name w:val="xl90"/>
    <w:basedOn w:val="Normal"/>
    <w:rsid w:val="001E3866"/>
    <w:pPr>
      <w:spacing w:before="100" w:beforeAutospacing="1" w:after="100" w:afterAutospacing="1"/>
      <w:jc w:val="both"/>
    </w:pPr>
    <w:rPr>
      <w:rFonts w:ascii="Arial Narrow" w:eastAsia="Times New Roman" w:hAnsi="Arial Narrow" w:cs="Tahoma"/>
      <w:sz w:val="18"/>
      <w:szCs w:val="18"/>
      <w:lang w:val="es-MX" w:eastAsia="es-MX"/>
    </w:rPr>
  </w:style>
  <w:style w:type="paragraph" w:customStyle="1" w:styleId="xl91">
    <w:name w:val="xl91"/>
    <w:basedOn w:val="Normal"/>
    <w:rsid w:val="001E3866"/>
    <w:pPr>
      <w:spacing w:before="100" w:beforeAutospacing="1" w:after="100" w:afterAutospacing="1"/>
      <w:jc w:val="both"/>
    </w:pPr>
    <w:rPr>
      <w:rFonts w:ascii="Arial Narrow" w:eastAsia="Times New Roman" w:hAnsi="Arial Narrow" w:cs="Tahoma"/>
      <w:b/>
      <w:bCs/>
      <w:sz w:val="22"/>
      <w:szCs w:val="20"/>
      <w:lang w:val="es-MX" w:eastAsia="es-MX"/>
    </w:rPr>
  </w:style>
  <w:style w:type="paragraph" w:customStyle="1" w:styleId="xl92">
    <w:name w:val="xl92"/>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3">
    <w:name w:val="xl93"/>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4">
    <w:name w:val="xl94"/>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5">
    <w:name w:val="xl95"/>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6">
    <w:name w:val="xl96"/>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7">
    <w:name w:val="xl97"/>
    <w:basedOn w:val="Normal"/>
    <w:rsid w:val="001E3866"/>
    <w:pPr>
      <w:spacing w:before="100" w:beforeAutospacing="1" w:after="100" w:afterAutospacing="1"/>
      <w:jc w:val="center"/>
    </w:pPr>
    <w:rPr>
      <w:rFonts w:ascii="Arial Narrow" w:eastAsia="Times New Roman" w:hAnsi="Arial Narrow" w:cs="Tahoma"/>
      <w:sz w:val="16"/>
      <w:szCs w:val="16"/>
      <w:lang w:val="es-MX" w:eastAsia="es-MX"/>
    </w:rPr>
  </w:style>
  <w:style w:type="paragraph" w:customStyle="1" w:styleId="xl98">
    <w:name w:val="xl98"/>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9">
    <w:name w:val="xl99"/>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CharCharCarCharCarCharCarCharCarCharCar">
    <w:name w:val="Char Char Car Char Car Char Car Char Car Char Car"/>
    <w:basedOn w:val="Normal"/>
    <w:uiPriority w:val="99"/>
    <w:rsid w:val="001E3866"/>
    <w:pPr>
      <w:autoSpaceDE w:val="0"/>
      <w:autoSpaceDN w:val="0"/>
      <w:spacing w:after="160" w:line="240" w:lineRule="exact"/>
      <w:jc w:val="both"/>
    </w:pPr>
    <w:rPr>
      <w:rFonts w:ascii="Calibri" w:eastAsia="Times New Roman" w:hAnsi="Calibri" w:cs="Arial"/>
      <w:sz w:val="20"/>
      <w:szCs w:val="20"/>
      <w:lang w:val="en-US" w:eastAsia="en-US" w:bidi="en-US"/>
    </w:rPr>
  </w:style>
  <w:style w:type="paragraph" w:customStyle="1" w:styleId="PRIMERPARRAFO">
    <w:name w:val="PRIMER PARRAFO"/>
    <w:uiPriority w:val="99"/>
    <w:rsid w:val="001E3866"/>
    <w:pPr>
      <w:spacing w:after="240" w:line="240" w:lineRule="exact"/>
      <w:jc w:val="both"/>
    </w:pPr>
    <w:rPr>
      <w:rFonts w:ascii="Arial Narrow" w:eastAsia="Times New Roman" w:hAnsi="Arial Narrow" w:cs="Tahoma"/>
      <w:sz w:val="18"/>
      <w:lang w:val="es-ES_tradnl" w:eastAsia="es-ES"/>
    </w:rPr>
  </w:style>
  <w:style w:type="paragraph" w:customStyle="1" w:styleId="Cabeza">
    <w:name w:val="Cabeza"/>
    <w:uiPriority w:val="99"/>
    <w:rsid w:val="001E3866"/>
    <w:pPr>
      <w:spacing w:after="200" w:line="276" w:lineRule="auto"/>
    </w:pPr>
    <w:rPr>
      <w:rFonts w:eastAsia="Times New Roman" w:cs="Tahoma"/>
      <w:color w:val="000000"/>
      <w:sz w:val="18"/>
      <w:lang w:eastAsia="es-ES"/>
    </w:rPr>
  </w:style>
  <w:style w:type="paragraph" w:customStyle="1" w:styleId="VIETACar">
    <w:name w:val="_VIÑETA Car"/>
    <w:aliases w:val="NEGRA Car"/>
    <w:basedOn w:val="Normal"/>
    <w:uiPriority w:val="99"/>
    <w:rsid w:val="001E3866"/>
    <w:pPr>
      <w:tabs>
        <w:tab w:val="num" w:pos="340"/>
      </w:tabs>
      <w:spacing w:before="110" w:after="110" w:line="260" w:lineRule="exact"/>
      <w:ind w:left="340" w:hanging="340"/>
      <w:jc w:val="both"/>
    </w:pPr>
    <w:rPr>
      <w:rFonts w:ascii="Arial Narrow" w:eastAsia="Times New Roman" w:hAnsi="Arial Narrow" w:cs="Tahoma"/>
      <w:sz w:val="21"/>
      <w:szCs w:val="20"/>
      <w:lang w:val="es-MX" w:eastAsia="en-US" w:bidi="en-US"/>
    </w:rPr>
  </w:style>
  <w:style w:type="paragraph" w:customStyle="1" w:styleId="xl23">
    <w:name w:val="xl23"/>
    <w:basedOn w:val="Normal"/>
    <w:uiPriority w:val="99"/>
    <w:rsid w:val="001E3866"/>
    <w:pPr>
      <w:pBdr>
        <w:left w:val="single" w:sz="4" w:space="0" w:color="auto"/>
        <w:right w:val="single" w:sz="4" w:space="0" w:color="auto"/>
      </w:pBdr>
      <w:spacing w:before="100" w:beforeAutospacing="1" w:after="100" w:afterAutospacing="1" w:line="276" w:lineRule="auto"/>
      <w:jc w:val="center"/>
    </w:pPr>
    <w:rPr>
      <w:rFonts w:ascii="Calibri" w:eastAsia="Arial Unicode MS" w:hAnsi="Calibri" w:cs="Arial"/>
      <w:b/>
      <w:bCs/>
      <w:sz w:val="16"/>
      <w:szCs w:val="16"/>
      <w:lang w:val="es-MX" w:eastAsia="en-US" w:bidi="en-US"/>
    </w:rPr>
  </w:style>
  <w:style w:type="paragraph" w:customStyle="1" w:styleId="xl22">
    <w:name w:val="xl22"/>
    <w:basedOn w:val="Normal"/>
    <w:uiPriority w:val="99"/>
    <w:rsid w:val="001E3866"/>
    <w:pPr>
      <w:spacing w:before="100" w:beforeAutospacing="1" w:after="100" w:afterAutospacing="1" w:line="276" w:lineRule="auto"/>
      <w:jc w:val="both"/>
    </w:pPr>
    <w:rPr>
      <w:rFonts w:ascii="Calibri" w:eastAsia="Arial Unicode MS" w:hAnsi="Calibri" w:cs="Arial"/>
      <w:sz w:val="16"/>
      <w:szCs w:val="16"/>
      <w:lang w:val="es-MX" w:eastAsia="en-US" w:bidi="en-US"/>
    </w:rPr>
  </w:style>
  <w:style w:type="paragraph" w:customStyle="1" w:styleId="Estilo1">
    <w:name w:val="Estilo1"/>
    <w:basedOn w:val="Normal"/>
    <w:autoRedefine/>
    <w:uiPriority w:val="99"/>
    <w:rsid w:val="001E3866"/>
    <w:pPr>
      <w:spacing w:before="60" w:line="276" w:lineRule="auto"/>
      <w:jc w:val="both"/>
    </w:pPr>
    <w:rPr>
      <w:rFonts w:ascii="Arial Narrow" w:eastAsia="Times New Roman" w:hAnsi="Arial Narrow" w:cs="Arial"/>
      <w:sz w:val="16"/>
      <w:szCs w:val="20"/>
      <w:lang w:eastAsia="en-US" w:bidi="en-US"/>
    </w:rPr>
  </w:style>
  <w:style w:type="character" w:customStyle="1" w:styleId="Negritas">
    <w:name w:val="Negritas"/>
    <w:aliases w:val="Parrafo"/>
    <w:rsid w:val="001E3866"/>
    <w:rPr>
      <w:b/>
      <w:sz w:val="20"/>
    </w:rPr>
  </w:style>
  <w:style w:type="paragraph" w:styleId="Textoindependiente3">
    <w:name w:val="Body Text 3"/>
    <w:basedOn w:val="Normal"/>
    <w:link w:val="Textoindependiente3Car"/>
    <w:uiPriority w:val="99"/>
    <w:rsid w:val="001E3866"/>
    <w:pPr>
      <w:autoSpaceDE w:val="0"/>
      <w:autoSpaceDN w:val="0"/>
      <w:adjustRightInd w:val="0"/>
      <w:spacing w:after="60" w:line="276" w:lineRule="auto"/>
      <w:jc w:val="both"/>
    </w:pPr>
    <w:rPr>
      <w:rFonts w:ascii="Calibri" w:eastAsia="Times New Roman" w:hAnsi="Calibri" w:cs="Arial"/>
      <w:b/>
      <w:bCs/>
      <w:color w:val="000000"/>
      <w:sz w:val="18"/>
      <w:szCs w:val="14"/>
      <w:lang w:eastAsia="en-US" w:bidi="en-US"/>
    </w:rPr>
  </w:style>
  <w:style w:type="character" w:customStyle="1" w:styleId="Textoindependiente3Car">
    <w:name w:val="Texto independiente 3 Car"/>
    <w:link w:val="Textoindependiente3"/>
    <w:uiPriority w:val="99"/>
    <w:rsid w:val="001E3866"/>
    <w:rPr>
      <w:rFonts w:ascii="Calibri" w:eastAsia="Times New Roman" w:hAnsi="Calibri" w:cs="Arial"/>
      <w:b/>
      <w:bCs/>
      <w:color w:val="000000"/>
      <w:sz w:val="18"/>
      <w:szCs w:val="14"/>
      <w:lang w:eastAsia="en-US" w:bidi="en-US"/>
    </w:rPr>
  </w:style>
  <w:style w:type="paragraph" w:customStyle="1" w:styleId="xl24">
    <w:name w:val="xl24"/>
    <w:basedOn w:val="Normal"/>
    <w:uiPriority w:val="99"/>
    <w:rsid w:val="001E3866"/>
    <w:pPr>
      <w:spacing w:before="100" w:beforeAutospacing="1" w:after="100" w:afterAutospacing="1" w:line="276" w:lineRule="auto"/>
      <w:jc w:val="both"/>
    </w:pPr>
    <w:rPr>
      <w:rFonts w:ascii="Univers" w:eastAsia="Arial Unicode MS" w:hAnsi="Univers" w:cs="Arial Unicode MS"/>
      <w:sz w:val="14"/>
      <w:szCs w:val="14"/>
      <w:lang w:val="es-MX" w:eastAsia="en-US" w:bidi="en-US"/>
    </w:rPr>
  </w:style>
  <w:style w:type="paragraph" w:customStyle="1" w:styleId="xl25">
    <w:name w:val="xl25"/>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6">
    <w:name w:val="xl26"/>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7">
    <w:name w:val="xl27"/>
    <w:basedOn w:val="Normal"/>
    <w:uiPriority w:val="99"/>
    <w:rsid w:val="001E3866"/>
    <w:pPr>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28">
    <w:name w:val="xl28"/>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9">
    <w:name w:val="xl29"/>
    <w:basedOn w:val="Normal"/>
    <w:uiPriority w:val="99"/>
    <w:rsid w:val="001E3866"/>
    <w:pPr>
      <w:pBdr>
        <w:top w:val="single" w:sz="4" w:space="0" w:color="auto"/>
      </w:pBd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0">
    <w:name w:val="xl30"/>
    <w:basedOn w:val="Normal"/>
    <w:uiPriority w:val="99"/>
    <w:rsid w:val="001E3866"/>
    <w:pPr>
      <w:pBdr>
        <w:top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31">
    <w:name w:val="xl31"/>
    <w:basedOn w:val="Normal"/>
    <w:uiPriority w:val="99"/>
    <w:rsid w:val="001E3866"/>
    <w:pPr>
      <w:pBdr>
        <w:top w:val="single" w:sz="4" w:space="0" w:color="auto"/>
      </w:pBdr>
      <w:shd w:val="clear" w:color="auto" w:fill="C0C0C0"/>
      <w:spacing w:before="100" w:beforeAutospacing="1" w:after="100" w:afterAutospacing="1" w:line="276" w:lineRule="auto"/>
      <w:jc w:val="center"/>
      <w:textAlignment w:val="center"/>
    </w:pPr>
    <w:rPr>
      <w:rFonts w:ascii="Calibri" w:eastAsia="Arial Unicode MS" w:hAnsi="Calibri" w:cs="Arial"/>
      <w:b/>
      <w:bCs/>
      <w:sz w:val="12"/>
      <w:szCs w:val="12"/>
      <w:lang w:val="es-MX" w:eastAsia="en-US" w:bidi="en-US"/>
    </w:rPr>
  </w:style>
  <w:style w:type="paragraph" w:customStyle="1" w:styleId="xl32">
    <w:name w:val="xl32"/>
    <w:basedOn w:val="Normal"/>
    <w:uiPriority w:val="99"/>
    <w:rsid w:val="001E3866"/>
    <w:pP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33">
    <w:name w:val="xl33"/>
    <w:basedOn w:val="Normal"/>
    <w:uiPriority w:val="99"/>
    <w:rsid w:val="001E3866"/>
    <w:pP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4">
    <w:name w:val="xl34"/>
    <w:basedOn w:val="Normal"/>
    <w:uiPriority w:val="99"/>
    <w:rsid w:val="001E3866"/>
    <w:pPr>
      <w:pBdr>
        <w:bottom w:val="single" w:sz="4" w:space="0" w:color="auto"/>
      </w:pBd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5">
    <w:name w:val="xl35"/>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36">
    <w:name w:val="xl36"/>
    <w:basedOn w:val="Normal"/>
    <w:uiPriority w:val="99"/>
    <w:rsid w:val="001E3866"/>
    <w:pPr>
      <w:pBdr>
        <w:top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37">
    <w:name w:val="xl37"/>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8">
    <w:name w:val="xl38"/>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9">
    <w:name w:val="xl39"/>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0">
    <w:name w:val="xl40"/>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1">
    <w:name w:val="xl41"/>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2">
    <w:name w:val="xl42"/>
    <w:basedOn w:val="Normal"/>
    <w:uiPriority w:val="99"/>
    <w:rsid w:val="001E3866"/>
    <w:pPr>
      <w:pBdr>
        <w:bottom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3">
    <w:name w:val="xl43"/>
    <w:basedOn w:val="Normal"/>
    <w:uiPriority w:val="99"/>
    <w:rsid w:val="001E3866"/>
    <w:pPr>
      <w:pBdr>
        <w:bottom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4">
    <w:name w:val="xl44"/>
    <w:basedOn w:val="Normal"/>
    <w:uiPriority w:val="99"/>
    <w:rsid w:val="001E3866"/>
    <w:pPr>
      <w:pBdr>
        <w:top w:val="single" w:sz="4" w:space="0" w:color="auto"/>
        <w:bottom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45">
    <w:name w:val="xl45"/>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6">
    <w:name w:val="xl46"/>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7">
    <w:name w:val="xl47"/>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8">
    <w:name w:val="xl48"/>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9">
    <w:name w:val="xl49"/>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50">
    <w:name w:val="xl50"/>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51">
    <w:name w:val="xl51"/>
    <w:basedOn w:val="Normal"/>
    <w:uiPriority w:val="99"/>
    <w:rsid w:val="001E3866"/>
    <w:pPr>
      <w:shd w:val="clear" w:color="auto" w:fill="C0C0C0"/>
      <w:spacing w:before="100" w:beforeAutospacing="1" w:after="100" w:afterAutospacing="1" w:line="276" w:lineRule="auto"/>
      <w:jc w:val="center"/>
      <w:textAlignment w:val="center"/>
    </w:pPr>
    <w:rPr>
      <w:rFonts w:ascii="Calibri" w:eastAsia="Arial Unicode MS" w:hAnsi="Calibri" w:cs="Arial"/>
      <w:b/>
      <w:bCs/>
      <w:sz w:val="12"/>
      <w:szCs w:val="12"/>
      <w:lang w:val="es-MX" w:eastAsia="en-US" w:bidi="en-US"/>
    </w:rPr>
  </w:style>
  <w:style w:type="paragraph" w:customStyle="1" w:styleId="xl52">
    <w:name w:val="xl52"/>
    <w:basedOn w:val="Normal"/>
    <w:uiPriority w:val="99"/>
    <w:rsid w:val="001E3866"/>
    <w:pPr>
      <w:pBdr>
        <w:bottom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BodyText21">
    <w:name w:val="Body Text 21"/>
    <w:basedOn w:val="Normal"/>
    <w:uiPriority w:val="99"/>
    <w:rsid w:val="001E3866"/>
    <w:pPr>
      <w:spacing w:line="276" w:lineRule="auto"/>
      <w:jc w:val="both"/>
    </w:pPr>
    <w:rPr>
      <w:rFonts w:ascii="Calibri" w:eastAsia="Times New Roman" w:hAnsi="Calibri" w:cs="Tahoma"/>
      <w:sz w:val="22"/>
      <w:szCs w:val="20"/>
      <w:lang w:eastAsia="en-US" w:bidi="en-US"/>
    </w:rPr>
  </w:style>
  <w:style w:type="paragraph" w:customStyle="1" w:styleId="texto0">
    <w:name w:val="texto"/>
    <w:basedOn w:val="Normal"/>
    <w:uiPriority w:val="99"/>
    <w:rsid w:val="001E3866"/>
    <w:pPr>
      <w:spacing w:after="101" w:line="216" w:lineRule="atLeast"/>
      <w:ind w:firstLine="288"/>
      <w:jc w:val="both"/>
    </w:pPr>
    <w:rPr>
      <w:rFonts w:ascii="Calibri" w:eastAsia="Times New Roman" w:hAnsi="Calibri" w:cs="Arial"/>
      <w:sz w:val="18"/>
      <w:szCs w:val="20"/>
      <w:lang w:eastAsia="es-MX" w:bidi="en-US"/>
    </w:rPr>
  </w:style>
  <w:style w:type="paragraph" w:customStyle="1" w:styleId="WW-Sangra3detindependiente">
    <w:name w:val="WW-Sangría 3 de t. independiente"/>
    <w:basedOn w:val="Normal"/>
    <w:uiPriority w:val="99"/>
    <w:rsid w:val="001E3866"/>
    <w:pPr>
      <w:suppressAutoHyphens/>
      <w:spacing w:line="276" w:lineRule="auto"/>
      <w:ind w:left="540" w:firstLine="1"/>
      <w:jc w:val="both"/>
    </w:pPr>
    <w:rPr>
      <w:rFonts w:ascii="Calibri" w:eastAsia="Times New Roman" w:hAnsi="Calibri" w:cs="Tahoma"/>
      <w:color w:val="000000"/>
      <w:sz w:val="22"/>
      <w:szCs w:val="20"/>
      <w:lang w:val="es-MX" w:eastAsia="es-MX" w:bidi="en-US"/>
    </w:rPr>
  </w:style>
  <w:style w:type="paragraph" w:customStyle="1" w:styleId="Estilo13">
    <w:name w:val="Estilo13"/>
    <w:basedOn w:val="Normal"/>
    <w:uiPriority w:val="99"/>
    <w:qFormat/>
    <w:rsid w:val="001E3866"/>
    <w:pPr>
      <w:spacing w:line="276" w:lineRule="auto"/>
      <w:jc w:val="both"/>
    </w:pPr>
    <w:rPr>
      <w:rFonts w:ascii="Verdana" w:eastAsia="Times New Roman" w:hAnsi="Verdana" w:cs="Tahoma"/>
      <w:sz w:val="22"/>
      <w:szCs w:val="20"/>
      <w:lang w:eastAsia="en-US" w:bidi="en-US"/>
    </w:rPr>
  </w:style>
  <w:style w:type="paragraph" w:customStyle="1" w:styleId="Vieta2">
    <w:name w:val="Viñeta 2"/>
    <w:uiPriority w:val="99"/>
    <w:rsid w:val="001E3866"/>
    <w:pPr>
      <w:numPr>
        <w:ilvl w:val="1"/>
        <w:numId w:val="3"/>
      </w:numPr>
      <w:tabs>
        <w:tab w:val="left" w:pos="567"/>
      </w:tabs>
      <w:spacing w:before="60" w:after="60" w:line="240" w:lineRule="exact"/>
      <w:jc w:val="both"/>
    </w:pPr>
    <w:rPr>
      <w:rFonts w:ascii="EurekaSans-Light" w:eastAsia="Times New Roman" w:hAnsi="EurekaSans-Light" w:cs="Tahoma"/>
      <w:sz w:val="24"/>
      <w:szCs w:val="24"/>
      <w:lang w:val="es-ES_tradnl" w:eastAsia="es-ES_tradnl"/>
    </w:rPr>
  </w:style>
  <w:style w:type="character" w:customStyle="1" w:styleId="TextoNegritas">
    <w:name w:val="Texto Negritas"/>
    <w:rsid w:val="001E3866"/>
    <w:rPr>
      <w:rFonts w:ascii="EurekaSans-Bold" w:hAnsi="EurekaSans-Bold"/>
      <w:sz w:val="22"/>
      <w:szCs w:val="24"/>
      <w:lang w:val="es-ES"/>
    </w:rPr>
  </w:style>
  <w:style w:type="paragraph" w:customStyle="1" w:styleId="VIETA2GUION">
    <w:name w:val="_VIÑETA 2 GUION"/>
    <w:basedOn w:val="Normal"/>
    <w:uiPriority w:val="99"/>
    <w:rsid w:val="001E3866"/>
    <w:pPr>
      <w:numPr>
        <w:numId w:val="4"/>
      </w:numPr>
      <w:tabs>
        <w:tab w:val="clear" w:pos="567"/>
        <w:tab w:val="left" w:pos="363"/>
      </w:tabs>
      <w:spacing w:before="120" w:after="120" w:line="240" w:lineRule="exact"/>
      <w:ind w:left="1080" w:hanging="360"/>
      <w:jc w:val="both"/>
    </w:pPr>
    <w:rPr>
      <w:rFonts w:ascii="Presidencia Fina" w:eastAsia="Times New Roman" w:hAnsi="Presidencia Fina" w:cs="Tahoma"/>
      <w:sz w:val="22"/>
      <w:szCs w:val="20"/>
      <w:lang w:val="es-MX" w:eastAsia="en-US" w:bidi="en-US"/>
    </w:rPr>
  </w:style>
  <w:style w:type="character" w:customStyle="1" w:styleId="NEGRITASBASE12PTS">
    <w:name w:val="_NEGRITAS BASE 12 PTS"/>
    <w:rsid w:val="001E3866"/>
    <w:rPr>
      <w:rFonts w:ascii="Presidencia Base" w:hAnsi="Presidencia Base"/>
      <w:sz w:val="24"/>
      <w:szCs w:val="22"/>
      <w:lang w:val="es-ES" w:eastAsia="es-ES" w:bidi="ar-SA"/>
    </w:rPr>
  </w:style>
  <w:style w:type="paragraph" w:customStyle="1" w:styleId="VIETA3NEGRA">
    <w:name w:val="_VIÑETA 3 NEGRA"/>
    <w:basedOn w:val="Normal"/>
    <w:uiPriority w:val="99"/>
    <w:rsid w:val="001E3866"/>
    <w:pPr>
      <w:numPr>
        <w:numId w:val="5"/>
      </w:numPr>
      <w:tabs>
        <w:tab w:val="clear" w:pos="823"/>
        <w:tab w:val="left" w:pos="544"/>
      </w:tabs>
      <w:spacing w:before="120" w:after="120" w:line="240" w:lineRule="exact"/>
      <w:ind w:left="1068" w:hanging="360"/>
      <w:jc w:val="both"/>
    </w:pPr>
    <w:rPr>
      <w:rFonts w:ascii="Presidencia Fina" w:eastAsia="Times New Roman" w:hAnsi="Presidencia Fina" w:cs="Tahoma"/>
      <w:sz w:val="22"/>
      <w:szCs w:val="20"/>
      <w:lang w:val="es-MX" w:eastAsia="en-US" w:bidi="en-US"/>
    </w:rPr>
  </w:style>
  <w:style w:type="paragraph" w:customStyle="1" w:styleId="VIETA1BALANEGRA">
    <w:name w:val="_VIÑETA 1 BALA NEGRA"/>
    <w:basedOn w:val="Normal"/>
    <w:uiPriority w:val="99"/>
    <w:rsid w:val="001E3866"/>
    <w:pPr>
      <w:numPr>
        <w:numId w:val="6"/>
      </w:numPr>
      <w:tabs>
        <w:tab w:val="clear" w:pos="397"/>
        <w:tab w:val="left" w:pos="181"/>
      </w:tabs>
      <w:spacing w:before="120" w:after="120" w:line="240" w:lineRule="exact"/>
      <w:ind w:left="720" w:hanging="360"/>
      <w:jc w:val="both"/>
    </w:pPr>
    <w:rPr>
      <w:rFonts w:ascii="Presidencia Fina" w:eastAsia="Times New Roman" w:hAnsi="Presidencia Fina" w:cs="Tahoma"/>
      <w:sz w:val="22"/>
      <w:szCs w:val="20"/>
      <w:lang w:val="es-MX" w:eastAsia="en-US" w:bidi="en-US"/>
    </w:rPr>
  </w:style>
  <w:style w:type="character" w:styleId="nfasis">
    <w:name w:val="Emphasis"/>
    <w:uiPriority w:val="20"/>
    <w:qFormat/>
    <w:rsid w:val="001E3866"/>
    <w:rPr>
      <w:i/>
      <w:iCs/>
      <w:color w:val="auto"/>
    </w:rPr>
  </w:style>
  <w:style w:type="character" w:customStyle="1" w:styleId="OBJETIVO">
    <w:name w:val="_OBJETIVO"/>
    <w:rsid w:val="001E3866"/>
    <w:rPr>
      <w:rFonts w:ascii="Presidencia Fuerte" w:hAnsi="Presidencia Fuerte"/>
      <w:sz w:val="28"/>
    </w:rPr>
  </w:style>
  <w:style w:type="paragraph" w:customStyle="1" w:styleId="VIETA4BLANCA">
    <w:name w:val="_VIÑETA 4 BLANCA"/>
    <w:basedOn w:val="Normal"/>
    <w:uiPriority w:val="99"/>
    <w:rsid w:val="001E3866"/>
    <w:pPr>
      <w:numPr>
        <w:numId w:val="7"/>
      </w:numPr>
      <w:tabs>
        <w:tab w:val="clear" w:pos="903"/>
        <w:tab w:val="left" w:pos="822"/>
      </w:tabs>
      <w:spacing w:before="120" w:after="120" w:line="240" w:lineRule="exact"/>
      <w:ind w:left="822" w:hanging="255"/>
      <w:jc w:val="both"/>
    </w:pPr>
    <w:rPr>
      <w:rFonts w:ascii="Presidencia Fina" w:eastAsia="Times New Roman" w:hAnsi="Presidencia Fina" w:cs="Tahoma"/>
      <w:sz w:val="22"/>
      <w:szCs w:val="20"/>
      <w:lang w:val="es-MX" w:eastAsia="en-US" w:bidi="en-US"/>
    </w:rPr>
  </w:style>
  <w:style w:type="character" w:customStyle="1" w:styleId="SIGLAS11PTS">
    <w:name w:val="_SIGLAS 11 PTS"/>
    <w:uiPriority w:val="1"/>
    <w:rsid w:val="001E3866"/>
    <w:rPr>
      <w:rFonts w:ascii="Presidencia Fina" w:hAnsi="Presidencia Fina"/>
      <w:caps/>
      <w:sz w:val="22"/>
    </w:rPr>
  </w:style>
  <w:style w:type="paragraph" w:customStyle="1" w:styleId="Cita1">
    <w:name w:val="Cita1"/>
    <w:basedOn w:val="Normal"/>
    <w:next w:val="Normal"/>
    <w:uiPriority w:val="29"/>
    <w:qFormat/>
    <w:rsid w:val="001E3866"/>
    <w:pPr>
      <w:spacing w:before="200"/>
      <w:ind w:left="864" w:right="864"/>
      <w:jc w:val="both"/>
    </w:pPr>
    <w:rPr>
      <w:rFonts w:ascii="Arial Narrow" w:eastAsia="Times New Roman" w:hAnsi="Arial Narrow" w:cs="Tahoma"/>
      <w:i/>
      <w:iCs/>
      <w:color w:val="404040"/>
      <w:sz w:val="22"/>
      <w:szCs w:val="20"/>
      <w:lang w:val="es-MX" w:eastAsia="en-US"/>
    </w:rPr>
  </w:style>
  <w:style w:type="character" w:customStyle="1" w:styleId="CitaCar">
    <w:name w:val="Cita Car"/>
    <w:link w:val="Cita"/>
    <w:uiPriority w:val="29"/>
    <w:rsid w:val="001E3866"/>
    <w:rPr>
      <w:i/>
      <w:iCs/>
      <w:color w:val="404040"/>
    </w:rPr>
  </w:style>
  <w:style w:type="paragraph" w:customStyle="1" w:styleId="Citadestacada1">
    <w:name w:val="Cita destacada1"/>
    <w:basedOn w:val="Normal"/>
    <w:next w:val="Normal"/>
    <w:link w:val="IntenseQuoteChar"/>
    <w:qFormat/>
    <w:rsid w:val="001E3866"/>
    <w:pPr>
      <w:pBdr>
        <w:top w:val="single" w:sz="4" w:space="10" w:color="404040"/>
        <w:bottom w:val="single" w:sz="4" w:space="10" w:color="404040"/>
      </w:pBdr>
      <w:spacing w:before="360" w:after="360"/>
      <w:ind w:left="864" w:right="864"/>
      <w:jc w:val="center"/>
    </w:pPr>
    <w:rPr>
      <w:rFonts w:ascii="Arial Narrow" w:eastAsia="Times New Roman" w:hAnsi="Arial Narrow" w:cs="Tahoma"/>
      <w:i/>
      <w:iCs/>
      <w:color w:val="404040"/>
      <w:sz w:val="22"/>
      <w:szCs w:val="20"/>
      <w:lang w:val="es-MX" w:eastAsia="en-US"/>
    </w:rPr>
  </w:style>
  <w:style w:type="character" w:customStyle="1" w:styleId="CitadestacadaCar">
    <w:name w:val="Cita destacada Car"/>
    <w:link w:val="Citadestacada"/>
    <w:uiPriority w:val="30"/>
    <w:rsid w:val="001E3866"/>
    <w:rPr>
      <w:i/>
      <w:iCs/>
      <w:color w:val="404040"/>
    </w:rPr>
  </w:style>
  <w:style w:type="character" w:customStyle="1" w:styleId="nfasissutil1">
    <w:name w:val="Énfasis sutil1"/>
    <w:qFormat/>
    <w:rsid w:val="001E3866"/>
    <w:rPr>
      <w:i/>
      <w:iCs/>
      <w:color w:val="404040"/>
    </w:rPr>
  </w:style>
  <w:style w:type="character" w:styleId="nfasisintenso">
    <w:name w:val="Intense Emphasis"/>
    <w:uiPriority w:val="21"/>
    <w:qFormat/>
    <w:rsid w:val="001E3866"/>
    <w:rPr>
      <w:b/>
      <w:bCs/>
      <w:i/>
      <w:iCs/>
      <w:color w:val="auto"/>
    </w:rPr>
  </w:style>
  <w:style w:type="character" w:customStyle="1" w:styleId="Referenciasutil1">
    <w:name w:val="Referencia sutil1"/>
    <w:uiPriority w:val="31"/>
    <w:qFormat/>
    <w:rsid w:val="001E3866"/>
    <w:rPr>
      <w:smallCaps/>
      <w:color w:val="404040"/>
    </w:rPr>
  </w:style>
  <w:style w:type="character" w:customStyle="1" w:styleId="Referenciaintensa1">
    <w:name w:val="Referencia intensa1"/>
    <w:uiPriority w:val="32"/>
    <w:qFormat/>
    <w:rsid w:val="001E3866"/>
    <w:rPr>
      <w:b/>
      <w:bCs/>
      <w:smallCaps/>
      <w:color w:val="404040"/>
      <w:spacing w:val="5"/>
    </w:rPr>
  </w:style>
  <w:style w:type="character" w:styleId="Ttulodellibro">
    <w:name w:val="Book Title"/>
    <w:uiPriority w:val="33"/>
    <w:qFormat/>
    <w:rsid w:val="001E3866"/>
    <w:rPr>
      <w:b/>
      <w:bCs/>
      <w:i/>
      <w:iCs/>
      <w:spacing w:val="5"/>
    </w:rPr>
  </w:style>
  <w:style w:type="paragraph" w:styleId="TtulodeTDC">
    <w:name w:val="TOC Heading"/>
    <w:basedOn w:val="Ttulo1"/>
    <w:next w:val="Normal"/>
    <w:uiPriority w:val="39"/>
    <w:unhideWhenUsed/>
    <w:qFormat/>
    <w:rsid w:val="001E3866"/>
    <w:pPr>
      <w:numPr>
        <w:numId w:val="0"/>
      </w:numPr>
      <w:tabs>
        <w:tab w:val="num" w:pos="567"/>
      </w:tabs>
      <w:spacing w:before="240" w:line="240" w:lineRule="auto"/>
      <w:ind w:left="567" w:hanging="170"/>
      <w:outlineLvl w:val="9"/>
    </w:pPr>
    <w:rPr>
      <w:rFonts w:ascii="Arial Narrow" w:hAnsi="Arial Narrow"/>
      <w:b w:val="0"/>
      <w:bCs w:val="0"/>
      <w:color w:val="262626"/>
      <w:sz w:val="32"/>
      <w:szCs w:val="32"/>
    </w:rPr>
  </w:style>
  <w:style w:type="numbering" w:customStyle="1" w:styleId="Sinlista11">
    <w:name w:val="Sin lista11"/>
    <w:next w:val="Sinlista"/>
    <w:uiPriority w:val="99"/>
    <w:semiHidden/>
    <w:unhideWhenUsed/>
    <w:rsid w:val="001E3866"/>
  </w:style>
  <w:style w:type="paragraph" w:customStyle="1" w:styleId="xl65">
    <w:name w:val="xl65"/>
    <w:basedOn w:val="Normal"/>
    <w:rsid w:val="001E3866"/>
    <w:pPr>
      <w:spacing w:before="100" w:beforeAutospacing="1" w:after="100" w:afterAutospacing="1"/>
      <w:jc w:val="both"/>
    </w:pPr>
    <w:rPr>
      <w:rFonts w:eastAsia="Times New Roman" w:cs="Arial"/>
      <w:sz w:val="32"/>
      <w:szCs w:val="32"/>
      <w:lang w:val="es-MX" w:eastAsia="en-US"/>
    </w:rPr>
  </w:style>
  <w:style w:type="paragraph" w:customStyle="1" w:styleId="xl66">
    <w:name w:val="xl66"/>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67">
    <w:name w:val="xl67"/>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0"/>
      <w:szCs w:val="20"/>
      <w:lang w:val="es-MX" w:eastAsia="en-US"/>
    </w:rPr>
  </w:style>
  <w:style w:type="paragraph" w:customStyle="1" w:styleId="xl68">
    <w:name w:val="xl68"/>
    <w:basedOn w:val="Normal"/>
    <w:rsid w:val="001E3866"/>
    <w:pPr>
      <w:spacing w:before="100" w:beforeAutospacing="1" w:after="100" w:afterAutospacing="1"/>
      <w:jc w:val="both"/>
    </w:pPr>
    <w:rPr>
      <w:rFonts w:eastAsia="Times New Roman" w:cs="Arial"/>
      <w:sz w:val="22"/>
      <w:szCs w:val="20"/>
      <w:lang w:val="es-MX" w:eastAsia="en-US"/>
    </w:rPr>
  </w:style>
  <w:style w:type="paragraph" w:customStyle="1" w:styleId="xl69">
    <w:name w:val="xl69"/>
    <w:basedOn w:val="Normal"/>
    <w:rsid w:val="001E3866"/>
    <w:pPr>
      <w:pBdr>
        <w:top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b/>
      <w:bCs/>
      <w:sz w:val="32"/>
      <w:szCs w:val="32"/>
      <w:lang w:val="es-MX" w:eastAsia="en-US"/>
    </w:rPr>
  </w:style>
  <w:style w:type="paragraph" w:customStyle="1" w:styleId="xl70">
    <w:name w:val="xl70"/>
    <w:basedOn w:val="Normal"/>
    <w:rsid w:val="001E3866"/>
    <w:pPr>
      <w:pBdr>
        <w:top w:val="single" w:sz="4" w:space="0" w:color="auto"/>
        <w:left w:val="single" w:sz="4" w:space="0" w:color="auto"/>
        <w:bottom w:val="single" w:sz="4" w:space="0" w:color="auto"/>
        <w:right w:val="single" w:sz="4" w:space="0" w:color="auto"/>
      </w:pBdr>
      <w:shd w:val="clear" w:color="000000" w:fill="339933"/>
      <w:spacing w:before="100" w:beforeAutospacing="1" w:after="100" w:afterAutospacing="1"/>
      <w:jc w:val="center"/>
      <w:textAlignment w:val="center"/>
    </w:pPr>
    <w:rPr>
      <w:rFonts w:eastAsia="Times New Roman" w:cs="Arial"/>
      <w:sz w:val="32"/>
      <w:szCs w:val="32"/>
      <w:lang w:val="es-MX" w:eastAsia="en-US"/>
    </w:rPr>
  </w:style>
  <w:style w:type="paragraph" w:customStyle="1" w:styleId="xl71">
    <w:name w:val="xl71"/>
    <w:basedOn w:val="Normal"/>
    <w:rsid w:val="001E3866"/>
    <w:pPr>
      <w:pBdr>
        <w:top w:val="single" w:sz="4" w:space="0" w:color="auto"/>
        <w:left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b/>
      <w:bCs/>
      <w:sz w:val="32"/>
      <w:szCs w:val="32"/>
      <w:lang w:val="es-MX" w:eastAsia="en-US"/>
    </w:rPr>
  </w:style>
  <w:style w:type="paragraph" w:customStyle="1" w:styleId="xl72">
    <w:name w:val="xl72"/>
    <w:basedOn w:val="Normal"/>
    <w:rsid w:val="001E3866"/>
    <w:pPr>
      <w:pBdr>
        <w:top w:val="single" w:sz="4" w:space="0" w:color="auto"/>
        <w:left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sz w:val="32"/>
      <w:szCs w:val="32"/>
      <w:lang w:val="es-MX" w:eastAsia="en-US"/>
    </w:rPr>
  </w:style>
  <w:style w:type="paragraph" w:customStyle="1" w:styleId="xl73">
    <w:name w:val="xl73"/>
    <w:basedOn w:val="Normal"/>
    <w:rsid w:val="001E3866"/>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both"/>
    </w:pPr>
    <w:rPr>
      <w:rFonts w:ascii="Arial Narrow" w:eastAsia="Times New Roman" w:hAnsi="Arial Narrow" w:cs="Tahoma"/>
      <w:sz w:val="22"/>
      <w:szCs w:val="20"/>
      <w:lang w:val="es-MX" w:eastAsia="en-US"/>
    </w:rPr>
  </w:style>
  <w:style w:type="paragraph" w:customStyle="1" w:styleId="xl74">
    <w:name w:val="xl74"/>
    <w:basedOn w:val="Normal"/>
    <w:rsid w:val="001E3866"/>
    <w:pPr>
      <w:spacing w:before="100" w:beforeAutospacing="1" w:after="100" w:afterAutospacing="1"/>
      <w:jc w:val="center"/>
      <w:textAlignment w:val="center"/>
    </w:pPr>
    <w:rPr>
      <w:rFonts w:eastAsia="Times New Roman" w:cs="Arial"/>
      <w:sz w:val="32"/>
      <w:szCs w:val="32"/>
      <w:lang w:val="es-MX" w:eastAsia="en-US"/>
    </w:rPr>
  </w:style>
  <w:style w:type="paragraph" w:customStyle="1" w:styleId="xl75">
    <w:name w:val="xl75"/>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6">
    <w:name w:val="xl76"/>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7">
    <w:name w:val="xl77"/>
    <w:basedOn w:val="Normal"/>
    <w:rsid w:val="001E386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8">
    <w:name w:val="xl78"/>
    <w:basedOn w:val="Normal"/>
    <w:rsid w:val="001E386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9">
    <w:name w:val="xl79"/>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0">
    <w:name w:val="xl80"/>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1">
    <w:name w:val="xl81"/>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2">
    <w:name w:val="xl82"/>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3">
    <w:name w:val="xl83"/>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4">
    <w:name w:val="xl84"/>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5">
    <w:name w:val="xl85"/>
    <w:basedOn w:val="Normal"/>
    <w:rsid w:val="001E3866"/>
    <w:pPr>
      <w:pBdr>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6">
    <w:name w:val="xl86"/>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00">
    <w:name w:val="xl100"/>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32"/>
      <w:szCs w:val="32"/>
      <w:lang w:val="es-MX" w:eastAsia="en-US"/>
    </w:rPr>
  </w:style>
  <w:style w:type="paragraph" w:customStyle="1" w:styleId="xl101">
    <w:name w:val="xl101"/>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2">
    <w:name w:val="xl102"/>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3">
    <w:name w:val="xl103"/>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pPr>
    <w:rPr>
      <w:rFonts w:eastAsia="Times New Roman" w:cs="Arial"/>
      <w:color w:val="FFFFFF"/>
      <w:sz w:val="32"/>
      <w:szCs w:val="32"/>
      <w:lang w:val="es-MX" w:eastAsia="en-US"/>
    </w:rPr>
  </w:style>
  <w:style w:type="paragraph" w:customStyle="1" w:styleId="xl104">
    <w:name w:val="xl104"/>
    <w:basedOn w:val="Normal"/>
    <w:rsid w:val="001E3866"/>
    <w:pPr>
      <w:pBdr>
        <w:top w:val="single" w:sz="8" w:space="0" w:color="auto"/>
        <w:left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5">
    <w:name w:val="xl105"/>
    <w:basedOn w:val="Normal"/>
    <w:rsid w:val="001E3866"/>
    <w:pPr>
      <w:pBdr>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6">
    <w:name w:val="xl106"/>
    <w:basedOn w:val="Normal"/>
    <w:rsid w:val="001E3866"/>
    <w:pPr>
      <w:pBdr>
        <w:top w:val="single" w:sz="8" w:space="0" w:color="auto"/>
        <w:left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7">
    <w:name w:val="xl107"/>
    <w:basedOn w:val="Normal"/>
    <w:rsid w:val="001E3866"/>
    <w:pPr>
      <w:pBdr>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8">
    <w:name w:val="xl108"/>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09">
    <w:name w:val="xl109"/>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0">
    <w:name w:val="xl110"/>
    <w:basedOn w:val="Normal"/>
    <w:rsid w:val="001E3866"/>
    <w:pPr>
      <w:pBdr>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1">
    <w:name w:val="xl111"/>
    <w:basedOn w:val="Normal"/>
    <w:rsid w:val="001E3866"/>
    <w:pPr>
      <w:pBdr>
        <w:top w:val="single" w:sz="8" w:space="0" w:color="auto"/>
        <w:left w:val="single" w:sz="8"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12">
    <w:name w:val="xl112"/>
    <w:basedOn w:val="Normal"/>
    <w:rsid w:val="001E3866"/>
    <w:pPr>
      <w:pBdr>
        <w:top w:val="single" w:sz="4" w:space="0" w:color="auto"/>
        <w:left w:val="single" w:sz="8"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13">
    <w:name w:val="xl113"/>
    <w:basedOn w:val="Normal"/>
    <w:rsid w:val="001E3866"/>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4">
    <w:name w:val="xl114"/>
    <w:basedOn w:val="Normal"/>
    <w:rsid w:val="001E3866"/>
    <w:pPr>
      <w:pBdr>
        <w:left w:val="single" w:sz="8"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table" w:styleId="Tablabsica1">
    <w:name w:val="Table Simple 1"/>
    <w:basedOn w:val="Tablanormal"/>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
    <w:name w:val="Sombreado claro1"/>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YAELSALUD">
    <w:name w:val="YAEL SALUD"/>
    <w:basedOn w:val="Ttulo"/>
    <w:uiPriority w:val="99"/>
    <w:rsid w:val="001E3866"/>
    <w:pPr>
      <w:spacing w:before="240" w:after="60"/>
      <w:contextualSpacing/>
      <w:jc w:val="both"/>
      <w:outlineLvl w:val="0"/>
    </w:pPr>
    <w:rPr>
      <w:rFonts w:ascii="Arial" w:hAnsi="Arial"/>
      <w:b w:val="0"/>
      <w:bCs/>
      <w:color w:val="800000"/>
      <w:spacing w:val="-10"/>
      <w:kern w:val="28"/>
      <w:sz w:val="28"/>
      <w:szCs w:val="27"/>
      <w:lang w:val="es-ES"/>
    </w:rPr>
  </w:style>
  <w:style w:type="paragraph" w:styleId="Listaconvietas">
    <w:name w:val="List Bullet"/>
    <w:basedOn w:val="Normal"/>
    <w:autoRedefine/>
    <w:uiPriority w:val="99"/>
    <w:rsid w:val="001E3866"/>
    <w:pPr>
      <w:numPr>
        <w:numId w:val="9"/>
      </w:numPr>
      <w:tabs>
        <w:tab w:val="clear" w:pos="323"/>
      </w:tabs>
      <w:spacing w:line="240" w:lineRule="exact"/>
      <w:ind w:left="720" w:right="6" w:hanging="360"/>
      <w:jc w:val="both"/>
    </w:pPr>
    <w:rPr>
      <w:rFonts w:eastAsia="Times New Roman" w:cs="Arial"/>
      <w:bCs/>
      <w:sz w:val="20"/>
      <w:szCs w:val="20"/>
      <w:lang w:val="es-MX" w:eastAsia="en-US"/>
    </w:rPr>
  </w:style>
  <w:style w:type="paragraph" w:styleId="Listaconvietas3">
    <w:name w:val="List Bullet 3"/>
    <w:basedOn w:val="Normal"/>
    <w:autoRedefine/>
    <w:uiPriority w:val="99"/>
    <w:rsid w:val="001E3866"/>
    <w:pPr>
      <w:numPr>
        <w:numId w:val="8"/>
      </w:numPr>
      <w:tabs>
        <w:tab w:val="clear" w:pos="926"/>
        <w:tab w:val="num" w:pos="720"/>
      </w:tabs>
      <w:ind w:left="720"/>
      <w:jc w:val="both"/>
    </w:pPr>
    <w:rPr>
      <w:rFonts w:ascii="Arial Narrow" w:eastAsia="Times New Roman" w:hAnsi="Arial Narrow" w:cs="Tahoma"/>
      <w:sz w:val="22"/>
      <w:szCs w:val="20"/>
      <w:lang w:val="es-MX" w:eastAsia="en-US"/>
    </w:rPr>
  </w:style>
  <w:style w:type="paragraph" w:customStyle="1" w:styleId="PARRAFO-CON">
    <w:name w:val="PARRAFO-CON"/>
    <w:basedOn w:val="Normal"/>
    <w:uiPriority w:val="99"/>
    <w:rsid w:val="001E3866"/>
    <w:pPr>
      <w:spacing w:before="100" w:line="300" w:lineRule="exact"/>
      <w:ind w:firstLine="284"/>
      <w:jc w:val="both"/>
    </w:pPr>
    <w:rPr>
      <w:rFonts w:ascii="Arial Narrow" w:eastAsia="Times New Roman" w:hAnsi="Arial Narrow" w:cs="Tahoma"/>
      <w:sz w:val="22"/>
      <w:szCs w:val="20"/>
      <w:lang w:val="es-MX" w:eastAsia="en-US"/>
    </w:rPr>
  </w:style>
  <w:style w:type="paragraph" w:customStyle="1" w:styleId="vinro">
    <w:name w:val="vinro"/>
    <w:basedOn w:val="Normal"/>
    <w:uiPriority w:val="99"/>
    <w:rsid w:val="001E3866"/>
    <w:pPr>
      <w:numPr>
        <w:numId w:val="10"/>
      </w:numPr>
      <w:tabs>
        <w:tab w:val="clear" w:pos="720"/>
      </w:tabs>
      <w:spacing w:after="101" w:line="216" w:lineRule="exact"/>
      <w:ind w:hanging="360"/>
      <w:jc w:val="both"/>
    </w:pPr>
    <w:rPr>
      <w:rFonts w:eastAsia="Times New Roman" w:cs="Tahoma"/>
      <w:sz w:val="18"/>
      <w:szCs w:val="20"/>
      <w:lang w:val="es-MX" w:eastAsia="en-US"/>
    </w:rPr>
  </w:style>
  <w:style w:type="paragraph" w:customStyle="1" w:styleId="Nmero">
    <w:name w:val="Número"/>
    <w:basedOn w:val="Normal"/>
    <w:uiPriority w:val="99"/>
    <w:rsid w:val="001E3866"/>
    <w:pPr>
      <w:tabs>
        <w:tab w:val="left" w:pos="425"/>
      </w:tabs>
      <w:ind w:left="425" w:hanging="425"/>
      <w:jc w:val="both"/>
    </w:pPr>
    <w:rPr>
      <w:rFonts w:eastAsia="Times New Roman" w:cs="Tahoma"/>
      <w:sz w:val="20"/>
      <w:szCs w:val="20"/>
      <w:lang w:val="es-MX" w:eastAsia="en-US"/>
    </w:rPr>
  </w:style>
  <w:style w:type="paragraph" w:customStyle="1" w:styleId="Caractersticas">
    <w:name w:val="Características"/>
    <w:basedOn w:val="Normal"/>
    <w:uiPriority w:val="99"/>
    <w:rsid w:val="001E3866"/>
    <w:pPr>
      <w:tabs>
        <w:tab w:val="num" w:pos="360"/>
      </w:tabs>
      <w:spacing w:line="324" w:lineRule="auto"/>
      <w:ind w:left="284" w:hanging="284"/>
      <w:jc w:val="both"/>
    </w:pPr>
    <w:rPr>
      <w:rFonts w:eastAsia="Times New Roman" w:cs="Tahoma"/>
      <w:b/>
      <w:sz w:val="16"/>
      <w:szCs w:val="20"/>
      <w:lang w:eastAsia="en-US"/>
    </w:rPr>
  </w:style>
  <w:style w:type="paragraph" w:customStyle="1" w:styleId="vietarombo">
    <w:name w:val="viñeta rombo"/>
    <w:basedOn w:val="Normal"/>
    <w:autoRedefine/>
    <w:uiPriority w:val="99"/>
    <w:rsid w:val="001E3866"/>
    <w:pPr>
      <w:numPr>
        <w:numId w:val="11"/>
      </w:numPr>
      <w:tabs>
        <w:tab w:val="clear" w:pos="360"/>
        <w:tab w:val="left" w:pos="170"/>
      </w:tabs>
      <w:spacing w:after="60"/>
      <w:ind w:left="720" w:hanging="360"/>
      <w:jc w:val="both"/>
    </w:pPr>
    <w:rPr>
      <w:rFonts w:eastAsia="Times New Roman" w:cs="Arial"/>
      <w:sz w:val="16"/>
      <w:szCs w:val="20"/>
      <w:lang w:val="es-MX" w:eastAsia="en-US"/>
    </w:rPr>
  </w:style>
  <w:style w:type="paragraph" w:customStyle="1" w:styleId="vietacuadro">
    <w:name w:val="viñeta cuadro"/>
    <w:basedOn w:val="Normal"/>
    <w:autoRedefine/>
    <w:uiPriority w:val="99"/>
    <w:rsid w:val="001E3866"/>
    <w:pPr>
      <w:numPr>
        <w:numId w:val="13"/>
      </w:numPr>
      <w:tabs>
        <w:tab w:val="clear" w:pos="360"/>
        <w:tab w:val="left" w:pos="851"/>
      </w:tabs>
      <w:spacing w:after="60"/>
      <w:ind w:left="851" w:hanging="284"/>
      <w:jc w:val="both"/>
    </w:pPr>
    <w:rPr>
      <w:rFonts w:eastAsia="Times New Roman" w:cs="Arial"/>
      <w:sz w:val="20"/>
      <w:szCs w:val="20"/>
      <w:lang w:val="es-MX" w:eastAsia="en-US"/>
    </w:rPr>
  </w:style>
  <w:style w:type="paragraph" w:customStyle="1" w:styleId="vietabala">
    <w:name w:val="viñeta bala"/>
    <w:basedOn w:val="Normal"/>
    <w:autoRedefine/>
    <w:uiPriority w:val="99"/>
    <w:rsid w:val="001E3866"/>
    <w:pPr>
      <w:numPr>
        <w:numId w:val="12"/>
      </w:numPr>
      <w:tabs>
        <w:tab w:val="clear" w:pos="360"/>
        <w:tab w:val="left" w:pos="170"/>
      </w:tabs>
      <w:spacing w:after="60"/>
      <w:ind w:left="1080" w:hanging="360"/>
      <w:jc w:val="both"/>
    </w:pPr>
    <w:rPr>
      <w:rFonts w:eastAsia="Times New Roman" w:cs="Arial"/>
      <w:sz w:val="16"/>
      <w:szCs w:val="20"/>
      <w:lang w:val="es-MX" w:eastAsia="en-US"/>
    </w:rPr>
  </w:style>
  <w:style w:type="paragraph" w:customStyle="1" w:styleId="Aparnorm">
    <w:name w:val="Aparnorm"/>
    <w:basedOn w:val="Normal"/>
    <w:uiPriority w:val="99"/>
    <w:rsid w:val="001E3866"/>
    <w:pPr>
      <w:spacing w:before="120" w:after="120"/>
      <w:jc w:val="both"/>
    </w:pPr>
    <w:rPr>
      <w:rFonts w:eastAsia="Times New Roman" w:cs="Tahoma"/>
      <w:sz w:val="22"/>
      <w:szCs w:val="20"/>
      <w:lang w:val="es-MX" w:eastAsia="en-US"/>
    </w:rPr>
  </w:style>
  <w:style w:type="paragraph" w:customStyle="1" w:styleId="bala">
    <w:name w:val="bala"/>
    <w:basedOn w:val="Normal"/>
    <w:link w:val="balaCar"/>
    <w:uiPriority w:val="99"/>
    <w:rsid w:val="001E3866"/>
    <w:pPr>
      <w:numPr>
        <w:numId w:val="14"/>
      </w:numPr>
      <w:spacing w:before="120" w:after="120" w:line="240" w:lineRule="exact"/>
      <w:jc w:val="both"/>
    </w:pPr>
    <w:rPr>
      <w:rFonts w:ascii="Arial Narrow" w:eastAsia="Times New Roman" w:hAnsi="Arial Narrow" w:cs="Tahoma"/>
      <w:sz w:val="22"/>
      <w:szCs w:val="20"/>
      <w:lang w:val="es-MX" w:eastAsia="en-US"/>
    </w:rPr>
  </w:style>
  <w:style w:type="character" w:customStyle="1" w:styleId="balaCar">
    <w:name w:val="bala Car"/>
    <w:link w:val="bala"/>
    <w:uiPriority w:val="99"/>
    <w:rsid w:val="001E3866"/>
    <w:rPr>
      <w:rFonts w:ascii="Arial Narrow" w:eastAsia="Times New Roman" w:hAnsi="Arial Narrow" w:cs="Tahoma"/>
      <w:sz w:val="22"/>
      <w:lang w:eastAsia="en-US"/>
    </w:rPr>
  </w:style>
  <w:style w:type="character" w:customStyle="1" w:styleId="SIGLAS">
    <w:name w:val="SIGLAS"/>
    <w:rsid w:val="001E3866"/>
    <w:rPr>
      <w:rFonts w:ascii="Arial Narrow" w:hAnsi="Arial Narrow"/>
      <w:dstrike w:val="0"/>
      <w:sz w:val="18"/>
      <w:vertAlign w:val="baseline"/>
    </w:rPr>
  </w:style>
  <w:style w:type="paragraph" w:customStyle="1" w:styleId="cuadrado">
    <w:name w:val="cuadrado"/>
    <w:basedOn w:val="Normal"/>
    <w:link w:val="cuadradoCar"/>
    <w:uiPriority w:val="99"/>
    <w:rsid w:val="001E3866"/>
    <w:pPr>
      <w:numPr>
        <w:numId w:val="15"/>
      </w:numPr>
      <w:tabs>
        <w:tab w:val="clear" w:pos="454"/>
        <w:tab w:val="left" w:pos="641"/>
      </w:tabs>
      <w:spacing w:before="120" w:after="120" w:line="240" w:lineRule="exact"/>
      <w:ind w:left="647" w:hanging="284"/>
      <w:jc w:val="both"/>
    </w:pPr>
    <w:rPr>
      <w:rFonts w:ascii="Arial Narrow" w:eastAsia="Times New Roman" w:hAnsi="Arial Narrow" w:cs="Tahoma"/>
      <w:sz w:val="20"/>
      <w:szCs w:val="20"/>
      <w:lang w:val="es-MX" w:eastAsia="en-US"/>
    </w:rPr>
  </w:style>
  <w:style w:type="character" w:customStyle="1" w:styleId="cuadradoCar">
    <w:name w:val="cuadrado Car"/>
    <w:link w:val="cuadrado"/>
    <w:uiPriority w:val="99"/>
    <w:rsid w:val="001E3866"/>
    <w:rPr>
      <w:rFonts w:ascii="Arial Narrow" w:eastAsia="Times New Roman" w:hAnsi="Arial Narrow" w:cs="Tahoma"/>
      <w:lang w:eastAsia="en-US"/>
    </w:rPr>
  </w:style>
  <w:style w:type="paragraph" w:customStyle="1" w:styleId="Bulletredondo">
    <w:name w:val="Bullet redondo"/>
    <w:next w:val="Normal"/>
    <w:link w:val="BulletredondoCar"/>
    <w:uiPriority w:val="99"/>
    <w:rsid w:val="001E3866"/>
    <w:pPr>
      <w:numPr>
        <w:numId w:val="16"/>
      </w:numPr>
      <w:spacing w:line="260" w:lineRule="exact"/>
      <w:jc w:val="both"/>
    </w:pPr>
    <w:rPr>
      <w:rFonts w:ascii="Arial Narrow" w:eastAsia="Times New Roman" w:hAnsi="Arial Narrow" w:cs="Tahoma"/>
      <w:sz w:val="21"/>
      <w:lang w:val="es-ES_tradnl" w:eastAsia="es-ES"/>
    </w:rPr>
  </w:style>
  <w:style w:type="character" w:customStyle="1" w:styleId="BulletredondoCar">
    <w:name w:val="Bullet redondo Car"/>
    <w:link w:val="Bulletredondo"/>
    <w:uiPriority w:val="99"/>
    <w:rsid w:val="001E3866"/>
    <w:rPr>
      <w:rFonts w:ascii="Arial Narrow" w:eastAsia="Times New Roman" w:hAnsi="Arial Narrow" w:cs="Tahoma"/>
      <w:sz w:val="21"/>
      <w:lang w:val="es-ES_tradnl" w:eastAsia="es-ES"/>
    </w:rPr>
  </w:style>
  <w:style w:type="paragraph" w:customStyle="1" w:styleId="Car">
    <w:name w:val="Car"/>
    <w:basedOn w:val="Normal"/>
    <w:uiPriority w:val="99"/>
    <w:rsid w:val="001E3866"/>
    <w:pPr>
      <w:spacing w:after="160" w:line="240" w:lineRule="exact"/>
      <w:jc w:val="right"/>
    </w:pPr>
    <w:rPr>
      <w:rFonts w:ascii="Verdana" w:eastAsia="Times New Roman" w:hAnsi="Verdana" w:cs="Arial"/>
      <w:sz w:val="20"/>
      <w:szCs w:val="20"/>
      <w:lang w:val="es-MX" w:eastAsia="en-US"/>
    </w:rPr>
  </w:style>
  <w:style w:type="paragraph" w:customStyle="1" w:styleId="CarCarCarCarCarCarCarCarCarCarCarCarCarCarCarCar">
    <w:name w:val="Car Car Car Car Car Car Car Car Car Car Car Car Car Car Car Car"/>
    <w:basedOn w:val="Normal"/>
    <w:uiPriority w:val="99"/>
    <w:rsid w:val="001E3866"/>
    <w:pPr>
      <w:spacing w:after="160" w:line="240" w:lineRule="exact"/>
      <w:jc w:val="both"/>
    </w:pPr>
    <w:rPr>
      <w:rFonts w:ascii="Tahoma" w:eastAsia="Times New Roman" w:hAnsi="Tahoma" w:cs="Tahoma"/>
      <w:sz w:val="20"/>
      <w:szCs w:val="20"/>
      <w:lang w:val="en-US" w:eastAsia="en-US"/>
    </w:rPr>
  </w:style>
  <w:style w:type="paragraph" w:customStyle="1" w:styleId="CharCharCarCharCarCharCarCharCarCharCar2">
    <w:name w:val="Char Char Car Char Car Char Car Char Car Char Car2"/>
    <w:basedOn w:val="Normal"/>
    <w:uiPriority w:val="99"/>
    <w:rsid w:val="001E3866"/>
    <w:pPr>
      <w:autoSpaceDE w:val="0"/>
      <w:autoSpaceDN w:val="0"/>
      <w:spacing w:after="160" w:line="240" w:lineRule="exact"/>
      <w:jc w:val="both"/>
    </w:pPr>
    <w:rPr>
      <w:rFonts w:eastAsia="Times New Roman" w:cs="Arial"/>
      <w:sz w:val="20"/>
      <w:szCs w:val="20"/>
      <w:lang w:val="en-US" w:eastAsia="en-US"/>
    </w:rPr>
  </w:style>
  <w:style w:type="paragraph" w:customStyle="1" w:styleId="vieta1">
    <w:name w:val="vieta1"/>
    <w:basedOn w:val="Normal"/>
    <w:uiPriority w:val="99"/>
    <w:rsid w:val="001E3866"/>
    <w:pPr>
      <w:autoSpaceDE w:val="0"/>
      <w:autoSpaceDN w:val="0"/>
      <w:spacing w:before="120" w:after="120" w:line="240" w:lineRule="atLeast"/>
      <w:ind w:left="360" w:hanging="360"/>
      <w:jc w:val="both"/>
    </w:pPr>
    <w:rPr>
      <w:rFonts w:ascii="PresidenciaFirme" w:eastAsia="Calibri" w:hAnsi="PresidenciaFirme" w:cs="Tahoma"/>
      <w:color w:val="000000"/>
      <w:sz w:val="22"/>
      <w:szCs w:val="20"/>
      <w:lang w:val="es-MX" w:eastAsia="es-MX"/>
    </w:rPr>
  </w:style>
  <w:style w:type="paragraph" w:customStyle="1" w:styleId="29TextodeEncabezados">
    <w:name w:val="29_Texto de Encabezados"/>
    <w:aliases w:val="Cuadro de 16cm."/>
    <w:basedOn w:val="Normal"/>
    <w:uiPriority w:val="99"/>
    <w:rsid w:val="001E3866"/>
    <w:pPr>
      <w:framePr w:wrap="around" w:vAnchor="text" w:hAnchor="text" w:xAlign="center" w:y="1"/>
      <w:spacing w:before="60" w:after="60" w:line="200" w:lineRule="exact"/>
      <w:suppressOverlap/>
      <w:jc w:val="center"/>
    </w:pPr>
    <w:rPr>
      <w:rFonts w:eastAsia="Times New Roman" w:cs="Tahoma"/>
      <w:b/>
      <w:color w:val="FFFFFF"/>
      <w:sz w:val="16"/>
      <w:szCs w:val="20"/>
      <w:lang w:val="es-MX" w:eastAsia="en-US"/>
    </w:rPr>
  </w:style>
  <w:style w:type="paragraph" w:customStyle="1" w:styleId="45TitulodelCuadrodeIndicadores">
    <w:name w:val="45_Titulo del Cuadro de Indicadores"/>
    <w:basedOn w:val="Normal"/>
    <w:uiPriority w:val="99"/>
    <w:rsid w:val="001E3866"/>
    <w:pPr>
      <w:framePr w:wrap="around" w:vAnchor="text" w:hAnchor="margin" w:xAlign="center" w:y="1"/>
      <w:spacing w:after="60" w:line="200" w:lineRule="exact"/>
      <w:suppressOverlap/>
      <w:jc w:val="center"/>
    </w:pPr>
    <w:rPr>
      <w:rFonts w:eastAsia="Times New Roman" w:cs="Tahoma"/>
      <w:b/>
      <w:sz w:val="16"/>
      <w:szCs w:val="20"/>
      <w:lang w:val="es-MX" w:eastAsia="en-US"/>
    </w:rPr>
  </w:style>
  <w:style w:type="paragraph" w:customStyle="1" w:styleId="46EncabezadodelCuadrodeIndicadores">
    <w:name w:val="46_Encabezado del Cuadro de Indicadores"/>
    <w:basedOn w:val="Normal"/>
    <w:uiPriority w:val="99"/>
    <w:rsid w:val="001E3866"/>
    <w:pPr>
      <w:framePr w:wrap="around" w:vAnchor="text" w:hAnchor="margin" w:xAlign="center" w:y="1"/>
      <w:spacing w:line="200" w:lineRule="exact"/>
      <w:suppressOverlap/>
      <w:jc w:val="center"/>
    </w:pPr>
    <w:rPr>
      <w:rFonts w:eastAsia="Times New Roman" w:cs="Tahoma"/>
      <w:b/>
      <w:color w:val="FFFFFF"/>
      <w:sz w:val="16"/>
      <w:szCs w:val="20"/>
      <w:lang w:val="es-MX" w:eastAsia="en-US"/>
    </w:rPr>
  </w:style>
  <w:style w:type="paragraph" w:customStyle="1" w:styleId="47NombredelIndicador">
    <w:name w:val="47_Nombre del Indicador"/>
    <w:basedOn w:val="Normal"/>
    <w:uiPriority w:val="99"/>
    <w:rsid w:val="001E3866"/>
    <w:pPr>
      <w:framePr w:wrap="around" w:vAnchor="text" w:hAnchor="margin" w:xAlign="center" w:y="1"/>
      <w:spacing w:before="60" w:line="200" w:lineRule="exact"/>
      <w:ind w:left="57" w:right="57"/>
      <w:suppressOverlap/>
      <w:jc w:val="both"/>
    </w:pPr>
    <w:rPr>
      <w:rFonts w:eastAsia="Times New Roman" w:cs="Tahoma"/>
      <w:b/>
      <w:sz w:val="16"/>
      <w:szCs w:val="20"/>
      <w:lang w:val="es-MX" w:eastAsia="en-US"/>
    </w:rPr>
  </w:style>
  <w:style w:type="paragraph" w:customStyle="1" w:styleId="49VietaPrimerNivel">
    <w:name w:val="49_Viñeta Primer Nivel"/>
    <w:aliases w:val="del Cuadro del Indicador"/>
    <w:basedOn w:val="Normal"/>
    <w:uiPriority w:val="99"/>
    <w:rsid w:val="001E3866"/>
    <w:pPr>
      <w:framePr w:wrap="around" w:vAnchor="text" w:hAnchor="margin" w:xAlign="center" w:y="1"/>
      <w:numPr>
        <w:numId w:val="17"/>
      </w:numPr>
      <w:tabs>
        <w:tab w:val="clear" w:pos="720"/>
        <w:tab w:val="left" w:pos="284"/>
      </w:tabs>
      <w:spacing w:after="60" w:line="200" w:lineRule="exact"/>
      <w:ind w:left="432" w:hanging="432"/>
      <w:suppressOverlap/>
      <w:jc w:val="both"/>
    </w:pPr>
    <w:rPr>
      <w:rFonts w:eastAsia="Times New Roman" w:cs="Tahoma"/>
      <w:sz w:val="16"/>
      <w:szCs w:val="20"/>
      <w:lang w:val="es-MX" w:eastAsia="en-US"/>
    </w:rPr>
  </w:style>
  <w:style w:type="paragraph" w:customStyle="1" w:styleId="50FuentedeIndicador">
    <w:name w:val="50_Fuente de Indicador"/>
    <w:basedOn w:val="Normal"/>
    <w:uiPriority w:val="99"/>
    <w:rsid w:val="001E3866"/>
    <w:pPr>
      <w:framePr w:wrap="around" w:vAnchor="text" w:hAnchor="margin" w:xAlign="center" w:y="1"/>
      <w:spacing w:before="60" w:line="200" w:lineRule="exact"/>
      <w:suppressOverlap/>
      <w:jc w:val="both"/>
    </w:pPr>
    <w:rPr>
      <w:rFonts w:eastAsia="Times New Roman" w:cs="Tahoma"/>
      <w:sz w:val="16"/>
      <w:szCs w:val="20"/>
      <w:lang w:val="es-MX" w:eastAsia="en-US"/>
    </w:rPr>
  </w:style>
  <w:style w:type="paragraph" w:customStyle="1" w:styleId="51PorcentajeycifrasdelCuadroIndicador">
    <w:name w:val="51_Porcentaje y cifras del Cuadro Indicador"/>
    <w:basedOn w:val="Normal"/>
    <w:uiPriority w:val="99"/>
    <w:rsid w:val="001E3866"/>
    <w:pPr>
      <w:spacing w:before="60" w:line="200" w:lineRule="exact"/>
      <w:ind w:left="57" w:right="57"/>
      <w:jc w:val="center"/>
    </w:pPr>
    <w:rPr>
      <w:rFonts w:eastAsia="Times New Roman" w:cs="Tahoma"/>
      <w:sz w:val="16"/>
      <w:szCs w:val="20"/>
      <w:lang w:val="es-MX" w:eastAsia="en-US"/>
    </w:rPr>
  </w:style>
  <w:style w:type="paragraph" w:customStyle="1" w:styleId="09TextdelosTtdelTextoGeneral">
    <w:name w:val="09_Text. de los Tít. del Texto General"/>
    <w:basedOn w:val="Normal"/>
    <w:uiPriority w:val="99"/>
    <w:rsid w:val="001E3866"/>
    <w:pPr>
      <w:spacing w:after="120" w:line="240" w:lineRule="exact"/>
      <w:jc w:val="center"/>
    </w:pPr>
    <w:rPr>
      <w:rFonts w:eastAsia="Times New Roman" w:cs="Tahoma"/>
      <w:b/>
      <w:color w:val="35A3AF"/>
      <w:sz w:val="20"/>
      <w:szCs w:val="20"/>
      <w:lang w:val="es-MX" w:eastAsia="en-US"/>
    </w:rPr>
  </w:style>
  <w:style w:type="paragraph" w:customStyle="1" w:styleId="CharCharCarCharCarCharCarCharCarCharCar1">
    <w:name w:val="Char Char Car Char Car Char Car Char Car Char Car1"/>
    <w:basedOn w:val="Normal"/>
    <w:uiPriority w:val="99"/>
    <w:rsid w:val="001E3866"/>
    <w:pPr>
      <w:autoSpaceDE w:val="0"/>
      <w:autoSpaceDN w:val="0"/>
      <w:spacing w:after="160" w:line="240" w:lineRule="exact"/>
      <w:jc w:val="both"/>
    </w:pPr>
    <w:rPr>
      <w:rFonts w:eastAsia="Times New Roman" w:cs="Arial"/>
      <w:sz w:val="20"/>
      <w:szCs w:val="20"/>
      <w:lang w:val="en-US" w:eastAsia="en-US"/>
    </w:rPr>
  </w:style>
  <w:style w:type="character" w:styleId="Nmerodelnea">
    <w:name w:val="line number"/>
    <w:rsid w:val="001E3866"/>
  </w:style>
  <w:style w:type="paragraph" w:customStyle="1" w:styleId="Textoctapb2015">
    <w:name w:val="Texto cta. púb. 2015"/>
    <w:basedOn w:val="Normal"/>
    <w:link w:val="Textoctapb2015Car"/>
    <w:qFormat/>
    <w:rsid w:val="001E3866"/>
    <w:pPr>
      <w:jc w:val="both"/>
    </w:pPr>
    <w:rPr>
      <w:rFonts w:ascii="Arial Narrow" w:eastAsia="Times New Roman" w:hAnsi="Arial Narrow" w:cs="Arial"/>
      <w:sz w:val="20"/>
      <w:szCs w:val="20"/>
      <w:lang w:val="es-MX" w:eastAsia="en-US"/>
    </w:rPr>
  </w:style>
  <w:style w:type="character" w:customStyle="1" w:styleId="Textoctapb2015Car">
    <w:name w:val="Texto cta. púb. 2015 Car"/>
    <w:link w:val="Textoctapb2015"/>
    <w:rsid w:val="001E3866"/>
    <w:rPr>
      <w:rFonts w:ascii="Arial Narrow" w:eastAsia="Times New Roman" w:hAnsi="Arial Narrow" w:cs="Arial"/>
      <w:sz w:val="20"/>
      <w:szCs w:val="20"/>
      <w:lang w:val="es-MX" w:eastAsia="en-US"/>
    </w:rPr>
  </w:style>
  <w:style w:type="paragraph" w:customStyle="1" w:styleId="xl115">
    <w:name w:val="xl115"/>
    <w:basedOn w:val="Normal"/>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b/>
      <w:bCs/>
      <w:color w:val="FFFFFF"/>
      <w:sz w:val="16"/>
      <w:szCs w:val="16"/>
      <w:lang w:val="es-MX" w:eastAsia="en-US"/>
    </w:rPr>
  </w:style>
  <w:style w:type="paragraph" w:customStyle="1" w:styleId="xl116">
    <w:name w:val="xl116"/>
    <w:basedOn w:val="Normal"/>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n-US"/>
    </w:rPr>
  </w:style>
  <w:style w:type="paragraph" w:customStyle="1" w:styleId="xl117">
    <w:name w:val="xl117"/>
    <w:basedOn w:val="Normal"/>
    <w:rsid w:val="001E3866"/>
    <w:pPr>
      <w:pBdr>
        <w:top w:val="single" w:sz="4" w:space="0" w:color="D8D8D8"/>
        <w:left w:val="single" w:sz="12" w:space="0" w:color="A7AAAD"/>
        <w:bottom w:val="single" w:sz="12" w:space="0" w:color="A7AAAD"/>
        <w:right w:val="single" w:sz="4" w:space="0" w:color="D8D8D8"/>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18">
    <w:name w:val="xl118"/>
    <w:basedOn w:val="Normal"/>
    <w:rsid w:val="001E3866"/>
    <w:pPr>
      <w:pBdr>
        <w:top w:val="single" w:sz="4" w:space="0" w:color="D8D8D8"/>
        <w:left w:val="single" w:sz="4" w:space="0" w:color="D8D8D8"/>
        <w:bottom w:val="single" w:sz="12" w:space="0" w:color="A7AAAD"/>
        <w:right w:val="single" w:sz="4" w:space="0" w:color="D8D8D8"/>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19">
    <w:name w:val="xl119"/>
    <w:basedOn w:val="Normal"/>
    <w:rsid w:val="001E3866"/>
    <w:pPr>
      <w:pBdr>
        <w:top w:val="single" w:sz="4" w:space="0" w:color="D8D8D8"/>
        <w:left w:val="single" w:sz="4" w:space="0" w:color="D8D8D8"/>
        <w:bottom w:val="single" w:sz="12" w:space="0" w:color="A7AAAD"/>
        <w:right w:val="single" w:sz="12" w:space="0" w:color="A7AAAD"/>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20">
    <w:name w:val="xl120"/>
    <w:basedOn w:val="Normal"/>
    <w:rsid w:val="001E3866"/>
    <w:pPr>
      <w:pBdr>
        <w:top w:val="single" w:sz="4" w:space="0" w:color="FFFFFF"/>
        <w:left w:val="single" w:sz="12" w:space="0" w:color="A7AAAD"/>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1">
    <w:name w:val="xl121"/>
    <w:basedOn w:val="Normal"/>
    <w:rsid w:val="001E3866"/>
    <w:pPr>
      <w:pBdr>
        <w:top w:val="single" w:sz="4" w:space="0" w:color="FFFFFF"/>
        <w:left w:val="single" w:sz="4" w:space="0" w:color="D8D8D8"/>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2">
    <w:name w:val="xl122"/>
    <w:basedOn w:val="Normal"/>
    <w:rsid w:val="001E3866"/>
    <w:pPr>
      <w:pBdr>
        <w:top w:val="single" w:sz="4" w:space="0" w:color="FFFFFF"/>
        <w:left w:val="single" w:sz="4" w:space="0" w:color="D8D8D8"/>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3">
    <w:name w:val="xl123"/>
    <w:basedOn w:val="Normal"/>
    <w:rsid w:val="001E3866"/>
    <w:pPr>
      <w:pBdr>
        <w:top w:val="single" w:sz="4" w:space="0" w:color="FFFFFF"/>
        <w:left w:val="single" w:sz="4" w:space="0" w:color="D8D8D8"/>
        <w:bottom w:val="single" w:sz="4" w:space="0" w:color="D8D8D8"/>
        <w:right w:val="single" w:sz="12" w:space="0" w:color="A7AAAD"/>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4">
    <w:name w:val="xl124"/>
    <w:basedOn w:val="Normal"/>
    <w:rsid w:val="001E3866"/>
    <w:pPr>
      <w:spacing w:before="100" w:beforeAutospacing="1" w:after="100" w:afterAutospacing="1"/>
      <w:jc w:val="both"/>
    </w:pPr>
    <w:rPr>
      <w:rFonts w:ascii="Futura Lt BT" w:eastAsia="Times New Roman" w:hAnsi="Futura Lt BT" w:cs="Tahoma"/>
      <w:sz w:val="18"/>
      <w:szCs w:val="18"/>
      <w:lang w:val="es-MX" w:eastAsia="en-US"/>
    </w:rPr>
  </w:style>
  <w:style w:type="paragraph" w:customStyle="1" w:styleId="xl125">
    <w:name w:val="xl125"/>
    <w:basedOn w:val="Normal"/>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6">
    <w:name w:val="xl126"/>
    <w:basedOn w:val="Normal"/>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7">
    <w:name w:val="xl127"/>
    <w:basedOn w:val="Normal"/>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8">
    <w:name w:val="xl128"/>
    <w:basedOn w:val="Normal"/>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29">
    <w:name w:val="xl129"/>
    <w:basedOn w:val="Normal"/>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30">
    <w:name w:val="xl130"/>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31">
    <w:name w:val="xl131"/>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32">
    <w:name w:val="xl132"/>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pPr>
    <w:rPr>
      <w:rFonts w:ascii="Futura Md BT" w:eastAsia="Times New Roman" w:hAnsi="Futura Md BT" w:cs="Tahoma"/>
      <w:sz w:val="16"/>
      <w:szCs w:val="16"/>
      <w:lang w:val="es-MX" w:eastAsia="en-US"/>
    </w:rPr>
  </w:style>
  <w:style w:type="paragraph" w:customStyle="1" w:styleId="xl133">
    <w:name w:val="xl133"/>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center"/>
    </w:pPr>
    <w:rPr>
      <w:rFonts w:ascii="Futura Lt BT" w:eastAsia="Times New Roman" w:hAnsi="Futura Lt BT" w:cs="Tahoma"/>
      <w:b/>
      <w:bCs/>
      <w:sz w:val="15"/>
      <w:szCs w:val="15"/>
      <w:lang w:val="es-MX" w:eastAsia="en-US"/>
    </w:rPr>
  </w:style>
  <w:style w:type="paragraph" w:customStyle="1" w:styleId="xl134">
    <w:name w:val="xl134"/>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5">
    <w:name w:val="xl135"/>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6">
    <w:name w:val="xl136"/>
    <w:basedOn w:val="Normal"/>
    <w:uiPriority w:val="99"/>
    <w:rsid w:val="001E3866"/>
    <w:pPr>
      <w:pBdr>
        <w:left w:val="single" w:sz="12" w:space="0" w:color="A7AAAD"/>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7">
    <w:name w:val="xl137"/>
    <w:basedOn w:val="Normal"/>
    <w:uiPriority w:val="99"/>
    <w:rsid w:val="001E3866"/>
    <w:pPr>
      <w:pBdr>
        <w:left w:val="single" w:sz="4" w:space="0" w:color="D8D8D8"/>
        <w:bottom w:val="single" w:sz="4" w:space="0" w:color="D8D8D8"/>
        <w:right w:val="single" w:sz="12" w:space="0" w:color="A7AAAD"/>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8">
    <w:name w:val="xl138"/>
    <w:basedOn w:val="Normal"/>
    <w:uiPriority w:val="99"/>
    <w:rsid w:val="001E3866"/>
    <w:pPr>
      <w:spacing w:before="100" w:beforeAutospacing="1" w:after="100" w:afterAutospacing="1"/>
      <w:jc w:val="both"/>
    </w:pPr>
    <w:rPr>
      <w:rFonts w:ascii="Futura Lt BT" w:eastAsia="Times New Roman" w:hAnsi="Futura Lt BT" w:cs="Tahoma"/>
      <w:sz w:val="18"/>
      <w:szCs w:val="18"/>
      <w:lang w:val="es-MX" w:eastAsia="en-US"/>
    </w:rPr>
  </w:style>
  <w:style w:type="paragraph" w:customStyle="1" w:styleId="xl139">
    <w:name w:val="xl139"/>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0">
    <w:name w:val="xl140"/>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1">
    <w:name w:val="xl141"/>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2">
    <w:name w:val="xl142"/>
    <w:basedOn w:val="Normal"/>
    <w:uiPriority w:val="99"/>
    <w:rsid w:val="001E3866"/>
    <w:pPr>
      <w:pBdr>
        <w:top w:val="single" w:sz="4" w:space="0" w:color="FFFFFF"/>
        <w:left w:val="single" w:sz="4" w:space="0" w:color="FFFFFF"/>
        <w:right w:val="single" w:sz="4" w:space="0" w:color="FFFFFF"/>
      </w:pBdr>
      <w:shd w:val="clear" w:color="000000" w:fill="A7AAAD"/>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3">
    <w:name w:val="xl143"/>
    <w:basedOn w:val="Normal"/>
    <w:uiPriority w:val="99"/>
    <w:rsid w:val="001E3866"/>
    <w:pPr>
      <w:pBdr>
        <w:left w:val="single" w:sz="4" w:space="0" w:color="FFFFFF"/>
        <w:right w:val="single" w:sz="4" w:space="0" w:color="FFFFFF"/>
      </w:pBdr>
      <w:shd w:val="clear" w:color="000000" w:fill="A7AAAD"/>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4">
    <w:name w:val="xl144"/>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45">
    <w:name w:val="xl145"/>
    <w:basedOn w:val="Normal"/>
    <w:uiPriority w:val="99"/>
    <w:rsid w:val="001E3866"/>
    <w:pPr>
      <w:pBdr>
        <w:top w:val="single" w:sz="12" w:space="0" w:color="A7AAAD"/>
      </w:pBdr>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6">
    <w:name w:val="xl146"/>
    <w:basedOn w:val="Normal"/>
    <w:uiPriority w:val="99"/>
    <w:rsid w:val="001E3866"/>
    <w:pPr>
      <w:pBdr>
        <w:top w:val="single" w:sz="12" w:space="0" w:color="A7AAAD"/>
        <w:right w:val="single" w:sz="12" w:space="0" w:color="A7AAAD"/>
      </w:pBdr>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7">
    <w:name w:val="xl147"/>
    <w:basedOn w:val="Normal"/>
    <w:uiPriority w:val="99"/>
    <w:rsid w:val="001E3866"/>
    <w:pPr>
      <w:pBdr>
        <w:left w:val="single" w:sz="12" w:space="0" w:color="A7AAAD"/>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48">
    <w:name w:val="xl148"/>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pPr>
    <w:rPr>
      <w:rFonts w:ascii="Futura Md BT" w:eastAsia="Times New Roman" w:hAnsi="Futura Md BT" w:cs="Tahoma"/>
      <w:sz w:val="16"/>
      <w:szCs w:val="16"/>
      <w:lang w:val="es-MX" w:eastAsia="en-US"/>
    </w:rPr>
  </w:style>
  <w:style w:type="paragraph" w:customStyle="1" w:styleId="xl63">
    <w:name w:val="xl63"/>
    <w:basedOn w:val="Normal"/>
    <w:rsid w:val="001E3866"/>
    <w:pPr>
      <w:pBdr>
        <w:left w:val="single" w:sz="12" w:space="0" w:color="A7AAAD"/>
      </w:pBdr>
      <w:shd w:val="clear" w:color="000000" w:fill="106334"/>
      <w:spacing w:before="100" w:beforeAutospacing="1" w:after="100" w:afterAutospacing="1"/>
      <w:jc w:val="both"/>
    </w:pPr>
    <w:rPr>
      <w:rFonts w:ascii="Futura Lt BT" w:eastAsia="Times New Roman" w:hAnsi="Futura Lt BT" w:cs="Tahoma"/>
      <w:b/>
      <w:bCs/>
      <w:color w:val="FFFFFF"/>
      <w:sz w:val="16"/>
      <w:szCs w:val="16"/>
      <w:lang w:val="es-MX" w:eastAsia="es-MX"/>
    </w:rPr>
  </w:style>
  <w:style w:type="paragraph" w:customStyle="1" w:styleId="xl64">
    <w:name w:val="xl64"/>
    <w:basedOn w:val="Normal"/>
    <w:rsid w:val="001E3866"/>
    <w:pPr>
      <w:shd w:val="clear" w:color="000000" w:fill="106334"/>
      <w:spacing w:before="100" w:beforeAutospacing="1" w:after="100" w:afterAutospacing="1"/>
      <w:jc w:val="center"/>
    </w:pPr>
    <w:rPr>
      <w:rFonts w:ascii="Futura Lt BT" w:eastAsia="Times New Roman" w:hAnsi="Futura Lt BT" w:cs="Tahoma"/>
      <w:b/>
      <w:bCs/>
      <w:color w:val="FFFFFF"/>
      <w:sz w:val="16"/>
      <w:szCs w:val="16"/>
      <w:lang w:val="es-MX" w:eastAsia="es-MX"/>
    </w:rPr>
  </w:style>
  <w:style w:type="paragraph" w:customStyle="1" w:styleId="xl496">
    <w:name w:val="xl496"/>
    <w:basedOn w:val="Normal"/>
    <w:uiPriority w:val="99"/>
    <w:rsid w:val="001E3866"/>
    <w:pPr>
      <w:spacing w:before="100" w:beforeAutospacing="1" w:after="100" w:afterAutospacing="1"/>
      <w:jc w:val="both"/>
    </w:pPr>
    <w:rPr>
      <w:rFonts w:ascii="Futura Lt BT" w:eastAsia="Times New Roman" w:hAnsi="Futura Lt BT" w:cs="Tahoma"/>
      <w:sz w:val="22"/>
      <w:szCs w:val="20"/>
      <w:lang w:val="es-MX" w:eastAsia="es-MX"/>
    </w:rPr>
  </w:style>
  <w:style w:type="paragraph" w:customStyle="1" w:styleId="xl497">
    <w:name w:val="xl497"/>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498">
    <w:name w:val="xl498"/>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499">
    <w:name w:val="xl499"/>
    <w:basedOn w:val="Normal"/>
    <w:uiPriority w:val="99"/>
    <w:rsid w:val="001E3866"/>
    <w:pPr>
      <w:spacing w:before="100" w:beforeAutospacing="1" w:after="100" w:afterAutospacing="1"/>
      <w:jc w:val="both"/>
    </w:pPr>
    <w:rPr>
      <w:rFonts w:ascii="Futura Lt BT" w:eastAsia="Times New Roman" w:hAnsi="Futura Lt BT" w:cs="Tahoma"/>
      <w:sz w:val="22"/>
      <w:szCs w:val="20"/>
      <w:lang w:val="es-MX" w:eastAsia="es-MX"/>
    </w:rPr>
  </w:style>
  <w:style w:type="paragraph" w:customStyle="1" w:styleId="xl500">
    <w:name w:val="xl500"/>
    <w:basedOn w:val="Normal"/>
    <w:uiPriority w:val="99"/>
    <w:rsid w:val="001E3866"/>
    <w:pPr>
      <w:spacing w:before="100" w:beforeAutospacing="1" w:after="100" w:afterAutospacing="1"/>
      <w:jc w:val="both"/>
    </w:pPr>
    <w:rPr>
      <w:rFonts w:ascii="Futura Md BT" w:eastAsia="Times New Roman" w:hAnsi="Futura Md BT" w:cs="Tahoma"/>
      <w:sz w:val="22"/>
      <w:szCs w:val="20"/>
      <w:lang w:val="es-MX" w:eastAsia="es-MX"/>
    </w:rPr>
  </w:style>
  <w:style w:type="paragraph" w:customStyle="1" w:styleId="xl501">
    <w:name w:val="xl501"/>
    <w:basedOn w:val="Normal"/>
    <w:uiPriority w:val="99"/>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s-MX"/>
    </w:rPr>
  </w:style>
  <w:style w:type="paragraph" w:customStyle="1" w:styleId="xl502">
    <w:name w:val="xl502"/>
    <w:basedOn w:val="Normal"/>
    <w:uiPriority w:val="99"/>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s-MX"/>
    </w:rPr>
  </w:style>
  <w:style w:type="paragraph" w:customStyle="1" w:styleId="xl503">
    <w:name w:val="xl503"/>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s-MX"/>
    </w:rPr>
  </w:style>
  <w:style w:type="paragraph" w:customStyle="1" w:styleId="xl504">
    <w:name w:val="xl504"/>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05">
    <w:name w:val="xl505"/>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textAlignment w:val="center"/>
    </w:pPr>
    <w:rPr>
      <w:rFonts w:ascii="Futura Lt BT" w:eastAsia="Times New Roman" w:hAnsi="Futura Lt BT" w:cs="Tahoma"/>
      <w:sz w:val="16"/>
      <w:szCs w:val="16"/>
      <w:lang w:val="es-MX" w:eastAsia="es-MX"/>
    </w:rPr>
  </w:style>
  <w:style w:type="paragraph" w:customStyle="1" w:styleId="xl506">
    <w:name w:val="xl506"/>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07">
    <w:name w:val="xl507"/>
    <w:basedOn w:val="Normal"/>
    <w:uiPriority w:val="99"/>
    <w:rsid w:val="001E3866"/>
    <w:pPr>
      <w:pBdr>
        <w:top w:val="single" w:sz="4" w:space="0" w:color="D8D8D8"/>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08">
    <w:name w:val="xl508"/>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09">
    <w:name w:val="xl509"/>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10">
    <w:name w:val="xl510"/>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pPr>
    <w:rPr>
      <w:rFonts w:ascii="Futura Lt BT" w:eastAsia="Times New Roman" w:hAnsi="Futura Lt BT" w:cs="Tahoma"/>
      <w:sz w:val="16"/>
      <w:szCs w:val="16"/>
      <w:lang w:val="es-MX" w:eastAsia="es-MX"/>
    </w:rPr>
  </w:style>
  <w:style w:type="paragraph" w:customStyle="1" w:styleId="xl511">
    <w:name w:val="xl511"/>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2">
    <w:name w:val="xl512"/>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3">
    <w:name w:val="xl513"/>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14">
    <w:name w:val="xl514"/>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15">
    <w:name w:val="xl515"/>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6">
    <w:name w:val="xl516"/>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7">
    <w:name w:val="xl517"/>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8">
    <w:name w:val="xl518"/>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9">
    <w:name w:val="xl519"/>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20">
    <w:name w:val="xl520"/>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pPr>
    <w:rPr>
      <w:rFonts w:ascii="Futura Lt BT" w:eastAsia="Times New Roman" w:hAnsi="Futura Lt BT" w:cs="Tahoma"/>
      <w:sz w:val="16"/>
      <w:szCs w:val="16"/>
      <w:lang w:val="es-MX" w:eastAsia="es-MX"/>
    </w:rPr>
  </w:style>
  <w:style w:type="paragraph" w:customStyle="1" w:styleId="xl521">
    <w:name w:val="xl521"/>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sz w:val="16"/>
      <w:szCs w:val="16"/>
      <w:lang w:val="es-MX" w:eastAsia="es-MX"/>
    </w:rPr>
  </w:style>
  <w:style w:type="paragraph" w:customStyle="1" w:styleId="xl522">
    <w:name w:val="xl522"/>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23">
    <w:name w:val="xl523"/>
    <w:basedOn w:val="Normal"/>
    <w:uiPriority w:val="99"/>
    <w:rsid w:val="001E3866"/>
    <w:pPr>
      <w:pBdr>
        <w:top w:val="single" w:sz="4" w:space="0" w:color="D8D8D8"/>
        <w:left w:val="single" w:sz="12" w:space="0" w:color="A7AAAD"/>
        <w:bottom w:val="single" w:sz="12" w:space="0" w:color="A7AAAD"/>
        <w:right w:val="single" w:sz="4" w:space="0" w:color="D8D8D8"/>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24">
    <w:name w:val="xl524"/>
    <w:basedOn w:val="Normal"/>
    <w:uiPriority w:val="99"/>
    <w:rsid w:val="001E3866"/>
    <w:pPr>
      <w:pBdr>
        <w:top w:val="single" w:sz="4" w:space="0" w:color="D8D8D8"/>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5">
    <w:name w:val="xl525"/>
    <w:basedOn w:val="Normal"/>
    <w:uiPriority w:val="99"/>
    <w:rsid w:val="001E3866"/>
    <w:pPr>
      <w:pBdr>
        <w:top w:val="single" w:sz="4" w:space="0" w:color="D8D8D8"/>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6">
    <w:name w:val="xl526"/>
    <w:basedOn w:val="Normal"/>
    <w:uiPriority w:val="99"/>
    <w:rsid w:val="001E3866"/>
    <w:pPr>
      <w:pBdr>
        <w:top w:val="single" w:sz="4" w:space="0" w:color="D8D8D8"/>
        <w:left w:val="single" w:sz="4" w:space="0" w:color="D8D8D8"/>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7">
    <w:name w:val="xl527"/>
    <w:basedOn w:val="Normal"/>
    <w:uiPriority w:val="99"/>
    <w:rsid w:val="001E3866"/>
    <w:pPr>
      <w:pBdr>
        <w:top w:val="single" w:sz="4" w:space="0" w:color="D8D8D8"/>
        <w:left w:val="single" w:sz="4" w:space="0" w:color="D8D8D8"/>
        <w:bottom w:val="single" w:sz="4" w:space="0" w:color="D8D8D8"/>
        <w:right w:val="single" w:sz="12" w:space="0" w:color="A7AAAD"/>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8">
    <w:name w:val="xl528"/>
    <w:basedOn w:val="Normal"/>
    <w:uiPriority w:val="99"/>
    <w:rsid w:val="001E3866"/>
    <w:pPr>
      <w:pBdr>
        <w:top w:val="single" w:sz="4" w:space="0" w:color="D8D8D8"/>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29">
    <w:name w:val="xl529"/>
    <w:basedOn w:val="Normal"/>
    <w:uiPriority w:val="99"/>
    <w:rsid w:val="001E3866"/>
    <w:pPr>
      <w:pBdr>
        <w:top w:val="single" w:sz="4" w:space="0" w:color="D8D8D8"/>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30">
    <w:name w:val="xl530"/>
    <w:basedOn w:val="Normal"/>
    <w:uiPriority w:val="99"/>
    <w:rsid w:val="001E3866"/>
    <w:pPr>
      <w:pBdr>
        <w:top w:val="single" w:sz="4" w:space="0" w:color="D8D8D8"/>
        <w:left w:val="single" w:sz="4" w:space="0" w:color="D8D8D8"/>
        <w:bottom w:val="single" w:sz="12" w:space="0" w:color="A7AAAD"/>
        <w:right w:val="single" w:sz="4" w:space="0" w:color="D8D8D8"/>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31">
    <w:name w:val="xl531"/>
    <w:basedOn w:val="Normal"/>
    <w:uiPriority w:val="99"/>
    <w:rsid w:val="001E3866"/>
    <w:pPr>
      <w:pBdr>
        <w:top w:val="single" w:sz="4" w:space="0" w:color="D8D8D8"/>
        <w:left w:val="single" w:sz="4" w:space="0" w:color="D8D8D8"/>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32">
    <w:name w:val="xl532"/>
    <w:basedOn w:val="Normal"/>
    <w:uiPriority w:val="99"/>
    <w:rsid w:val="001E3866"/>
    <w:pPr>
      <w:pBdr>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3">
    <w:name w:val="xl533"/>
    <w:basedOn w:val="Normal"/>
    <w:uiPriority w:val="99"/>
    <w:rsid w:val="001E3866"/>
    <w:pPr>
      <w:pBdr>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4">
    <w:name w:val="xl534"/>
    <w:basedOn w:val="Normal"/>
    <w:uiPriority w:val="99"/>
    <w:rsid w:val="001E3866"/>
    <w:pPr>
      <w:pBdr>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5">
    <w:name w:val="xl535"/>
    <w:basedOn w:val="Normal"/>
    <w:uiPriority w:val="99"/>
    <w:rsid w:val="001E3866"/>
    <w:pPr>
      <w:pBdr>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6">
    <w:name w:val="xl536"/>
    <w:basedOn w:val="Normal"/>
    <w:uiPriority w:val="99"/>
    <w:rsid w:val="001E3866"/>
    <w:pPr>
      <w:pBdr>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37">
    <w:name w:val="xl537"/>
    <w:basedOn w:val="Normal"/>
    <w:uiPriority w:val="99"/>
    <w:rsid w:val="001E3866"/>
    <w:pPr>
      <w:pBdr>
        <w:left w:val="single" w:sz="4" w:space="0" w:color="D8D8D8"/>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8">
    <w:name w:val="xl538"/>
    <w:basedOn w:val="Normal"/>
    <w:uiPriority w:val="99"/>
    <w:rsid w:val="001E3866"/>
    <w:pPr>
      <w:pBdr>
        <w:left w:val="single" w:sz="4" w:space="0" w:color="D8D8D8"/>
        <w:bottom w:val="single" w:sz="4" w:space="0" w:color="D8D8D8"/>
        <w:right w:val="single" w:sz="12" w:space="0" w:color="A7AAAD"/>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9">
    <w:name w:val="xl539"/>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0">
    <w:name w:val="xl540"/>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1">
    <w:name w:val="xl541"/>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2">
    <w:name w:val="xl542"/>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3">
    <w:name w:val="xl543"/>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4">
    <w:name w:val="xl544"/>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5">
    <w:name w:val="xl545"/>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16"/>
      <w:szCs w:val="16"/>
      <w:lang w:val="es-MX" w:eastAsia="es-MX"/>
    </w:rPr>
  </w:style>
  <w:style w:type="paragraph" w:customStyle="1" w:styleId="xl149">
    <w:name w:val="xl149"/>
    <w:basedOn w:val="Normal"/>
    <w:uiPriority w:val="99"/>
    <w:rsid w:val="001E3866"/>
    <w:pPr>
      <w:pBdr>
        <w:top w:val="single" w:sz="12" w:space="0" w:color="A7AAAD"/>
      </w:pBd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0">
    <w:name w:val="xl150"/>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1">
    <w:name w:val="xl151"/>
    <w:basedOn w:val="Normal"/>
    <w:uiPriority w:val="99"/>
    <w:rsid w:val="001E3866"/>
    <w:pPr>
      <w:pBdr>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2">
    <w:name w:val="xl152"/>
    <w:basedOn w:val="Normal"/>
    <w:uiPriority w:val="99"/>
    <w:rsid w:val="001E3866"/>
    <w:pP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3">
    <w:name w:val="xl153"/>
    <w:basedOn w:val="Normal"/>
    <w:uiPriority w:val="99"/>
    <w:rsid w:val="001E3866"/>
    <w:pPr>
      <w:pBdr>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4">
    <w:name w:val="xl154"/>
    <w:basedOn w:val="Normal"/>
    <w:uiPriority w:val="99"/>
    <w:rsid w:val="001E3866"/>
    <w:pP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5">
    <w:name w:val="xl155"/>
    <w:basedOn w:val="Normal"/>
    <w:uiPriority w:val="99"/>
    <w:rsid w:val="001E3866"/>
    <w:pP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6">
    <w:name w:val="xl156"/>
    <w:basedOn w:val="Normal"/>
    <w:uiPriority w:val="99"/>
    <w:rsid w:val="001E3866"/>
    <w:pPr>
      <w:pBdr>
        <w:top w:val="single" w:sz="12" w:space="0" w:color="A7AAAD"/>
      </w:pBd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7">
    <w:name w:val="xl157"/>
    <w:basedOn w:val="Normal"/>
    <w:uiPriority w:val="99"/>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Futura Lt BT" w:eastAsia="Times New Roman" w:hAnsi="Futura Lt BT" w:cs="Tahoma"/>
      <w:b/>
      <w:bCs/>
      <w:sz w:val="20"/>
      <w:szCs w:val="20"/>
      <w:lang w:val="es-MX" w:eastAsia="es-MX"/>
    </w:rPr>
  </w:style>
  <w:style w:type="paragraph" w:customStyle="1" w:styleId="xl158">
    <w:name w:val="xl158"/>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Futura Lt BT" w:eastAsia="Times New Roman" w:hAnsi="Futura Lt BT" w:cs="Tahoma"/>
      <w:b/>
      <w:bCs/>
      <w:sz w:val="20"/>
      <w:szCs w:val="20"/>
      <w:lang w:val="es-MX" w:eastAsia="es-MX"/>
    </w:rPr>
  </w:style>
  <w:style w:type="paragraph" w:customStyle="1" w:styleId="xl159">
    <w:name w:val="xl159"/>
    <w:basedOn w:val="Normal"/>
    <w:uiPriority w:val="99"/>
    <w:rsid w:val="001E3866"/>
    <w:pPr>
      <w:pBdr>
        <w:top w:val="single" w:sz="4" w:space="0" w:color="FFFFFF"/>
        <w:left w:val="single" w:sz="4" w:space="0" w:color="FFFFFF"/>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0">
    <w:name w:val="xl160"/>
    <w:basedOn w:val="Normal"/>
    <w:uiPriority w:val="99"/>
    <w:rsid w:val="001E3866"/>
    <w:pPr>
      <w:pBdr>
        <w:top w:val="single" w:sz="4" w:space="0" w:color="FFFFFF"/>
        <w:left w:val="single" w:sz="4" w:space="0" w:color="FFFFFF"/>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1">
    <w:name w:val="xl161"/>
    <w:basedOn w:val="Normal"/>
    <w:uiPriority w:val="99"/>
    <w:rsid w:val="001E3866"/>
    <w:pPr>
      <w:pBdr>
        <w:top w:val="single" w:sz="4" w:space="0" w:color="FFFFFF"/>
        <w:left w:val="single" w:sz="12" w:space="0" w:color="A7AAAD"/>
        <w:bottom w:val="single" w:sz="4" w:space="0" w:color="FFFFFF"/>
        <w:right w:val="single" w:sz="4" w:space="0" w:color="FFFFFF"/>
      </w:pBdr>
      <w:shd w:val="clear" w:color="000000" w:fill="EBF5DF"/>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2">
    <w:name w:val="xl162"/>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Md BT" w:eastAsia="Times New Roman" w:hAnsi="Futura Md BT" w:cs="Tahoma"/>
      <w:color w:val="000000"/>
      <w:sz w:val="20"/>
      <w:szCs w:val="20"/>
      <w:lang w:val="es-MX" w:eastAsia="es-MX"/>
    </w:rPr>
  </w:style>
  <w:style w:type="paragraph" w:customStyle="1" w:styleId="xl163">
    <w:name w:val="xl163"/>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4">
    <w:name w:val="xl164"/>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Lt BT" w:eastAsia="Times New Roman" w:hAnsi="Futura Lt BT" w:cs="Tahoma"/>
      <w:b/>
      <w:bCs/>
      <w:color w:val="000000"/>
      <w:sz w:val="20"/>
      <w:szCs w:val="20"/>
      <w:lang w:val="es-MX" w:eastAsia="es-MX"/>
    </w:rPr>
  </w:style>
  <w:style w:type="paragraph" w:customStyle="1" w:styleId="xl165">
    <w:name w:val="xl165"/>
    <w:basedOn w:val="Normal"/>
    <w:uiPriority w:val="99"/>
    <w:rsid w:val="001E3866"/>
    <w:pPr>
      <w:pBdr>
        <w:top w:val="single" w:sz="4" w:space="0" w:color="FFFFFF"/>
        <w:left w:val="single" w:sz="12" w:space="0" w:color="A7AAAD"/>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6">
    <w:name w:val="xl166"/>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7">
    <w:name w:val="xl167"/>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8">
    <w:name w:val="xl168"/>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9">
    <w:name w:val="xl169"/>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0">
    <w:name w:val="xl170"/>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1">
    <w:name w:val="xl171"/>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2">
    <w:name w:val="xl172"/>
    <w:basedOn w:val="Normal"/>
    <w:uiPriority w:val="99"/>
    <w:rsid w:val="001E3866"/>
    <w:pPr>
      <w:pBdr>
        <w:left w:val="single" w:sz="12" w:space="0" w:color="A7AAAD"/>
        <w:bottom w:val="single" w:sz="4" w:space="0" w:color="FFFFFF"/>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3">
    <w:name w:val="xl173"/>
    <w:basedOn w:val="Normal"/>
    <w:uiPriority w:val="99"/>
    <w:rsid w:val="001E3866"/>
    <w:pPr>
      <w:pBdr>
        <w:bottom w:val="single" w:sz="4" w:space="0" w:color="FFFFFF"/>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4">
    <w:name w:val="xl174"/>
    <w:basedOn w:val="Normal"/>
    <w:uiPriority w:val="99"/>
    <w:rsid w:val="001E3866"/>
    <w:pPr>
      <w:pBdr>
        <w:bottom w:val="single" w:sz="4" w:space="0" w:color="FFFFFF"/>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5">
    <w:name w:val="xl175"/>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176">
    <w:name w:val="xl176"/>
    <w:basedOn w:val="Normal"/>
    <w:uiPriority w:val="99"/>
    <w:rsid w:val="001E3866"/>
    <w:pPr>
      <w:pBdr>
        <w:top w:val="single" w:sz="4" w:space="0" w:color="FFFFFF"/>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table" w:styleId="Listaclara-nfasis4">
    <w:name w:val="Light List Accent 4"/>
    <w:basedOn w:val="Tablanormal"/>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xl631">
    <w:name w:val="xl631"/>
    <w:basedOn w:val="Normal"/>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2">
    <w:name w:val="xl632"/>
    <w:basedOn w:val="Normal"/>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3">
    <w:name w:val="xl633"/>
    <w:basedOn w:val="Normal"/>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4">
    <w:name w:val="xl634"/>
    <w:basedOn w:val="Normal"/>
    <w:rsid w:val="001E3866"/>
    <w:pPr>
      <w:pBdr>
        <w:lef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5">
    <w:name w:val="xl635"/>
    <w:basedOn w:val="Normal"/>
    <w:rsid w:val="001E3866"/>
    <w:pP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6">
    <w:name w:val="xl636"/>
    <w:basedOn w:val="Normal"/>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7">
    <w:name w:val="xl637"/>
    <w:basedOn w:val="Normal"/>
    <w:rsid w:val="001E3866"/>
    <w:pPr>
      <w:pBdr>
        <w:top w:val="single" w:sz="4" w:space="0" w:color="FFFFFF"/>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38">
    <w:name w:val="xl638"/>
    <w:basedOn w:val="Normal"/>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39">
    <w:name w:val="xl639"/>
    <w:basedOn w:val="Normal"/>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40">
    <w:name w:val="xl640"/>
    <w:basedOn w:val="Normal"/>
    <w:rsid w:val="001E3866"/>
    <w:pPr>
      <w:pBdr>
        <w:top w:val="single" w:sz="4" w:space="0" w:color="FFFFFF"/>
        <w:left w:val="single" w:sz="12" w:space="0" w:color="A7AAAD"/>
        <w:bottom w:val="single" w:sz="4" w:space="0" w:color="FFFFFF"/>
        <w:right w:val="single" w:sz="4" w:space="0" w:color="FFFFFF"/>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1">
    <w:name w:val="xl641"/>
    <w:basedOn w:val="Normal"/>
    <w:rsid w:val="001E3866"/>
    <w:pPr>
      <w:pBdr>
        <w:top w:val="single" w:sz="4" w:space="0" w:color="FFFFFF"/>
        <w:left w:val="single" w:sz="4" w:space="0" w:color="FFFFFF"/>
        <w:bottom w:val="single" w:sz="4" w:space="0" w:color="FFFFFF"/>
        <w:right w:val="single" w:sz="4" w:space="0" w:color="FFFFFF"/>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2">
    <w:name w:val="xl642"/>
    <w:basedOn w:val="Normal"/>
    <w:rsid w:val="001E3866"/>
    <w:pPr>
      <w:pBdr>
        <w:top w:val="single" w:sz="4" w:space="0" w:color="FFFFFF"/>
        <w:left w:val="single" w:sz="4" w:space="0" w:color="FFFFFF"/>
        <w:bottom w:val="single" w:sz="4" w:space="0" w:color="FFFFFF"/>
        <w:right w:val="single" w:sz="12" w:space="0" w:color="A7AAAD"/>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3">
    <w:name w:val="xl643"/>
    <w:basedOn w:val="Normal"/>
    <w:rsid w:val="001E3866"/>
    <w:pPr>
      <w:pBdr>
        <w:top w:val="single" w:sz="4" w:space="0" w:color="FFFFFF"/>
        <w:left w:val="single" w:sz="12" w:space="0" w:color="A7AAAD"/>
        <w:bottom w:val="single" w:sz="4" w:space="0" w:color="FFFFFF"/>
        <w:right w:val="single" w:sz="4" w:space="0" w:color="FFFFFF"/>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4">
    <w:name w:val="xl644"/>
    <w:basedOn w:val="Normal"/>
    <w:rsid w:val="001E3866"/>
    <w:pPr>
      <w:pBdr>
        <w:top w:val="single" w:sz="4" w:space="0" w:color="FFFFFF"/>
        <w:left w:val="single" w:sz="4" w:space="0" w:color="FFFFFF"/>
        <w:bottom w:val="single" w:sz="4" w:space="0" w:color="FFFFFF"/>
        <w:right w:val="single" w:sz="4" w:space="0" w:color="FFFFFF"/>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5">
    <w:name w:val="xl645"/>
    <w:basedOn w:val="Normal"/>
    <w:rsid w:val="001E3866"/>
    <w:pPr>
      <w:pBdr>
        <w:top w:val="single" w:sz="4" w:space="0" w:color="FFFFFF"/>
        <w:left w:val="single" w:sz="4" w:space="0" w:color="FFFFFF"/>
        <w:bottom w:val="single" w:sz="4" w:space="0" w:color="FFFFFF"/>
        <w:right w:val="single" w:sz="12" w:space="0" w:color="A7AAAD"/>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6">
    <w:name w:val="xl646"/>
    <w:basedOn w:val="Normal"/>
    <w:rsid w:val="001E3866"/>
    <w:pPr>
      <w:pBdr>
        <w:top w:val="single" w:sz="4" w:space="0" w:color="FFFFFF"/>
        <w:left w:val="single" w:sz="12" w:space="14" w:color="A7AAAD"/>
        <w:bottom w:val="single" w:sz="4" w:space="0" w:color="FFFFFF"/>
        <w:right w:val="single" w:sz="4" w:space="0" w:color="FFFFFF"/>
      </w:pBdr>
      <w:spacing w:before="100" w:beforeAutospacing="1" w:after="100" w:afterAutospacing="1"/>
      <w:ind w:firstLineChars="100" w:firstLine="100"/>
      <w:jc w:val="both"/>
    </w:pPr>
    <w:rPr>
      <w:rFonts w:ascii="Arial Narrow" w:eastAsia="Times New Roman" w:hAnsi="Arial Narrow" w:cs="Tahoma"/>
      <w:b/>
      <w:bCs/>
      <w:sz w:val="20"/>
      <w:szCs w:val="20"/>
      <w:lang w:val="es-MX" w:eastAsia="es-MX"/>
    </w:rPr>
  </w:style>
  <w:style w:type="paragraph" w:customStyle="1" w:styleId="xl647">
    <w:name w:val="xl647"/>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8">
    <w:name w:val="xl648"/>
    <w:basedOn w:val="Normal"/>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9">
    <w:name w:val="xl649"/>
    <w:basedOn w:val="Normal"/>
    <w:rsid w:val="001E3866"/>
    <w:pPr>
      <w:pBdr>
        <w:top w:val="single" w:sz="4" w:space="0" w:color="FFFFFF"/>
        <w:left w:val="single" w:sz="12" w:space="28" w:color="A7AAAD"/>
        <w:bottom w:val="single" w:sz="4" w:space="0" w:color="FFFFFF"/>
        <w:right w:val="single" w:sz="4" w:space="0" w:color="FFFFFF"/>
      </w:pBdr>
      <w:spacing w:before="100" w:beforeAutospacing="1" w:after="100" w:afterAutospacing="1"/>
      <w:ind w:firstLineChars="200" w:firstLine="200"/>
      <w:jc w:val="both"/>
    </w:pPr>
    <w:rPr>
      <w:rFonts w:ascii="Arial Narrow" w:eastAsia="Times New Roman" w:hAnsi="Arial Narrow" w:cs="Tahoma"/>
      <w:sz w:val="20"/>
      <w:szCs w:val="20"/>
      <w:lang w:val="es-MX" w:eastAsia="es-MX"/>
    </w:rPr>
  </w:style>
  <w:style w:type="paragraph" w:customStyle="1" w:styleId="xl650">
    <w:name w:val="xl65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51">
    <w:name w:val="xl651"/>
    <w:basedOn w:val="Normal"/>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52">
    <w:name w:val="xl652"/>
    <w:basedOn w:val="Normal"/>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Arial Narrow" w:eastAsia="Times New Roman" w:hAnsi="Arial Narrow" w:cs="Tahoma"/>
      <w:b/>
      <w:bCs/>
      <w:sz w:val="20"/>
      <w:szCs w:val="20"/>
      <w:lang w:val="es-MX" w:eastAsia="es-MX"/>
    </w:rPr>
  </w:style>
  <w:style w:type="paragraph" w:customStyle="1" w:styleId="xl653">
    <w:name w:val="xl653"/>
    <w:basedOn w:val="Normal"/>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400" w:firstLine="400"/>
      <w:jc w:val="both"/>
    </w:pPr>
    <w:rPr>
      <w:rFonts w:ascii="Arial Narrow" w:eastAsia="Times New Roman" w:hAnsi="Arial Narrow" w:cs="Tahoma"/>
      <w:sz w:val="20"/>
      <w:szCs w:val="20"/>
      <w:lang w:val="es-MX" w:eastAsia="es-MX"/>
    </w:rPr>
  </w:style>
  <w:style w:type="paragraph" w:customStyle="1" w:styleId="xl654">
    <w:name w:val="xl654"/>
    <w:basedOn w:val="Normal"/>
    <w:rsid w:val="001E3866"/>
    <w:pPr>
      <w:pBdr>
        <w:top w:val="single" w:sz="4" w:space="0" w:color="FFFFFF"/>
        <w:left w:val="single" w:sz="12" w:space="0" w:color="A7AAAD"/>
        <w:bottom w:val="single" w:sz="4" w:space="0" w:color="FFFFFF"/>
        <w:right w:val="single" w:sz="4" w:space="0" w:color="FFFFFF"/>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5">
    <w:name w:val="xl655"/>
    <w:basedOn w:val="Normal"/>
    <w:rsid w:val="001E3866"/>
    <w:pPr>
      <w:pBdr>
        <w:top w:val="single" w:sz="4" w:space="0" w:color="FFFFFF"/>
        <w:left w:val="single" w:sz="4" w:space="0" w:color="FFFFFF"/>
        <w:bottom w:val="single" w:sz="4" w:space="0" w:color="FFFFFF"/>
        <w:right w:val="single" w:sz="4" w:space="0" w:color="FFFFFF"/>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6">
    <w:name w:val="xl656"/>
    <w:basedOn w:val="Normal"/>
    <w:rsid w:val="001E3866"/>
    <w:pPr>
      <w:pBdr>
        <w:top w:val="single" w:sz="4" w:space="0" w:color="FFFFFF"/>
        <w:left w:val="single" w:sz="4" w:space="0" w:color="FFFFFF"/>
        <w:bottom w:val="single" w:sz="4" w:space="0" w:color="FFFFFF"/>
        <w:right w:val="single" w:sz="12" w:space="0" w:color="A7AAAD"/>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7">
    <w:name w:val="xl657"/>
    <w:basedOn w:val="Normal"/>
    <w:rsid w:val="001E3866"/>
    <w:pPr>
      <w:pBdr>
        <w:top w:val="single" w:sz="4" w:space="0" w:color="FFFFFF"/>
        <w:left w:val="single" w:sz="12" w:space="0" w:color="A7AAAD"/>
        <w:bottom w:val="single" w:sz="12" w:space="0" w:color="A7AAAD"/>
        <w:right w:val="single" w:sz="4" w:space="0" w:color="FFFFFF"/>
      </w:pBdr>
      <w:shd w:val="clear" w:color="000000" w:fill="B8D88A"/>
      <w:spacing w:before="100" w:beforeAutospacing="1" w:after="100" w:afterAutospacing="1"/>
      <w:jc w:val="both"/>
      <w:textAlignment w:val="top"/>
    </w:pPr>
    <w:rPr>
      <w:rFonts w:ascii="Futura Md BT" w:eastAsia="Times New Roman" w:hAnsi="Futura Md BT" w:cs="Tahoma"/>
      <w:sz w:val="20"/>
      <w:szCs w:val="20"/>
      <w:lang w:val="es-MX" w:eastAsia="es-MX"/>
    </w:rPr>
  </w:style>
  <w:style w:type="paragraph" w:customStyle="1" w:styleId="xl658">
    <w:name w:val="xl658"/>
    <w:basedOn w:val="Normal"/>
    <w:rsid w:val="001E3866"/>
    <w:pPr>
      <w:pBdr>
        <w:top w:val="single" w:sz="4" w:space="0" w:color="FFFFFF"/>
        <w:left w:val="single" w:sz="4" w:space="0" w:color="FFFFFF"/>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659">
    <w:name w:val="xl659"/>
    <w:basedOn w:val="Normal"/>
    <w:uiPriority w:val="99"/>
    <w:rsid w:val="001E3866"/>
    <w:pPr>
      <w:pBdr>
        <w:top w:val="single" w:sz="4" w:space="0" w:color="FFFFFF"/>
        <w:left w:val="single" w:sz="4" w:space="0" w:color="FFFFFF"/>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character" w:customStyle="1" w:styleId="hoja2bb">
    <w:name w:val="hoja2bb"/>
    <w:rsid w:val="001E3866"/>
  </w:style>
  <w:style w:type="paragraph" w:customStyle="1" w:styleId="Pa5">
    <w:name w:val="Pa5"/>
    <w:basedOn w:val="Default"/>
    <w:next w:val="Default"/>
    <w:uiPriority w:val="99"/>
    <w:rsid w:val="001E3866"/>
    <w:pPr>
      <w:spacing w:line="241" w:lineRule="atLeast"/>
    </w:pPr>
    <w:rPr>
      <w:rFonts w:ascii="Century Gothic" w:hAnsi="Century Gothic" w:cs="Times New Roman"/>
      <w:color w:val="auto"/>
    </w:rPr>
  </w:style>
  <w:style w:type="paragraph" w:customStyle="1" w:styleId="xl660">
    <w:name w:val="xl660"/>
    <w:basedOn w:val="Normal"/>
    <w:uiPriority w:val="99"/>
    <w:rsid w:val="001E3866"/>
    <w:pP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61">
    <w:name w:val="xl661"/>
    <w:basedOn w:val="Normal"/>
    <w:uiPriority w:val="99"/>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2">
    <w:name w:val="xl662"/>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3">
    <w:name w:val="xl663"/>
    <w:basedOn w:val="Normal"/>
    <w:uiPriority w:val="99"/>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4">
    <w:name w:val="xl664"/>
    <w:basedOn w:val="Normal"/>
    <w:uiPriority w:val="99"/>
    <w:rsid w:val="001E3866"/>
    <w:pPr>
      <w:pBdr>
        <w:top w:val="single" w:sz="4" w:space="0" w:color="FFFFFF"/>
        <w:left w:val="single" w:sz="12" w:space="16" w:color="A7AAAD"/>
        <w:bottom w:val="single" w:sz="4" w:space="0" w:color="FFFFFF"/>
        <w:right w:val="single" w:sz="4" w:space="0" w:color="FFFFFF"/>
      </w:pBdr>
      <w:spacing w:before="100" w:beforeAutospacing="1" w:after="100" w:afterAutospacing="1"/>
      <w:ind w:firstLineChars="100" w:firstLine="100"/>
      <w:jc w:val="both"/>
    </w:pPr>
    <w:rPr>
      <w:rFonts w:ascii="Futura Md BT" w:eastAsia="Times New Roman" w:hAnsi="Futura Md BT" w:cs="Tahoma"/>
      <w:sz w:val="20"/>
      <w:szCs w:val="20"/>
      <w:lang w:val="es-MX" w:eastAsia="es-MX"/>
    </w:rPr>
  </w:style>
  <w:style w:type="paragraph" w:customStyle="1" w:styleId="xl665">
    <w:name w:val="xl665"/>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Arial Narrow" w:eastAsia="Times New Roman" w:hAnsi="Arial Narrow" w:cs="Tahoma"/>
      <w:sz w:val="20"/>
      <w:szCs w:val="20"/>
      <w:lang w:val="es-MX" w:eastAsia="es-MX"/>
    </w:rPr>
  </w:style>
  <w:style w:type="paragraph" w:customStyle="1" w:styleId="xl666">
    <w:name w:val="xl666"/>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500" w:firstLine="500"/>
      <w:jc w:val="both"/>
    </w:pPr>
    <w:rPr>
      <w:rFonts w:ascii="Arial Narrow" w:eastAsia="Times New Roman" w:hAnsi="Arial Narrow" w:cs="Tahoma"/>
      <w:sz w:val="20"/>
      <w:szCs w:val="20"/>
      <w:lang w:val="es-MX" w:eastAsia="es-MX"/>
    </w:rPr>
  </w:style>
  <w:style w:type="paragraph" w:customStyle="1" w:styleId="xl667">
    <w:name w:val="xl667"/>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Futura Md BT" w:eastAsia="Times New Roman" w:hAnsi="Futura Md BT" w:cs="Tahoma"/>
      <w:b/>
      <w:bCs/>
      <w:sz w:val="20"/>
      <w:szCs w:val="20"/>
      <w:lang w:val="es-MX" w:eastAsia="es-MX"/>
    </w:rPr>
  </w:style>
  <w:style w:type="paragraph" w:customStyle="1" w:styleId="xl668">
    <w:name w:val="xl668"/>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Futura Md BT" w:eastAsia="Times New Roman" w:hAnsi="Futura Md BT" w:cs="Tahoma"/>
      <w:b/>
      <w:bCs/>
      <w:sz w:val="20"/>
      <w:szCs w:val="20"/>
      <w:lang w:val="es-MX" w:eastAsia="es-MX"/>
    </w:rPr>
  </w:style>
  <w:style w:type="paragraph" w:customStyle="1" w:styleId="xl669">
    <w:name w:val="xl669"/>
    <w:basedOn w:val="Normal"/>
    <w:uiPriority w:val="99"/>
    <w:rsid w:val="001E3866"/>
    <w:pPr>
      <w:spacing w:before="100" w:beforeAutospacing="1" w:after="100" w:afterAutospacing="1"/>
      <w:jc w:val="both"/>
    </w:pPr>
    <w:rPr>
      <w:rFonts w:eastAsia="Times New Roman" w:cs="Arial"/>
      <w:color w:val="5A5A5A"/>
      <w:sz w:val="22"/>
      <w:szCs w:val="20"/>
      <w:lang w:val="es-MX" w:eastAsia="es-MX"/>
    </w:rPr>
  </w:style>
  <w:style w:type="paragraph" w:customStyle="1" w:styleId="xl670">
    <w:name w:val="xl670"/>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color w:val="5A5A5A"/>
      <w:sz w:val="20"/>
      <w:szCs w:val="20"/>
      <w:lang w:val="es-MX" w:eastAsia="es-MX"/>
    </w:rPr>
  </w:style>
  <w:style w:type="paragraph" w:customStyle="1" w:styleId="xl671">
    <w:name w:val="xl671"/>
    <w:basedOn w:val="Normal"/>
    <w:uiPriority w:val="99"/>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color w:val="5A5A5A"/>
      <w:sz w:val="20"/>
      <w:szCs w:val="20"/>
      <w:lang w:val="es-MX" w:eastAsia="es-MX"/>
    </w:rPr>
  </w:style>
  <w:style w:type="paragraph" w:customStyle="1" w:styleId="xl672">
    <w:name w:val="xl672"/>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500" w:firstLine="500"/>
      <w:jc w:val="both"/>
    </w:pPr>
    <w:rPr>
      <w:rFonts w:ascii="Arial Narrow" w:eastAsia="Times New Roman" w:hAnsi="Arial Narrow" w:cs="Tahoma"/>
      <w:color w:val="5A5A5A"/>
      <w:sz w:val="20"/>
      <w:szCs w:val="20"/>
      <w:lang w:val="es-MX" w:eastAsia="es-MX"/>
    </w:rPr>
  </w:style>
  <w:style w:type="paragraph" w:customStyle="1" w:styleId="xl673">
    <w:name w:val="xl673"/>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4">
    <w:name w:val="xl674"/>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5">
    <w:name w:val="xl675"/>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6">
    <w:name w:val="xl676"/>
    <w:basedOn w:val="Normal"/>
    <w:uiPriority w:val="99"/>
    <w:rsid w:val="001E3866"/>
    <w:pPr>
      <w:pBdr>
        <w:lef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7">
    <w:name w:val="xl677"/>
    <w:basedOn w:val="Normal"/>
    <w:uiPriority w:val="99"/>
    <w:rsid w:val="001E3866"/>
    <w:pP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8">
    <w:name w:val="xl678"/>
    <w:basedOn w:val="Normal"/>
    <w:uiPriority w:val="99"/>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9">
    <w:name w:val="xl679"/>
    <w:basedOn w:val="Normal"/>
    <w:uiPriority w:val="99"/>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18"/>
      <w:szCs w:val="18"/>
      <w:lang w:val="es-MX" w:eastAsia="es-MX"/>
    </w:rPr>
  </w:style>
  <w:style w:type="paragraph" w:customStyle="1" w:styleId="xl680">
    <w:name w:val="xl680"/>
    <w:basedOn w:val="Normal"/>
    <w:uiPriority w:val="99"/>
    <w:rsid w:val="001E3866"/>
    <w:pPr>
      <w:pBdr>
        <w:bottom w:val="single" w:sz="4" w:space="0" w:color="FFFFFF"/>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Prrafodelista1">
    <w:name w:val="Párrafo de lista1"/>
    <w:basedOn w:val="Normal"/>
    <w:uiPriority w:val="99"/>
    <w:rsid w:val="001E3866"/>
    <w:pPr>
      <w:spacing w:after="200" w:line="276" w:lineRule="auto"/>
      <w:ind w:left="720"/>
      <w:jc w:val="both"/>
    </w:pPr>
    <w:rPr>
      <w:rFonts w:ascii="Calibri" w:eastAsia="Times New Roman" w:hAnsi="Calibri" w:cs="Tahoma"/>
      <w:sz w:val="22"/>
      <w:szCs w:val="20"/>
      <w:lang w:val="es-MX" w:eastAsia="en-US"/>
    </w:rPr>
  </w:style>
  <w:style w:type="table" w:customStyle="1" w:styleId="Tablaconcuadrcula11">
    <w:name w:val="Tabla con cuadrícula11"/>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aliases w:val="Línea Car1,del Car1,_Encabezado Car1"/>
    <w:uiPriority w:val="99"/>
    <w:semiHidden/>
    <w:rsid w:val="001E3866"/>
    <w:rPr>
      <w:sz w:val="22"/>
      <w:szCs w:val="22"/>
      <w:lang w:eastAsia="en-US"/>
    </w:rPr>
  </w:style>
  <w:style w:type="paragraph" w:customStyle="1" w:styleId="Sinespaciado1">
    <w:name w:val="Sin espaciado1"/>
    <w:uiPriority w:val="99"/>
    <w:rsid w:val="001E3866"/>
    <w:rPr>
      <w:rFonts w:ascii="Futura Lt BT" w:eastAsia="Times New Roman" w:hAnsi="Futura Lt BT" w:cs="Tahoma"/>
      <w:sz w:val="18"/>
      <w:lang w:eastAsia="en-US"/>
    </w:rPr>
  </w:style>
  <w:style w:type="character" w:customStyle="1" w:styleId="nfasisintenso1">
    <w:name w:val="Énfasis intenso1"/>
    <w:rsid w:val="001E3866"/>
    <w:rPr>
      <w:rFonts w:cs="Times New Roman"/>
      <w:b/>
      <w:bCs/>
      <w:i/>
      <w:iCs/>
      <w:color w:val="auto"/>
    </w:rPr>
  </w:style>
  <w:style w:type="character" w:customStyle="1" w:styleId="IntenseQuoteChar">
    <w:name w:val="Intense Quote Char"/>
    <w:link w:val="Citadestacada1"/>
    <w:locked/>
    <w:rsid w:val="001E3866"/>
    <w:rPr>
      <w:rFonts w:ascii="Arial Narrow" w:eastAsia="Times New Roman" w:hAnsi="Arial Narrow" w:cs="Tahoma"/>
      <w:i/>
      <w:iCs/>
      <w:color w:val="404040"/>
      <w:sz w:val="22"/>
      <w:szCs w:val="20"/>
      <w:lang w:val="es-MX" w:eastAsia="en-US"/>
    </w:rPr>
  </w:style>
  <w:style w:type="paragraph" w:customStyle="1" w:styleId="INCISO">
    <w:name w:val="INCISO"/>
    <w:basedOn w:val="Normal"/>
    <w:rsid w:val="001E3866"/>
    <w:pPr>
      <w:tabs>
        <w:tab w:val="left" w:pos="1080"/>
      </w:tabs>
      <w:spacing w:after="101" w:line="216" w:lineRule="exact"/>
      <w:ind w:left="1080" w:hanging="360"/>
      <w:jc w:val="both"/>
    </w:pPr>
    <w:rPr>
      <w:rFonts w:eastAsia="Futura Lt BT" w:cs="Arial"/>
      <w:sz w:val="18"/>
      <w:szCs w:val="18"/>
      <w:lang w:val="es-MX" w:eastAsia="es-MX"/>
    </w:rPr>
  </w:style>
  <w:style w:type="table" w:styleId="Sombreadoclaro-nfasis4">
    <w:name w:val="Light Shading Accent 4"/>
    <w:basedOn w:val="Tablanormal"/>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paragraph" w:customStyle="1" w:styleId="xl177">
    <w:name w:val="xl177"/>
    <w:basedOn w:val="Normal"/>
    <w:uiPriority w:val="99"/>
    <w:rsid w:val="001E3866"/>
    <w:pPr>
      <w:pBdr>
        <w:bottom w:val="single" w:sz="4" w:space="0" w:color="FFFFFF"/>
      </w:pBdr>
      <w:shd w:val="clear" w:color="000000" w:fill="8B9B92"/>
      <w:spacing w:before="100" w:beforeAutospacing="1" w:after="100" w:afterAutospacing="1"/>
      <w:jc w:val="center"/>
      <w:textAlignment w:val="center"/>
    </w:pPr>
    <w:rPr>
      <w:rFonts w:eastAsia="Times New Roman" w:cs="Arial"/>
      <w:color w:val="FFFFFF"/>
      <w:sz w:val="18"/>
      <w:szCs w:val="18"/>
      <w:lang w:val="es-MX" w:eastAsia="es-MX"/>
    </w:rPr>
  </w:style>
  <w:style w:type="paragraph" w:customStyle="1" w:styleId="bullet">
    <w:name w:val="bullet"/>
    <w:basedOn w:val="Normal"/>
    <w:rsid w:val="001E3866"/>
    <w:pPr>
      <w:widowControl w:val="0"/>
      <w:spacing w:before="240"/>
      <w:ind w:left="1276" w:right="1185" w:hanging="273"/>
      <w:jc w:val="both"/>
    </w:pPr>
    <w:rPr>
      <w:rFonts w:eastAsia="Times New Roman" w:cs="Tahoma"/>
      <w:b/>
      <w:snapToGrid w:val="0"/>
      <w:color w:val="000080"/>
      <w:sz w:val="22"/>
      <w:szCs w:val="20"/>
      <w:lang w:eastAsia="en-US"/>
    </w:rPr>
  </w:style>
  <w:style w:type="paragraph" w:customStyle="1" w:styleId="p01">
    <w:name w:val="p01"/>
    <w:basedOn w:val="Normal1"/>
    <w:next w:val="p0"/>
    <w:rsid w:val="001E3866"/>
    <w:pPr>
      <w:keepLines/>
      <w:widowControl/>
      <w:autoSpaceDE/>
      <w:autoSpaceDN/>
      <w:spacing w:before="240"/>
    </w:pPr>
    <w:rPr>
      <w:rFonts w:ascii="Univers" w:hAnsi="Univers"/>
      <w:b w:val="0"/>
      <w:bCs w:val="0"/>
      <w:i w:val="0"/>
      <w:iCs w:val="0"/>
      <w:color w:val="0000FF"/>
      <w:lang w:eastAsia="es-ES"/>
    </w:rPr>
  </w:style>
  <w:style w:type="paragraph" w:styleId="HTMLconformatoprevio">
    <w:name w:val="HTML Preformatted"/>
    <w:basedOn w:val="Normal"/>
    <w:link w:val="HTMLconformatoprevioCar"/>
    <w:uiPriority w:val="99"/>
    <w:unhideWhenUsed/>
    <w:rsid w:val="001E38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8" w:after="188"/>
      <w:ind w:right="188"/>
      <w:jc w:val="both"/>
    </w:pPr>
    <w:rPr>
      <w:rFonts w:ascii="Courier New" w:eastAsia="Times New Roman" w:hAnsi="Courier New" w:cs="Courier New"/>
      <w:color w:val="000000"/>
      <w:sz w:val="16"/>
      <w:szCs w:val="16"/>
      <w:lang w:val="es-MX" w:eastAsia="es-MX"/>
    </w:rPr>
  </w:style>
  <w:style w:type="character" w:customStyle="1" w:styleId="HTMLconformatoprevioCar">
    <w:name w:val="HTML con formato previo Car"/>
    <w:link w:val="HTMLconformatoprevio"/>
    <w:uiPriority w:val="99"/>
    <w:rsid w:val="001E3866"/>
    <w:rPr>
      <w:rFonts w:ascii="Courier New" w:eastAsia="Times New Roman" w:hAnsi="Courier New" w:cs="Courier New"/>
      <w:color w:val="000000"/>
      <w:sz w:val="16"/>
      <w:szCs w:val="16"/>
      <w:shd w:val="clear" w:color="auto" w:fill="FFFFFF"/>
      <w:lang w:val="es-MX" w:eastAsia="es-MX"/>
    </w:rPr>
  </w:style>
  <w:style w:type="character" w:customStyle="1" w:styleId="TextonotapieCar1">
    <w:name w:val="Texto nota pie Car1"/>
    <w:aliases w:val="nota Car1,pie Car1,Letrero Car1,margen Car1,_TEXTO NOTA PIE DE PAGINA Car1"/>
    <w:uiPriority w:val="99"/>
    <w:semiHidden/>
    <w:rsid w:val="001E3866"/>
    <w:rPr>
      <w:rFonts w:ascii="Arial Narrow" w:eastAsia="Times New Roman" w:hAnsi="Arial Narrow"/>
      <w:lang w:eastAsia="es-ES"/>
    </w:rPr>
  </w:style>
  <w:style w:type="character" w:customStyle="1" w:styleId="TextoindependienteCar1">
    <w:name w:val="Texto independiente Car1"/>
    <w:aliases w:val="Letrero margen Car1"/>
    <w:semiHidden/>
    <w:rsid w:val="001E3866"/>
    <w:rPr>
      <w:rFonts w:ascii="Arial Narrow" w:eastAsia="Times New Roman" w:hAnsi="Arial Narrow"/>
      <w:sz w:val="24"/>
      <w:szCs w:val="24"/>
      <w:lang w:eastAsia="es-ES"/>
    </w:rPr>
  </w:style>
  <w:style w:type="paragraph" w:customStyle="1" w:styleId="1">
    <w:name w:val="1"/>
    <w:basedOn w:val="Normal"/>
    <w:next w:val="Normal"/>
    <w:autoRedefine/>
    <w:uiPriority w:val="10"/>
    <w:unhideWhenUsed/>
    <w:qFormat/>
    <w:rsid w:val="001E3866"/>
    <w:pPr>
      <w:contextualSpacing/>
      <w:jc w:val="center"/>
    </w:pPr>
    <w:rPr>
      <w:rFonts w:ascii="Arial Narrow" w:eastAsia="Times New Roman" w:hAnsi="Arial Narrow" w:cs="Tahoma"/>
      <w:spacing w:val="5"/>
      <w:kern w:val="28"/>
      <w:sz w:val="16"/>
      <w:szCs w:val="16"/>
      <w:lang w:val="es-MX" w:eastAsia="en-US"/>
    </w:rPr>
  </w:style>
  <w:style w:type="paragraph" w:customStyle="1" w:styleId="Titulo1">
    <w:name w:val="Titulo 1"/>
    <w:basedOn w:val="Texto"/>
    <w:rsid w:val="001E3866"/>
    <w:pPr>
      <w:keepLines/>
      <w:pBdr>
        <w:bottom w:val="single" w:sz="12" w:space="1" w:color="auto"/>
      </w:pBdr>
      <w:spacing w:before="120" w:after="0" w:line="240" w:lineRule="auto"/>
      <w:ind w:firstLine="0"/>
      <w:outlineLvl w:val="0"/>
    </w:pPr>
    <w:rPr>
      <w:rFonts w:ascii="Times New Roman" w:hAnsi="Times New Roman"/>
      <w:bCs/>
      <w:color w:val="0D0D0D"/>
      <w:szCs w:val="18"/>
      <w:lang w:val="es-ES_tradnl" w:eastAsia="es-MX"/>
    </w:rPr>
  </w:style>
  <w:style w:type="paragraph" w:styleId="Listaconvietas2">
    <w:name w:val="List Bullet 2"/>
    <w:basedOn w:val="Normal"/>
    <w:rsid w:val="001E3866"/>
    <w:pPr>
      <w:numPr>
        <w:numId w:val="18"/>
      </w:numPr>
      <w:tabs>
        <w:tab w:val="clear" w:pos="643"/>
      </w:tabs>
      <w:ind w:left="360"/>
    </w:pPr>
    <w:rPr>
      <w:rFonts w:ascii="Arial Narrow" w:eastAsia="Times New Roman" w:hAnsi="Arial Narrow" w:cs="Tahoma"/>
      <w:sz w:val="22"/>
      <w:szCs w:val="20"/>
      <w:lang w:val="es-ES" w:eastAsia="en-US"/>
    </w:rPr>
  </w:style>
  <w:style w:type="character" w:customStyle="1" w:styleId="titulo10">
    <w:name w:val="titulo1"/>
    <w:rsid w:val="001E3866"/>
    <w:rPr>
      <w:rFonts w:ascii="Soberana Sans Light" w:hAnsi="Soberana Sans Light" w:hint="default"/>
      <w:color w:val="047832"/>
      <w:sz w:val="38"/>
      <w:szCs w:val="38"/>
    </w:rPr>
  </w:style>
  <w:style w:type="character" w:customStyle="1" w:styleId="verde1">
    <w:name w:val="verde1"/>
    <w:rsid w:val="001E3866"/>
    <w:rPr>
      <w:rFonts w:ascii="Soberana Sans Light" w:hAnsi="Soberana Sans Light" w:hint="default"/>
      <w:color w:val="00853E"/>
      <w:sz w:val="22"/>
      <w:szCs w:val="22"/>
    </w:rPr>
  </w:style>
  <w:style w:type="character" w:customStyle="1" w:styleId="apple-converted-space">
    <w:name w:val="apple-converted-space"/>
    <w:basedOn w:val="Fuentedeprrafopredeter"/>
    <w:rsid w:val="001E3866"/>
  </w:style>
  <w:style w:type="table" w:customStyle="1" w:styleId="Cuadrculadetablaclara1">
    <w:name w:val="Cuadrícula de tabla clara1"/>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inespaciadoCar">
    <w:name w:val="Sin espaciado Car"/>
    <w:link w:val="Sinespaciado"/>
    <w:uiPriority w:val="1"/>
    <w:rsid w:val="001E3866"/>
    <w:rPr>
      <w:rFonts w:ascii="Arial Narrow" w:eastAsia="Times New Roman" w:hAnsi="Arial Narrow" w:cs="Tahoma"/>
      <w:sz w:val="18"/>
      <w:szCs w:val="20"/>
      <w:lang w:val="es-MX" w:eastAsia="en-US"/>
    </w:rPr>
  </w:style>
  <w:style w:type="paragraph" w:styleId="ndice1">
    <w:name w:val="index 1"/>
    <w:basedOn w:val="Normal"/>
    <w:next w:val="Normal"/>
    <w:autoRedefine/>
    <w:uiPriority w:val="99"/>
    <w:unhideWhenUsed/>
    <w:rsid w:val="001E3866"/>
    <w:pPr>
      <w:tabs>
        <w:tab w:val="right" w:leader="dot" w:pos="8544"/>
      </w:tabs>
      <w:ind w:left="220" w:hanging="220"/>
      <w:jc w:val="center"/>
    </w:pPr>
    <w:rPr>
      <w:rFonts w:ascii="Arial Narrow" w:eastAsia="Times New Roman" w:hAnsi="Arial Narrow" w:cs="Tahoma"/>
      <w:sz w:val="22"/>
      <w:szCs w:val="20"/>
      <w:lang w:val="es-MX" w:eastAsia="en-US"/>
    </w:rPr>
  </w:style>
  <w:style w:type="character" w:customStyle="1" w:styleId="PuestoCar1">
    <w:name w:val="Puesto Car1"/>
    <w:uiPriority w:val="10"/>
    <w:rsid w:val="001E3866"/>
    <w:rPr>
      <w:rFonts w:ascii="Arial" w:eastAsia="Times New Roman" w:hAnsi="Arial" w:cs="Times New Roman"/>
      <w:spacing w:val="5"/>
      <w:kern w:val="28"/>
      <w:sz w:val="52"/>
      <w:szCs w:val="52"/>
    </w:rPr>
  </w:style>
  <w:style w:type="table" w:customStyle="1" w:styleId="Tablanormal41">
    <w:name w:val="Tabla normal 41"/>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sonormal0">
    <w:name w:val="msonormal"/>
    <w:basedOn w:val="Normal"/>
    <w:rsid w:val="001E3866"/>
    <w:pPr>
      <w:spacing w:before="100" w:beforeAutospacing="1" w:after="100" w:afterAutospacing="1"/>
    </w:pPr>
    <w:rPr>
      <w:rFonts w:ascii="Times New Roman" w:eastAsia="Times New Roman" w:hAnsi="Times New Roman"/>
      <w:lang w:val="es-MX" w:eastAsia="es-MX"/>
    </w:rPr>
  </w:style>
  <w:style w:type="paragraph" w:styleId="TDC2">
    <w:name w:val="toc 2"/>
    <w:basedOn w:val="Normal"/>
    <w:next w:val="Normal"/>
    <w:autoRedefine/>
    <w:uiPriority w:val="39"/>
    <w:unhideWhenUsed/>
    <w:rsid w:val="001E3866"/>
    <w:pPr>
      <w:spacing w:after="100"/>
      <w:ind w:left="220"/>
      <w:jc w:val="both"/>
    </w:pPr>
    <w:rPr>
      <w:rFonts w:ascii="Arial Narrow" w:eastAsia="Times New Roman" w:hAnsi="Arial Narrow" w:cs="Tahoma"/>
      <w:sz w:val="22"/>
      <w:szCs w:val="20"/>
      <w:lang w:val="es-MX" w:eastAsia="en-US"/>
    </w:rPr>
  </w:style>
  <w:style w:type="paragraph" w:styleId="TDC3">
    <w:name w:val="toc 3"/>
    <w:basedOn w:val="Normal"/>
    <w:next w:val="Normal"/>
    <w:autoRedefine/>
    <w:uiPriority w:val="39"/>
    <w:unhideWhenUsed/>
    <w:rsid w:val="001E3866"/>
    <w:pPr>
      <w:spacing w:after="100"/>
      <w:ind w:left="440"/>
      <w:jc w:val="both"/>
    </w:pPr>
    <w:rPr>
      <w:rFonts w:ascii="Arial Narrow" w:eastAsia="Times New Roman" w:hAnsi="Arial Narrow" w:cs="Tahoma"/>
      <w:sz w:val="22"/>
      <w:szCs w:val="20"/>
      <w:lang w:val="es-MX" w:eastAsia="en-US"/>
    </w:rPr>
  </w:style>
  <w:style w:type="paragraph" w:customStyle="1" w:styleId="TDC41">
    <w:name w:val="TDC 41"/>
    <w:basedOn w:val="Normal"/>
    <w:next w:val="Normal"/>
    <w:autoRedefine/>
    <w:uiPriority w:val="39"/>
    <w:unhideWhenUsed/>
    <w:rsid w:val="001E3866"/>
    <w:pPr>
      <w:spacing w:after="100" w:line="259" w:lineRule="auto"/>
      <w:ind w:left="660"/>
    </w:pPr>
    <w:rPr>
      <w:rFonts w:eastAsia="Times New Roman"/>
      <w:sz w:val="22"/>
      <w:szCs w:val="22"/>
      <w:lang w:val="es-MX" w:eastAsia="es-MX"/>
    </w:rPr>
  </w:style>
  <w:style w:type="paragraph" w:customStyle="1" w:styleId="TDC51">
    <w:name w:val="TDC 51"/>
    <w:basedOn w:val="Normal"/>
    <w:next w:val="Normal"/>
    <w:autoRedefine/>
    <w:uiPriority w:val="39"/>
    <w:unhideWhenUsed/>
    <w:rsid w:val="001E3866"/>
    <w:pPr>
      <w:spacing w:after="100" w:line="259" w:lineRule="auto"/>
      <w:ind w:left="880"/>
    </w:pPr>
    <w:rPr>
      <w:rFonts w:eastAsia="Times New Roman"/>
      <w:sz w:val="22"/>
      <w:szCs w:val="22"/>
      <w:lang w:val="es-MX" w:eastAsia="es-MX"/>
    </w:rPr>
  </w:style>
  <w:style w:type="paragraph" w:customStyle="1" w:styleId="TDC61">
    <w:name w:val="TDC 61"/>
    <w:basedOn w:val="Normal"/>
    <w:next w:val="Normal"/>
    <w:autoRedefine/>
    <w:uiPriority w:val="39"/>
    <w:unhideWhenUsed/>
    <w:rsid w:val="001E3866"/>
    <w:pPr>
      <w:spacing w:after="100" w:line="259" w:lineRule="auto"/>
      <w:ind w:left="1100"/>
    </w:pPr>
    <w:rPr>
      <w:rFonts w:eastAsia="Times New Roman"/>
      <w:sz w:val="22"/>
      <w:szCs w:val="22"/>
      <w:lang w:val="es-MX" w:eastAsia="es-MX"/>
    </w:rPr>
  </w:style>
  <w:style w:type="paragraph" w:customStyle="1" w:styleId="TDC71">
    <w:name w:val="TDC 71"/>
    <w:basedOn w:val="Normal"/>
    <w:next w:val="Normal"/>
    <w:autoRedefine/>
    <w:uiPriority w:val="39"/>
    <w:unhideWhenUsed/>
    <w:rsid w:val="001E3866"/>
    <w:pPr>
      <w:spacing w:after="100" w:line="259" w:lineRule="auto"/>
      <w:ind w:left="1320"/>
    </w:pPr>
    <w:rPr>
      <w:rFonts w:eastAsia="Times New Roman"/>
      <w:sz w:val="22"/>
      <w:szCs w:val="22"/>
      <w:lang w:val="es-MX" w:eastAsia="es-MX"/>
    </w:rPr>
  </w:style>
  <w:style w:type="paragraph" w:customStyle="1" w:styleId="TDC81">
    <w:name w:val="TDC 81"/>
    <w:basedOn w:val="Normal"/>
    <w:next w:val="Normal"/>
    <w:autoRedefine/>
    <w:uiPriority w:val="39"/>
    <w:unhideWhenUsed/>
    <w:rsid w:val="001E3866"/>
    <w:pPr>
      <w:spacing w:after="100" w:line="259" w:lineRule="auto"/>
      <w:ind w:left="1540"/>
    </w:pPr>
    <w:rPr>
      <w:rFonts w:eastAsia="Times New Roman"/>
      <w:sz w:val="22"/>
      <w:szCs w:val="22"/>
      <w:lang w:val="es-MX" w:eastAsia="es-MX"/>
    </w:rPr>
  </w:style>
  <w:style w:type="paragraph" w:customStyle="1" w:styleId="TDC91">
    <w:name w:val="TDC 91"/>
    <w:basedOn w:val="Normal"/>
    <w:next w:val="Normal"/>
    <w:autoRedefine/>
    <w:uiPriority w:val="39"/>
    <w:unhideWhenUsed/>
    <w:rsid w:val="001E3866"/>
    <w:pPr>
      <w:spacing w:after="100" w:line="259" w:lineRule="auto"/>
      <w:ind w:left="1760"/>
    </w:pPr>
    <w:rPr>
      <w:rFonts w:eastAsia="Times New Roman"/>
      <w:sz w:val="22"/>
      <w:szCs w:val="22"/>
      <w:lang w:val="es-MX" w:eastAsia="es-MX"/>
    </w:rPr>
  </w:style>
  <w:style w:type="paragraph" w:customStyle="1" w:styleId="xl628">
    <w:name w:val="xl628"/>
    <w:basedOn w:val="Normal"/>
    <w:rsid w:val="001E3866"/>
    <w:pPr>
      <w:spacing w:before="100" w:beforeAutospacing="1" w:after="100" w:afterAutospacing="1"/>
      <w:jc w:val="center"/>
      <w:textAlignment w:val="center"/>
    </w:pPr>
    <w:rPr>
      <w:rFonts w:ascii="Arial Narrow" w:eastAsia="Times New Roman" w:hAnsi="Arial Narrow"/>
      <w:sz w:val="20"/>
      <w:szCs w:val="20"/>
      <w:lang w:val="es-MX" w:eastAsia="es-MX"/>
    </w:rPr>
  </w:style>
  <w:style w:type="paragraph" w:customStyle="1" w:styleId="xl629">
    <w:name w:val="xl629"/>
    <w:basedOn w:val="Normal"/>
    <w:rsid w:val="001E3866"/>
    <w:pPr>
      <w:spacing w:before="100" w:beforeAutospacing="1" w:after="100" w:afterAutospacing="1"/>
    </w:pPr>
    <w:rPr>
      <w:rFonts w:ascii="Times New Roman" w:eastAsia="Times New Roman" w:hAnsi="Times New Roman"/>
      <w:lang w:val="es-MX" w:eastAsia="es-MX"/>
    </w:rPr>
  </w:style>
  <w:style w:type="paragraph" w:customStyle="1" w:styleId="xl630">
    <w:name w:val="xl630"/>
    <w:basedOn w:val="Normal"/>
    <w:rsid w:val="001E3866"/>
    <w:pPr>
      <w:spacing w:before="100" w:beforeAutospacing="1" w:after="100" w:afterAutospacing="1"/>
      <w:jc w:val="center"/>
    </w:pPr>
    <w:rPr>
      <w:rFonts w:ascii="Futura Lt BT" w:eastAsia="Times New Roman" w:hAnsi="Futura Lt BT"/>
      <w:color w:val="A6A6A6"/>
      <w:lang w:val="es-MX" w:eastAsia="es-MX"/>
    </w:rPr>
  </w:style>
  <w:style w:type="character" w:customStyle="1" w:styleId="TtuloCar2">
    <w:name w:val="Título Car2"/>
    <w:uiPriority w:val="10"/>
    <w:rsid w:val="001E3866"/>
    <w:rPr>
      <w:rFonts w:ascii="Arial" w:eastAsia="MS PGothic" w:hAnsi="Arial" w:cs="Times New Roman"/>
      <w:color w:val="17365D"/>
      <w:spacing w:val="5"/>
      <w:kern w:val="28"/>
      <w:sz w:val="52"/>
      <w:szCs w:val="52"/>
    </w:rPr>
  </w:style>
  <w:style w:type="paragraph" w:styleId="Cita">
    <w:name w:val="Quote"/>
    <w:basedOn w:val="Normal"/>
    <w:next w:val="Normal"/>
    <w:link w:val="CitaCar"/>
    <w:uiPriority w:val="29"/>
    <w:qFormat/>
    <w:rsid w:val="001E3866"/>
    <w:pPr>
      <w:spacing w:before="120" w:after="120" w:line="360" w:lineRule="auto"/>
      <w:jc w:val="both"/>
    </w:pPr>
    <w:rPr>
      <w:i/>
      <w:iCs/>
      <w:color w:val="404040"/>
    </w:rPr>
  </w:style>
  <w:style w:type="character" w:customStyle="1" w:styleId="CitaCar1">
    <w:name w:val="Cita Car1"/>
    <w:uiPriority w:val="29"/>
    <w:rsid w:val="001E3866"/>
    <w:rPr>
      <w:i/>
      <w:iCs/>
      <w:color w:val="000000"/>
    </w:rPr>
  </w:style>
  <w:style w:type="paragraph" w:styleId="Citadestacada">
    <w:name w:val="Intense Quote"/>
    <w:basedOn w:val="Normal"/>
    <w:next w:val="Normal"/>
    <w:link w:val="CitadestacadaCar"/>
    <w:uiPriority w:val="30"/>
    <w:qFormat/>
    <w:rsid w:val="001E3866"/>
    <w:pPr>
      <w:pBdr>
        <w:bottom w:val="single" w:sz="4" w:space="4" w:color="4F81BD"/>
      </w:pBdr>
      <w:spacing w:before="200" w:after="280" w:line="360" w:lineRule="auto"/>
      <w:ind w:left="936" w:right="936"/>
      <w:jc w:val="both"/>
    </w:pPr>
    <w:rPr>
      <w:i/>
      <w:iCs/>
      <w:color w:val="404040"/>
    </w:rPr>
  </w:style>
  <w:style w:type="character" w:customStyle="1" w:styleId="CitadestacadaCar1">
    <w:name w:val="Cita destacada Car1"/>
    <w:uiPriority w:val="30"/>
    <w:rsid w:val="001E3866"/>
    <w:rPr>
      <w:b/>
      <w:bCs/>
      <w:i/>
      <w:iCs/>
      <w:color w:val="4F81BD"/>
    </w:rPr>
  </w:style>
  <w:style w:type="character" w:styleId="nfasissutil">
    <w:name w:val="Subtle Emphasis"/>
    <w:uiPriority w:val="19"/>
    <w:qFormat/>
    <w:rsid w:val="001E3866"/>
    <w:rPr>
      <w:i/>
      <w:iCs/>
      <w:color w:val="808080"/>
    </w:rPr>
  </w:style>
  <w:style w:type="character" w:styleId="Referenciasutil">
    <w:name w:val="Subtle Reference"/>
    <w:uiPriority w:val="31"/>
    <w:qFormat/>
    <w:rsid w:val="001E3866"/>
    <w:rPr>
      <w:smallCaps/>
      <w:color w:val="C0504D"/>
      <w:u w:val="single"/>
    </w:rPr>
  </w:style>
  <w:style w:type="character" w:styleId="Referenciaintensa">
    <w:name w:val="Intense Reference"/>
    <w:uiPriority w:val="32"/>
    <w:qFormat/>
    <w:rsid w:val="001E3866"/>
    <w:rPr>
      <w:b/>
      <w:bCs/>
      <w:smallCaps/>
      <w:color w:val="C0504D"/>
      <w:spacing w:val="5"/>
      <w:u w:val="single"/>
    </w:rPr>
  </w:style>
  <w:style w:type="numbering" w:customStyle="1" w:styleId="Sinlista2">
    <w:name w:val="Sin lista2"/>
    <w:next w:val="Sinlista"/>
    <w:uiPriority w:val="99"/>
    <w:semiHidden/>
    <w:unhideWhenUsed/>
    <w:rsid w:val="001E3866"/>
  </w:style>
  <w:style w:type="table" w:customStyle="1" w:styleId="Tablaconcuadrcula4">
    <w:name w:val="Tabla con cuadrícula4"/>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1E3866"/>
  </w:style>
  <w:style w:type="table" w:customStyle="1" w:styleId="Tablabsica11">
    <w:name w:val="Tabla básica 11"/>
    <w:basedOn w:val="Tablanormal"/>
    <w:next w:val="Tablabsica1"/>
    <w:rsid w:val="001E3866"/>
    <w:rPr>
      <w:rFonts w:ascii="Arial Narrow" w:eastAsia="Times New Roman" w:hAnsi="Arial Narrow" w:cs="Tahom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rsid w:val="001E3866"/>
    <w:rPr>
      <w:rFonts w:ascii="Arial Narrow" w:eastAsia="Times New Roman" w:hAnsi="Arial Narrow" w:cs="Tahom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rsid w:val="001E3866"/>
    <w:rPr>
      <w:rFonts w:ascii="Arial Narrow" w:eastAsia="Times New Roman" w:hAnsi="Arial Narrow" w:cs="Tahom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1">
    <w:name w:val="Sombreado claro11"/>
    <w:basedOn w:val="Tablanormal"/>
    <w:uiPriority w:val="60"/>
    <w:rsid w:val="001E3866"/>
    <w:rPr>
      <w:rFonts w:ascii="Arial Narrow" w:eastAsia="Times New Roman" w:hAnsi="Arial Narrow" w:cs="Tahoma"/>
      <w:color w:val="000000"/>
      <w:sz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1">
    <w:name w:val="Sombreado claro21"/>
    <w:basedOn w:val="Tablanormal"/>
    <w:uiPriority w:val="60"/>
    <w:rsid w:val="001E3866"/>
    <w:rPr>
      <w:rFonts w:ascii="Arial Narrow" w:eastAsia="Arial Narrow" w:hAnsi="Arial Narrow" w:cs="Tahoma"/>
      <w:color w:val="000000"/>
      <w:sz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1">
    <w:name w:val="Lista clara - Énfasis 41"/>
    <w:basedOn w:val="Tablanormal"/>
    <w:next w:val="Listaclara-nfasis4"/>
    <w:uiPriority w:val="61"/>
    <w:rsid w:val="001E3866"/>
    <w:rPr>
      <w:rFonts w:ascii="Arial Narrow" w:eastAsia="Arial Narrow" w:hAnsi="Arial Narrow" w:cs="Tahoma"/>
      <w:sz w:val="18"/>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2">
    <w:name w:val="Tabla con cuadrícula12"/>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1">
    <w:name w:val="Sombreado claro - Énfasis 41"/>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1">
    <w:name w:val="Cuadrícula de tabla clara11"/>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1">
    <w:name w:val="Tabla normal 411"/>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DC4">
    <w:name w:val="toc 4"/>
    <w:basedOn w:val="Normal"/>
    <w:next w:val="Normal"/>
    <w:autoRedefine/>
    <w:uiPriority w:val="39"/>
    <w:unhideWhenUsed/>
    <w:rsid w:val="001E3866"/>
    <w:pPr>
      <w:spacing w:after="100" w:line="259"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rsid w:val="001E3866"/>
    <w:pPr>
      <w:spacing w:after="100" w:line="259"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rsid w:val="001E3866"/>
    <w:pPr>
      <w:spacing w:after="100" w:line="259"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rsid w:val="001E3866"/>
    <w:pPr>
      <w:spacing w:after="100" w:line="259"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rsid w:val="001E3866"/>
    <w:pPr>
      <w:spacing w:after="100" w:line="259" w:lineRule="auto"/>
      <w:ind w:left="1540"/>
    </w:pPr>
    <w:rPr>
      <w:rFonts w:ascii="Calibri" w:eastAsia="Times New Roman" w:hAnsi="Calibri"/>
      <w:sz w:val="22"/>
      <w:szCs w:val="22"/>
      <w:lang w:val="es-MX" w:eastAsia="es-MX"/>
    </w:rPr>
  </w:style>
  <w:style w:type="paragraph" w:styleId="TDC9">
    <w:name w:val="toc 9"/>
    <w:basedOn w:val="Normal"/>
    <w:next w:val="Normal"/>
    <w:autoRedefine/>
    <w:uiPriority w:val="39"/>
    <w:unhideWhenUsed/>
    <w:rsid w:val="001E3866"/>
    <w:pPr>
      <w:spacing w:after="100" w:line="259" w:lineRule="auto"/>
      <w:ind w:left="1760"/>
    </w:pPr>
    <w:rPr>
      <w:rFonts w:ascii="Calibri" w:eastAsia="Times New Roman" w:hAnsi="Calibri"/>
      <w:sz w:val="22"/>
      <w:szCs w:val="22"/>
      <w:lang w:val="es-MX" w:eastAsia="es-MX"/>
    </w:rPr>
  </w:style>
  <w:style w:type="paragraph" w:customStyle="1" w:styleId="Textoctapb2012">
    <w:name w:val="Texto cta. púb. 2012"/>
    <w:basedOn w:val="Normal"/>
    <w:link w:val="Textoctapb2012Car"/>
    <w:qFormat/>
    <w:rsid w:val="001E3866"/>
    <w:pPr>
      <w:spacing w:line="360" w:lineRule="auto"/>
      <w:jc w:val="both"/>
    </w:pPr>
    <w:rPr>
      <w:rFonts w:ascii="Futura Lt BT" w:eastAsia="Times New Roman" w:hAnsi="Futura Lt BT"/>
      <w:lang w:val="es-MX" w:eastAsia="es-MX"/>
    </w:rPr>
  </w:style>
  <w:style w:type="character" w:customStyle="1" w:styleId="Textoctapb2012Car">
    <w:name w:val="Texto cta. púb. 2012 Car"/>
    <w:link w:val="Textoctapb2012"/>
    <w:rsid w:val="001E3866"/>
    <w:rPr>
      <w:rFonts w:ascii="Futura Lt BT" w:eastAsia="Times New Roman" w:hAnsi="Futura Lt BT" w:cs="Times New Roman"/>
      <w:lang w:val="es-MX" w:eastAsia="es-MX"/>
    </w:rPr>
  </w:style>
  <w:style w:type="paragraph" w:customStyle="1" w:styleId="Prrafodelista2">
    <w:name w:val="Párrafo de lista2"/>
    <w:basedOn w:val="Normal"/>
    <w:rsid w:val="001E3866"/>
    <w:pPr>
      <w:spacing w:line="360" w:lineRule="auto"/>
      <w:ind w:left="720"/>
      <w:jc w:val="both"/>
    </w:pPr>
    <w:rPr>
      <w:rFonts w:eastAsia="Times New Roman"/>
      <w:sz w:val="22"/>
      <w:szCs w:val="22"/>
      <w:lang w:val="es-MX" w:eastAsia="en-US"/>
    </w:rPr>
  </w:style>
  <w:style w:type="paragraph" w:customStyle="1" w:styleId="MMTopic1">
    <w:name w:val="MM Topic 1"/>
    <w:basedOn w:val="Ttulo1"/>
    <w:rsid w:val="001E3866"/>
    <w:pPr>
      <w:keepLines w:val="0"/>
      <w:numPr>
        <w:numId w:val="22"/>
      </w:numPr>
      <w:tabs>
        <w:tab w:val="clear" w:pos="360"/>
      </w:tabs>
      <w:spacing w:before="240" w:after="60" w:line="240" w:lineRule="auto"/>
      <w:jc w:val="left"/>
    </w:pPr>
    <w:rPr>
      <w:rFonts w:cs="Arial"/>
      <w:b w:val="0"/>
      <w:kern w:val="32"/>
      <w:sz w:val="32"/>
      <w:szCs w:val="32"/>
      <w:lang w:val="es-ES" w:eastAsia="es-MX"/>
    </w:rPr>
  </w:style>
  <w:style w:type="paragraph" w:customStyle="1" w:styleId="MMTopic2">
    <w:name w:val="MM Topic 2"/>
    <w:basedOn w:val="Ttulo2"/>
    <w:rsid w:val="001E3866"/>
    <w:pPr>
      <w:keepLines w:val="0"/>
      <w:numPr>
        <w:ilvl w:val="0"/>
        <w:numId w:val="0"/>
      </w:numPr>
      <w:tabs>
        <w:tab w:val="num" w:pos="360"/>
      </w:tabs>
      <w:spacing w:before="240" w:after="60" w:line="240" w:lineRule="auto"/>
      <w:jc w:val="left"/>
    </w:pPr>
    <w:rPr>
      <w:rFonts w:cs="Arial"/>
      <w:b w:val="0"/>
      <w:i/>
      <w:iCs/>
      <w:sz w:val="28"/>
      <w:szCs w:val="28"/>
      <w:lang w:val="es-ES" w:eastAsia="es-MX"/>
    </w:rPr>
  </w:style>
  <w:style w:type="paragraph" w:customStyle="1" w:styleId="MMTopic3">
    <w:name w:val="MM Topic 3"/>
    <w:basedOn w:val="Ttulo3"/>
    <w:rsid w:val="001E3866"/>
    <w:pPr>
      <w:keepLines w:val="0"/>
      <w:numPr>
        <w:ilvl w:val="0"/>
        <w:numId w:val="0"/>
      </w:numPr>
      <w:tabs>
        <w:tab w:val="num" w:pos="360"/>
      </w:tabs>
      <w:spacing w:before="240" w:after="60" w:line="240" w:lineRule="auto"/>
      <w:jc w:val="left"/>
    </w:pPr>
    <w:rPr>
      <w:rFonts w:cs="Arial"/>
      <w:color w:val="auto"/>
      <w:sz w:val="26"/>
      <w:szCs w:val="26"/>
      <w:lang w:val="es-ES" w:eastAsia="es-MX"/>
    </w:rPr>
  </w:style>
  <w:style w:type="character" w:customStyle="1" w:styleId="apple-style-span">
    <w:name w:val="apple-style-span"/>
    <w:rsid w:val="001E3866"/>
  </w:style>
  <w:style w:type="paragraph" w:customStyle="1" w:styleId="Cuenta">
    <w:name w:val="Cuenta"/>
    <w:basedOn w:val="Prrafodelista"/>
    <w:link w:val="CuentaCar"/>
    <w:qFormat/>
    <w:rsid w:val="001E3866"/>
    <w:pPr>
      <w:numPr>
        <w:ilvl w:val="1"/>
        <w:numId w:val="21"/>
      </w:numPr>
      <w:contextualSpacing w:val="0"/>
      <w:jc w:val="both"/>
    </w:pPr>
    <w:rPr>
      <w:rFonts w:ascii="Cambria" w:eastAsia="Times New Roman" w:hAnsi="Cambria"/>
      <w:b/>
      <w:szCs w:val="20"/>
      <w:lang w:val="es-MX" w:eastAsia="es-MX"/>
    </w:rPr>
  </w:style>
  <w:style w:type="character" w:customStyle="1" w:styleId="CuentaCar">
    <w:name w:val="Cuenta Car"/>
    <w:link w:val="Cuenta"/>
    <w:rsid w:val="001E3866"/>
    <w:rPr>
      <w:rFonts w:ascii="Cambria" w:eastAsia="Times New Roman" w:hAnsi="Cambria"/>
      <w:b/>
      <w:sz w:val="24"/>
    </w:rPr>
  </w:style>
  <w:style w:type="paragraph" w:customStyle="1" w:styleId="Normal2">
    <w:name w:val="Normal2"/>
    <w:next w:val="Normal"/>
    <w:qFormat/>
    <w:rsid w:val="001E3866"/>
    <w:pPr>
      <w:jc w:val="both"/>
    </w:pPr>
    <w:rPr>
      <w:rFonts w:ascii="Calibri" w:eastAsia="Times New Roman" w:hAnsi="Calibri"/>
      <w:sz w:val="16"/>
      <w:szCs w:val="24"/>
    </w:rPr>
  </w:style>
  <w:style w:type="paragraph" w:customStyle="1" w:styleId="xl183">
    <w:name w:val="xl183"/>
    <w:basedOn w:val="Normal"/>
    <w:rsid w:val="001E3866"/>
    <w:pPr>
      <w:spacing w:before="100" w:beforeAutospacing="1" w:after="100" w:afterAutospacing="1"/>
    </w:pPr>
    <w:rPr>
      <w:rFonts w:ascii="Times New Roman" w:eastAsia="Times New Roman" w:hAnsi="Times New Roman"/>
      <w:b/>
      <w:bCs/>
      <w:lang w:val="es-MX" w:eastAsia="es-MX"/>
    </w:rPr>
  </w:style>
  <w:style w:type="paragraph" w:customStyle="1" w:styleId="xl184">
    <w:name w:val="xl184"/>
    <w:basedOn w:val="Normal"/>
    <w:rsid w:val="001E3866"/>
    <w:pPr>
      <w:spacing w:before="100" w:beforeAutospacing="1" w:after="100" w:afterAutospacing="1"/>
      <w:jc w:val="center"/>
      <w:textAlignment w:val="center"/>
    </w:pPr>
    <w:rPr>
      <w:rFonts w:ascii="Arial Narrow" w:eastAsia="Times New Roman" w:hAnsi="Arial Narrow"/>
      <w:sz w:val="20"/>
      <w:szCs w:val="20"/>
      <w:lang w:val="es-MX" w:eastAsia="es-MX"/>
    </w:rPr>
  </w:style>
  <w:style w:type="paragraph" w:customStyle="1" w:styleId="xl185">
    <w:name w:val="xl185"/>
    <w:basedOn w:val="Normal"/>
    <w:rsid w:val="001E3866"/>
    <w:pPr>
      <w:spacing w:before="100" w:beforeAutospacing="1" w:after="100" w:afterAutospacing="1"/>
    </w:pPr>
    <w:rPr>
      <w:rFonts w:ascii="Times New Roman" w:eastAsia="Times New Roman" w:hAnsi="Times New Roman"/>
      <w:b/>
      <w:bCs/>
      <w:color w:val="FFFFFF"/>
      <w:lang w:val="es-MX" w:eastAsia="es-MX"/>
    </w:rPr>
  </w:style>
  <w:style w:type="paragraph" w:customStyle="1" w:styleId="xl186">
    <w:name w:val="xl186"/>
    <w:basedOn w:val="Normal"/>
    <w:rsid w:val="001E3866"/>
    <w:pPr>
      <w:spacing w:before="100" w:beforeAutospacing="1" w:after="100" w:afterAutospacing="1"/>
    </w:pPr>
    <w:rPr>
      <w:rFonts w:ascii="Times New Roman" w:eastAsia="Times New Roman" w:hAnsi="Times New Roman"/>
      <w:sz w:val="19"/>
      <w:szCs w:val="19"/>
      <w:lang w:val="es-MX" w:eastAsia="es-MX"/>
    </w:rPr>
  </w:style>
  <w:style w:type="paragraph" w:customStyle="1" w:styleId="xl187">
    <w:name w:val="xl187"/>
    <w:basedOn w:val="Normal"/>
    <w:rsid w:val="001E3866"/>
    <w:pPr>
      <w:spacing w:before="100" w:beforeAutospacing="1" w:after="100" w:afterAutospacing="1"/>
      <w:textAlignment w:val="center"/>
    </w:pPr>
    <w:rPr>
      <w:rFonts w:ascii="Arial Narrow" w:eastAsia="Times New Roman" w:hAnsi="Arial Narrow"/>
      <w:b/>
      <w:bCs/>
      <w:sz w:val="20"/>
      <w:szCs w:val="20"/>
      <w:lang w:val="es-MX" w:eastAsia="es-MX"/>
    </w:rPr>
  </w:style>
  <w:style w:type="paragraph" w:customStyle="1" w:styleId="xl188">
    <w:name w:val="xl188"/>
    <w:basedOn w:val="Normal"/>
    <w:rsid w:val="001E3866"/>
    <w:pPr>
      <w:spacing w:before="100" w:beforeAutospacing="1" w:after="100" w:afterAutospacing="1"/>
    </w:pPr>
    <w:rPr>
      <w:rFonts w:ascii="Arial Narrow" w:eastAsia="Times New Roman" w:hAnsi="Arial Narrow"/>
      <w:sz w:val="20"/>
      <w:szCs w:val="20"/>
      <w:lang w:val="es-MX" w:eastAsia="es-MX"/>
    </w:rPr>
  </w:style>
  <w:style w:type="paragraph" w:customStyle="1" w:styleId="xl189">
    <w:name w:val="xl189"/>
    <w:basedOn w:val="Normal"/>
    <w:rsid w:val="001E3866"/>
    <w:pPr>
      <w:spacing w:before="100" w:beforeAutospacing="1" w:after="100" w:afterAutospacing="1"/>
    </w:pPr>
    <w:rPr>
      <w:rFonts w:ascii="Arial Narrow" w:eastAsia="Times New Roman" w:hAnsi="Arial Narrow"/>
      <w:sz w:val="20"/>
      <w:szCs w:val="20"/>
      <w:lang w:val="es-MX" w:eastAsia="es-MX"/>
    </w:rPr>
  </w:style>
  <w:style w:type="paragraph" w:customStyle="1" w:styleId="xl190">
    <w:name w:val="xl190"/>
    <w:basedOn w:val="Normal"/>
    <w:rsid w:val="001E3866"/>
    <w:pPr>
      <w:pBdr>
        <w:top w:val="single" w:sz="4" w:space="0" w:color="auto"/>
        <w:lef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1">
    <w:name w:val="xl191"/>
    <w:basedOn w:val="Normal"/>
    <w:rsid w:val="001E3866"/>
    <w:pPr>
      <w:pBdr>
        <w:top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2">
    <w:name w:val="xl192"/>
    <w:basedOn w:val="Normal"/>
    <w:rsid w:val="001E3866"/>
    <w:pPr>
      <w:pBdr>
        <w:top w:val="single" w:sz="4" w:space="0" w:color="auto"/>
        <w:righ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3">
    <w:name w:val="xl193"/>
    <w:basedOn w:val="Normal"/>
    <w:rsid w:val="001E3866"/>
    <w:pPr>
      <w:pBdr>
        <w:lef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4">
    <w:name w:val="xl194"/>
    <w:basedOn w:val="Normal"/>
    <w:rsid w:val="001E3866"/>
    <w:pP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5">
    <w:name w:val="xl195"/>
    <w:basedOn w:val="Normal"/>
    <w:rsid w:val="001E3866"/>
    <w:pPr>
      <w:pBdr>
        <w:righ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6">
    <w:name w:val="xl196"/>
    <w:basedOn w:val="Normal"/>
    <w:rsid w:val="001E3866"/>
    <w:pPr>
      <w:pBdr>
        <w:left w:val="single" w:sz="4" w:space="0" w:color="auto"/>
      </w:pBd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7">
    <w:name w:val="xl197"/>
    <w:basedOn w:val="Normal"/>
    <w:rsid w:val="001E3866"/>
    <w:pP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8">
    <w:name w:val="xl198"/>
    <w:basedOn w:val="Normal"/>
    <w:rsid w:val="001E3866"/>
    <w:pPr>
      <w:pBdr>
        <w:right w:val="single" w:sz="4" w:space="0" w:color="auto"/>
      </w:pBd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9">
    <w:name w:val="xl199"/>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16"/>
      <w:szCs w:val="16"/>
      <w:lang w:val="es-MX" w:eastAsia="es-MX"/>
    </w:rPr>
  </w:style>
  <w:style w:type="paragraph" w:customStyle="1" w:styleId="xl200">
    <w:name w:val="xl200"/>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16"/>
      <w:szCs w:val="16"/>
      <w:lang w:val="es-MX" w:eastAsia="es-MX"/>
    </w:rPr>
  </w:style>
  <w:style w:type="paragraph" w:customStyle="1" w:styleId="xl201">
    <w:name w:val="xl201"/>
    <w:basedOn w:val="Normal"/>
    <w:rsid w:val="001E3866"/>
    <w:pPr>
      <w:pBdr>
        <w:left w:val="single" w:sz="4" w:space="0" w:color="auto"/>
        <w:bottom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2">
    <w:name w:val="xl202"/>
    <w:basedOn w:val="Normal"/>
    <w:rsid w:val="001E3866"/>
    <w:pPr>
      <w:pBdr>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3">
    <w:name w:val="xl203"/>
    <w:basedOn w:val="Normal"/>
    <w:rsid w:val="001E3866"/>
    <w:pPr>
      <w:pBdr>
        <w:left w:val="single" w:sz="4" w:space="0" w:color="FFFFFF"/>
        <w:bottom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4">
    <w:name w:val="xl204"/>
    <w:basedOn w:val="Normal"/>
    <w:rsid w:val="001E3866"/>
    <w:pPr>
      <w:pBdr>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05">
    <w:name w:val="xl205"/>
    <w:basedOn w:val="Normal"/>
    <w:rsid w:val="001E3866"/>
    <w:pPr>
      <w:pBdr>
        <w:top w:val="single" w:sz="4" w:space="0" w:color="FFFFFF"/>
        <w:left w:val="single" w:sz="4" w:space="9" w:color="auto"/>
        <w:bottom w:val="single" w:sz="4" w:space="0" w:color="FFFFFF"/>
      </w:pBdr>
      <w:spacing w:before="100" w:beforeAutospacing="1" w:after="100" w:afterAutospacing="1"/>
      <w:ind w:firstLineChars="100" w:firstLine="100"/>
    </w:pPr>
    <w:rPr>
      <w:rFonts w:ascii="Arial Narrow" w:eastAsia="Times New Roman" w:hAnsi="Arial Narrow"/>
      <w:b/>
      <w:bCs/>
      <w:sz w:val="16"/>
      <w:szCs w:val="16"/>
      <w:lang w:val="es-MX" w:eastAsia="es-MX"/>
    </w:rPr>
  </w:style>
  <w:style w:type="paragraph" w:customStyle="1" w:styleId="xl206">
    <w:name w:val="xl206"/>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7">
    <w:name w:val="xl207"/>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08">
    <w:name w:val="xl208"/>
    <w:basedOn w:val="Normal"/>
    <w:rsid w:val="001E3866"/>
    <w:pPr>
      <w:pBdr>
        <w:top w:val="single" w:sz="4" w:space="0" w:color="FFFFFF"/>
        <w:left w:val="single" w:sz="4" w:space="18" w:color="auto"/>
        <w:bottom w:val="single" w:sz="4" w:space="0" w:color="FFFFFF"/>
      </w:pBdr>
      <w:spacing w:before="100" w:beforeAutospacing="1" w:after="100" w:afterAutospacing="1"/>
      <w:ind w:firstLineChars="200" w:firstLine="200"/>
    </w:pPr>
    <w:rPr>
      <w:rFonts w:ascii="Arial Narrow" w:eastAsia="Times New Roman" w:hAnsi="Arial Narrow"/>
      <w:b/>
      <w:bCs/>
      <w:sz w:val="16"/>
      <w:szCs w:val="16"/>
      <w:lang w:val="es-MX" w:eastAsia="es-MX"/>
    </w:rPr>
  </w:style>
  <w:style w:type="paragraph" w:customStyle="1" w:styleId="xl209">
    <w:name w:val="xl209"/>
    <w:basedOn w:val="Normal"/>
    <w:rsid w:val="001E3866"/>
    <w:pPr>
      <w:pBdr>
        <w:left w:val="single" w:sz="4" w:space="27" w:color="auto"/>
      </w:pBdr>
      <w:spacing w:before="100" w:beforeAutospacing="1" w:after="100" w:afterAutospacing="1"/>
      <w:ind w:firstLineChars="300" w:firstLine="300"/>
    </w:pPr>
    <w:rPr>
      <w:rFonts w:ascii="Arial Narrow" w:eastAsia="Times New Roman" w:hAnsi="Arial Narrow"/>
      <w:color w:val="595959"/>
      <w:sz w:val="16"/>
      <w:szCs w:val="16"/>
      <w:lang w:val="es-MX" w:eastAsia="es-MX"/>
    </w:rPr>
  </w:style>
  <w:style w:type="paragraph" w:customStyle="1" w:styleId="xl210">
    <w:name w:val="xl21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1">
    <w:name w:val="xl211"/>
    <w:basedOn w:val="Normal"/>
    <w:rsid w:val="001E3866"/>
    <w:pPr>
      <w:pBdr>
        <w:top w:val="single" w:sz="4" w:space="0" w:color="FFFFFF"/>
        <w:left w:val="single" w:sz="4" w:space="0" w:color="FFFFFF"/>
        <w:bottom w:val="single" w:sz="4" w:space="0" w:color="FFFFFF"/>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2">
    <w:name w:val="xl212"/>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3">
    <w:name w:val="xl213"/>
    <w:basedOn w:val="Normal"/>
    <w:rsid w:val="001E3866"/>
    <w:pPr>
      <w:pBdr>
        <w:left w:val="single" w:sz="4" w:space="0" w:color="auto"/>
      </w:pBdr>
      <w:spacing w:before="100" w:beforeAutospacing="1" w:after="100" w:afterAutospacing="1"/>
    </w:pPr>
    <w:rPr>
      <w:rFonts w:ascii="Arial Narrow" w:eastAsia="Times New Roman" w:hAnsi="Arial Narrow"/>
      <w:color w:val="000000"/>
      <w:sz w:val="16"/>
      <w:szCs w:val="16"/>
      <w:lang w:val="es-MX" w:eastAsia="es-MX"/>
    </w:rPr>
  </w:style>
  <w:style w:type="paragraph" w:customStyle="1" w:styleId="xl214">
    <w:name w:val="xl214"/>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5">
    <w:name w:val="xl215"/>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16">
    <w:name w:val="xl216"/>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7">
    <w:name w:val="xl217"/>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18">
    <w:name w:val="xl218"/>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9">
    <w:name w:val="xl219"/>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20">
    <w:name w:val="xl22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21">
    <w:name w:val="xl221"/>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22">
    <w:name w:val="xl222"/>
    <w:basedOn w:val="Normal"/>
    <w:rsid w:val="001E3866"/>
    <w:pPr>
      <w:pBdr>
        <w:top w:val="single" w:sz="4" w:space="0" w:color="FFFFFF"/>
        <w:left w:val="single" w:sz="4" w:space="0" w:color="FFFFFF"/>
        <w:bottom w:val="single" w:sz="4" w:space="0" w:color="FFFFFF"/>
        <w:right w:val="single" w:sz="4" w:space="0" w:color="000000"/>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23">
    <w:name w:val="xl223"/>
    <w:basedOn w:val="Normal"/>
    <w:rsid w:val="001E3866"/>
    <w:pPr>
      <w:spacing w:before="100" w:beforeAutospacing="1" w:after="100" w:afterAutospacing="1"/>
    </w:pPr>
    <w:rPr>
      <w:rFonts w:ascii="Arial Narrow" w:eastAsia="Times New Roman" w:hAnsi="Arial Narrow"/>
      <w:color w:val="000000"/>
      <w:sz w:val="16"/>
      <w:szCs w:val="16"/>
      <w:lang w:val="es-MX" w:eastAsia="es-MX"/>
    </w:rPr>
  </w:style>
  <w:style w:type="paragraph" w:customStyle="1" w:styleId="xl224">
    <w:name w:val="xl224"/>
    <w:basedOn w:val="Normal"/>
    <w:rsid w:val="001E3866"/>
    <w:pPr>
      <w:pBdr>
        <w:top w:val="single" w:sz="4" w:space="0" w:color="FFFFFF"/>
        <w:left w:val="single" w:sz="4" w:space="0" w:color="FFFFFF"/>
        <w:bottom w:val="single" w:sz="4" w:space="0" w:color="FFFFFF"/>
        <w:right w:val="single" w:sz="4" w:space="0" w:color="000000"/>
      </w:pBdr>
      <w:spacing w:before="100" w:beforeAutospacing="1" w:after="100" w:afterAutospacing="1"/>
    </w:pPr>
    <w:rPr>
      <w:rFonts w:ascii="Arial Narrow" w:eastAsia="Times New Roman" w:hAnsi="Arial Narrow"/>
      <w:b/>
      <w:bCs/>
      <w:sz w:val="16"/>
      <w:szCs w:val="16"/>
      <w:lang w:val="es-MX" w:eastAsia="es-MX"/>
    </w:rPr>
  </w:style>
  <w:style w:type="paragraph" w:customStyle="1" w:styleId="xl225">
    <w:name w:val="xl225"/>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26">
    <w:name w:val="xl226"/>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27">
    <w:name w:val="xl227"/>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Narrow" w:eastAsia="Times New Roman" w:hAnsi="Arial Narrow"/>
      <w:sz w:val="16"/>
      <w:szCs w:val="16"/>
      <w:lang w:val="es-MX" w:eastAsia="es-MX"/>
    </w:rPr>
  </w:style>
  <w:style w:type="paragraph" w:customStyle="1" w:styleId="xl228">
    <w:name w:val="xl228"/>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Narrow" w:eastAsia="Times New Roman" w:hAnsi="Arial Narrow"/>
      <w:sz w:val="16"/>
      <w:szCs w:val="16"/>
      <w:lang w:val="es-MX" w:eastAsia="es-MX"/>
    </w:rPr>
  </w:style>
  <w:style w:type="paragraph" w:customStyle="1" w:styleId="xl229">
    <w:name w:val="xl229"/>
    <w:basedOn w:val="Normal"/>
    <w:rsid w:val="001E3866"/>
    <w:pPr>
      <w:spacing w:before="100" w:beforeAutospacing="1" w:after="100" w:afterAutospacing="1"/>
    </w:pPr>
    <w:rPr>
      <w:rFonts w:ascii="Arial Narrow" w:eastAsia="Times New Roman" w:hAnsi="Arial Narrow"/>
      <w:sz w:val="16"/>
      <w:szCs w:val="16"/>
      <w:lang w:val="es-MX" w:eastAsia="es-MX"/>
    </w:rPr>
  </w:style>
  <w:style w:type="character" w:styleId="Textodelmarcadordeposicin">
    <w:name w:val="Placeholder Text"/>
    <w:uiPriority w:val="99"/>
    <w:semiHidden/>
    <w:rsid w:val="001E3866"/>
    <w:rPr>
      <w:color w:val="808080"/>
    </w:rPr>
  </w:style>
  <w:style w:type="paragraph" w:customStyle="1" w:styleId="ANOTACION">
    <w:name w:val="ANOTACION"/>
    <w:basedOn w:val="Normal"/>
    <w:link w:val="ANOTACIONCar"/>
    <w:rsid w:val="001E3866"/>
    <w:pPr>
      <w:spacing w:before="101" w:after="101" w:line="216" w:lineRule="atLeast"/>
      <w:jc w:val="center"/>
    </w:pPr>
    <w:rPr>
      <w:rFonts w:ascii="Times New Roman" w:eastAsia="Times New Roman" w:hAnsi="Times New Roman"/>
      <w:b/>
      <w:sz w:val="18"/>
      <w:szCs w:val="20"/>
    </w:rPr>
  </w:style>
  <w:style w:type="character" w:customStyle="1" w:styleId="ANOTACIONCar">
    <w:name w:val="ANOTACION Car"/>
    <w:link w:val="ANOTACION"/>
    <w:locked/>
    <w:rsid w:val="001E3866"/>
    <w:rPr>
      <w:rFonts w:ascii="Times New Roman" w:eastAsia="Times New Roman" w:hAnsi="Times New Roman" w:cs="Times New Roman"/>
      <w:b/>
      <w:sz w:val="18"/>
      <w:szCs w:val="20"/>
    </w:rPr>
  </w:style>
  <w:style w:type="numbering" w:customStyle="1" w:styleId="Sinlista3">
    <w:name w:val="Sin lista3"/>
    <w:next w:val="Sinlista"/>
    <w:uiPriority w:val="99"/>
    <w:semiHidden/>
    <w:unhideWhenUsed/>
    <w:rsid w:val="001E3866"/>
  </w:style>
  <w:style w:type="table" w:customStyle="1" w:styleId="Tablaconcuadrcula5">
    <w:name w:val="Tabla con cuadrícula5"/>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1E3866"/>
  </w:style>
  <w:style w:type="table" w:customStyle="1" w:styleId="Tablabsica12">
    <w:name w:val="Tabla básica 12"/>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2">
    <w:name w:val="Sombreado claro12"/>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2">
    <w:name w:val="Sombreado claro22"/>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2">
    <w:name w:val="Lista clara - Énfasis 42"/>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3">
    <w:name w:val="Tabla con cuadrícula1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2">
    <w:name w:val="Sombreado claro - Énfasis 42"/>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2">
    <w:name w:val="Cuadrícula de tabla clara12"/>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2">
    <w:name w:val="Tabla normal 412"/>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ont5">
    <w:name w:val="font5"/>
    <w:basedOn w:val="Normal"/>
    <w:rsid w:val="001E3866"/>
    <w:pPr>
      <w:spacing w:before="100" w:beforeAutospacing="1" w:after="100" w:afterAutospacing="1"/>
    </w:pPr>
    <w:rPr>
      <w:rFonts w:ascii="Calibri" w:eastAsia="Times New Roman" w:hAnsi="Calibri" w:cs="Calibri"/>
      <w:b/>
      <w:bCs/>
      <w:sz w:val="18"/>
      <w:szCs w:val="18"/>
      <w:lang w:val="es-MX" w:eastAsia="es-MX"/>
    </w:rPr>
  </w:style>
  <w:style w:type="paragraph" w:customStyle="1" w:styleId="font6">
    <w:name w:val="font6"/>
    <w:basedOn w:val="Normal"/>
    <w:rsid w:val="001E3866"/>
    <w:pPr>
      <w:spacing w:before="100" w:beforeAutospacing="1" w:after="100" w:afterAutospacing="1"/>
    </w:pPr>
    <w:rPr>
      <w:rFonts w:ascii="Calibri" w:eastAsia="Times New Roman" w:hAnsi="Calibri" w:cs="Calibri"/>
      <w:b/>
      <w:bCs/>
      <w:color w:val="FF0000"/>
      <w:sz w:val="18"/>
      <w:szCs w:val="18"/>
      <w:lang w:val="es-MX" w:eastAsia="es-MX"/>
    </w:rPr>
  </w:style>
  <w:style w:type="paragraph" w:customStyle="1" w:styleId="xmsonormal">
    <w:name w:val="x_msonormal"/>
    <w:basedOn w:val="Normal"/>
    <w:rsid w:val="001E3866"/>
    <w:pPr>
      <w:spacing w:before="100" w:beforeAutospacing="1" w:after="100" w:afterAutospacing="1"/>
    </w:pPr>
    <w:rPr>
      <w:rFonts w:ascii="Times New Roman" w:eastAsia="Times New Roman" w:hAnsi="Times New Roman"/>
      <w:lang w:val="es-MX" w:eastAsia="es-MX"/>
    </w:rPr>
  </w:style>
  <w:style w:type="character" w:customStyle="1" w:styleId="st">
    <w:name w:val="st"/>
    <w:basedOn w:val="Fuentedeprrafopredeter"/>
    <w:rsid w:val="001E3866"/>
  </w:style>
  <w:style w:type="paragraph" w:customStyle="1" w:styleId="ParaAttribute0">
    <w:name w:val="ParaAttribute0"/>
    <w:rsid w:val="001E3866"/>
    <w:pPr>
      <w:widowControl w:val="0"/>
      <w:wordWrap w:val="0"/>
      <w:jc w:val="both"/>
    </w:pPr>
    <w:rPr>
      <w:rFonts w:ascii="Times New Roman" w:eastAsia="¹Å" w:hAnsi="Times New Roman"/>
    </w:rPr>
  </w:style>
  <w:style w:type="character" w:customStyle="1" w:styleId="CharAttribute0">
    <w:name w:val="CharAttribute0"/>
    <w:rsid w:val="001E3866"/>
    <w:rPr>
      <w:rFonts w:ascii="Times New Roman" w:eastAsia="Times New Roman"/>
      <w:sz w:val="22"/>
    </w:rPr>
  </w:style>
  <w:style w:type="paragraph" w:customStyle="1" w:styleId="ParaAttribute1">
    <w:name w:val="ParaAttribute1"/>
    <w:rsid w:val="001E3866"/>
    <w:pPr>
      <w:widowControl w:val="0"/>
      <w:wordWrap w:val="0"/>
      <w:jc w:val="both"/>
    </w:pPr>
    <w:rPr>
      <w:rFonts w:ascii="Times New Roman" w:eastAsia="¹Å" w:hAnsi="Times New Roman"/>
    </w:rPr>
  </w:style>
  <w:style w:type="numbering" w:customStyle="1" w:styleId="Sinlista4">
    <w:name w:val="Sin lista4"/>
    <w:next w:val="Sinlista"/>
    <w:uiPriority w:val="99"/>
    <w:semiHidden/>
    <w:unhideWhenUsed/>
    <w:rsid w:val="001E3866"/>
  </w:style>
  <w:style w:type="table" w:customStyle="1" w:styleId="Tablaconcuadrcula6">
    <w:name w:val="Tabla con cuadrícula6"/>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1E3866"/>
  </w:style>
  <w:style w:type="table" w:customStyle="1" w:styleId="Tablabsica13">
    <w:name w:val="Tabla básica 13"/>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3">
    <w:name w:val="Tabla básica 23"/>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3">
    <w:name w:val="Tabla básica 33"/>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3">
    <w:name w:val="Sombreado claro13"/>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3">
    <w:name w:val="Sombreado claro23"/>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3">
    <w:name w:val="Lista clara - Énfasis 43"/>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4">
    <w:name w:val="Tabla con cuadrícula1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3">
    <w:name w:val="Sombreado claro - Énfasis 43"/>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3">
    <w:name w:val="Cuadrícula de tabla clara13"/>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3">
    <w:name w:val="Tabla normal 413"/>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5">
    <w:name w:val="Sin lista5"/>
    <w:next w:val="Sinlista"/>
    <w:uiPriority w:val="99"/>
    <w:semiHidden/>
    <w:unhideWhenUsed/>
    <w:rsid w:val="001E3866"/>
  </w:style>
  <w:style w:type="numbering" w:customStyle="1" w:styleId="Sinlista6">
    <w:name w:val="Sin lista6"/>
    <w:next w:val="Sinlista"/>
    <w:uiPriority w:val="99"/>
    <w:semiHidden/>
    <w:unhideWhenUsed/>
    <w:rsid w:val="001E3866"/>
  </w:style>
  <w:style w:type="table" w:customStyle="1" w:styleId="Tablaconcuadrcula7">
    <w:name w:val="Tabla con cuadrícula7"/>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1E3866"/>
  </w:style>
  <w:style w:type="table" w:customStyle="1" w:styleId="Tablabsica14">
    <w:name w:val="Tabla básica 14"/>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4">
    <w:name w:val="Tabla básica 24"/>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4">
    <w:name w:val="Tabla básica 34"/>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4">
    <w:name w:val="Sombreado claro14"/>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4">
    <w:name w:val="Sombreado claro24"/>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4">
    <w:name w:val="Lista clara - Énfasis 44"/>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5">
    <w:name w:val="Tabla con cuadrícula15"/>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4">
    <w:name w:val="Sombreado claro - Énfasis 44"/>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4">
    <w:name w:val="Cuadrícula de tabla clara14"/>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4">
    <w:name w:val="Tabla normal 414"/>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gc">
    <w:name w:val="_tgc"/>
    <w:basedOn w:val="Fuentedeprrafopredeter"/>
    <w:rsid w:val="001E3866"/>
  </w:style>
  <w:style w:type="paragraph" w:customStyle="1" w:styleId="text-align-justify">
    <w:name w:val="text-align-justify"/>
    <w:basedOn w:val="Normal"/>
    <w:rsid w:val="001E3866"/>
    <w:pPr>
      <w:spacing w:before="100" w:beforeAutospacing="1" w:after="100" w:afterAutospacing="1"/>
    </w:pPr>
    <w:rPr>
      <w:rFonts w:ascii="Times New Roman" w:eastAsia="Times New Roman" w:hAnsi="Times New Roman"/>
      <w:lang w:val="es-MX" w:eastAsia="es-MX"/>
    </w:rPr>
  </w:style>
  <w:style w:type="table" w:customStyle="1" w:styleId="Tablaconcuadrcula8">
    <w:name w:val="Tabla con cuadrícula8"/>
    <w:basedOn w:val="Tablanormal"/>
    <w:next w:val="Tablaconcuadrcula"/>
    <w:uiPriority w:val="39"/>
    <w:rsid w:val="001E3866"/>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1E3866"/>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cc4146027-d33a-44e3-826a-9b54dcebc724-5">
    <w:name w:val="fcc4146027-d33a-44e3-826a-9b54dcebc724-5"/>
    <w:basedOn w:val="Fuentedeprrafopredeter"/>
    <w:rsid w:val="00D866D7"/>
  </w:style>
  <w:style w:type="paragraph" w:customStyle="1" w:styleId="textosimple">
    <w:name w:val="texto_simple"/>
    <w:basedOn w:val="Normal"/>
    <w:rsid w:val="00B67928"/>
    <w:pPr>
      <w:spacing w:before="100" w:beforeAutospacing="1" w:after="100" w:afterAutospacing="1"/>
    </w:pPr>
    <w:rPr>
      <w:rFonts w:ascii="Times New Roman" w:eastAsia="Times New Roman" w:hAnsi="Times New Roman"/>
      <w:lang w:val="es-MX" w:eastAsia="es-MX"/>
    </w:rPr>
  </w:style>
  <w:style w:type="table" w:styleId="Cuadrculaclara-nfasis5">
    <w:name w:val="Light Grid Accent 5"/>
    <w:basedOn w:val="Tablanormal"/>
    <w:uiPriority w:val="62"/>
    <w:rsid w:val="00F34974"/>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TextonotapieCar2">
    <w:name w:val="Texto nota pie Car2"/>
    <w:basedOn w:val="Fuentedeprrafopredeter"/>
    <w:uiPriority w:val="99"/>
    <w:semiHidden/>
    <w:rsid w:val="009F2FB2"/>
    <w:rPr>
      <w:position w:val="-1"/>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PGothic" w:hAnsi="Arial"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line number" w:uiPriority="0"/>
    <w:lsdException w:name="end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Simple 1" w:uiPriority="0"/>
    <w:lsdException w:name="Table Simple 2" w:uiPriority="0"/>
    <w:lsdException w:name="Table Simple 3"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C8B"/>
    <w:rPr>
      <w:sz w:val="24"/>
      <w:szCs w:val="24"/>
      <w:lang w:val="es-ES_tradnl" w:eastAsia="es-ES"/>
    </w:rPr>
  </w:style>
  <w:style w:type="paragraph" w:styleId="Ttulo1">
    <w:name w:val="heading 1"/>
    <w:basedOn w:val="Normal"/>
    <w:next w:val="Normal"/>
    <w:link w:val="Ttulo1Car"/>
    <w:uiPriority w:val="9"/>
    <w:qFormat/>
    <w:rsid w:val="00774E8D"/>
    <w:pPr>
      <w:keepNext/>
      <w:keepLines/>
      <w:numPr>
        <w:numId w:val="1"/>
      </w:numPr>
      <w:spacing w:before="480" w:line="360" w:lineRule="auto"/>
      <w:jc w:val="both"/>
      <w:outlineLvl w:val="0"/>
    </w:pPr>
    <w:rPr>
      <w:rFonts w:eastAsia="Times New Roman"/>
      <w:b/>
      <w:bCs/>
      <w:sz w:val="28"/>
      <w:szCs w:val="28"/>
      <w:lang w:val="es-MX" w:eastAsia="en-US"/>
    </w:rPr>
  </w:style>
  <w:style w:type="paragraph" w:styleId="Ttulo2">
    <w:name w:val="heading 2"/>
    <w:basedOn w:val="Normal"/>
    <w:next w:val="Normal"/>
    <w:link w:val="Ttulo2Car"/>
    <w:uiPriority w:val="9"/>
    <w:unhideWhenUsed/>
    <w:qFormat/>
    <w:rsid w:val="00774E8D"/>
    <w:pPr>
      <w:keepNext/>
      <w:keepLines/>
      <w:numPr>
        <w:ilvl w:val="1"/>
        <w:numId w:val="1"/>
      </w:numPr>
      <w:spacing w:before="200" w:line="360" w:lineRule="auto"/>
      <w:jc w:val="both"/>
      <w:outlineLvl w:val="1"/>
    </w:pPr>
    <w:rPr>
      <w:rFonts w:eastAsia="Times New Roman"/>
      <w:b/>
      <w:bCs/>
      <w:sz w:val="26"/>
      <w:szCs w:val="26"/>
      <w:lang w:val="es-MX" w:eastAsia="en-US"/>
    </w:rPr>
  </w:style>
  <w:style w:type="paragraph" w:styleId="Ttulo3">
    <w:name w:val="heading 3"/>
    <w:basedOn w:val="Normal"/>
    <w:next w:val="Normal"/>
    <w:link w:val="Ttulo3Car"/>
    <w:uiPriority w:val="9"/>
    <w:unhideWhenUsed/>
    <w:qFormat/>
    <w:rsid w:val="00774E8D"/>
    <w:pPr>
      <w:keepNext/>
      <w:keepLines/>
      <w:numPr>
        <w:ilvl w:val="2"/>
        <w:numId w:val="1"/>
      </w:numPr>
      <w:spacing w:before="200" w:line="360" w:lineRule="auto"/>
      <w:jc w:val="both"/>
      <w:outlineLvl w:val="2"/>
    </w:pPr>
    <w:rPr>
      <w:rFonts w:eastAsia="Times New Roman"/>
      <w:b/>
      <w:bCs/>
      <w:color w:val="808080"/>
      <w:sz w:val="22"/>
      <w:szCs w:val="22"/>
      <w:lang w:val="es-MX" w:eastAsia="en-US"/>
    </w:rPr>
  </w:style>
  <w:style w:type="paragraph" w:styleId="Ttulo4">
    <w:name w:val="heading 4"/>
    <w:basedOn w:val="Normal"/>
    <w:next w:val="Normal"/>
    <w:link w:val="Ttulo4Car"/>
    <w:uiPriority w:val="9"/>
    <w:unhideWhenUsed/>
    <w:qFormat/>
    <w:rsid w:val="00774E8D"/>
    <w:pPr>
      <w:keepNext/>
      <w:keepLines/>
      <w:numPr>
        <w:ilvl w:val="3"/>
        <w:numId w:val="1"/>
      </w:numPr>
      <w:spacing w:before="200" w:line="360" w:lineRule="auto"/>
      <w:jc w:val="both"/>
      <w:outlineLvl w:val="3"/>
    </w:pPr>
    <w:rPr>
      <w:rFonts w:eastAsia="Times New Roman"/>
      <w:b/>
      <w:bCs/>
      <w:i/>
      <w:iCs/>
      <w:sz w:val="22"/>
      <w:szCs w:val="22"/>
      <w:lang w:val="es-MX" w:eastAsia="en-US"/>
    </w:rPr>
  </w:style>
  <w:style w:type="paragraph" w:styleId="Ttulo5">
    <w:name w:val="heading 5"/>
    <w:basedOn w:val="Normal"/>
    <w:next w:val="Normal"/>
    <w:link w:val="Ttulo5Car"/>
    <w:uiPriority w:val="9"/>
    <w:unhideWhenUsed/>
    <w:qFormat/>
    <w:rsid w:val="00774E8D"/>
    <w:pPr>
      <w:keepNext/>
      <w:keepLines/>
      <w:numPr>
        <w:ilvl w:val="4"/>
        <w:numId w:val="1"/>
      </w:numPr>
      <w:spacing w:before="200" w:line="360" w:lineRule="auto"/>
      <w:jc w:val="both"/>
      <w:outlineLvl w:val="4"/>
    </w:pPr>
    <w:rPr>
      <w:rFonts w:eastAsia="Times New Roman"/>
      <w:sz w:val="22"/>
      <w:szCs w:val="22"/>
      <w:lang w:val="es-MX" w:eastAsia="en-US"/>
    </w:rPr>
  </w:style>
  <w:style w:type="paragraph" w:styleId="Ttulo6">
    <w:name w:val="heading 6"/>
    <w:basedOn w:val="Normal"/>
    <w:next w:val="Normal"/>
    <w:link w:val="Ttulo6Car"/>
    <w:uiPriority w:val="9"/>
    <w:unhideWhenUsed/>
    <w:qFormat/>
    <w:rsid w:val="00774E8D"/>
    <w:pPr>
      <w:keepNext/>
      <w:keepLines/>
      <w:numPr>
        <w:ilvl w:val="5"/>
        <w:numId w:val="1"/>
      </w:numPr>
      <w:spacing w:before="200" w:line="360" w:lineRule="auto"/>
      <w:jc w:val="both"/>
      <w:outlineLvl w:val="5"/>
    </w:pPr>
    <w:rPr>
      <w:rFonts w:eastAsia="Times New Roman"/>
      <w:i/>
      <w:iCs/>
      <w:color w:val="243F60"/>
      <w:sz w:val="22"/>
      <w:szCs w:val="22"/>
      <w:lang w:val="es-MX" w:eastAsia="en-US"/>
    </w:rPr>
  </w:style>
  <w:style w:type="paragraph" w:styleId="Ttulo7">
    <w:name w:val="heading 7"/>
    <w:basedOn w:val="Normal"/>
    <w:next w:val="Normal"/>
    <w:link w:val="Ttulo7Car"/>
    <w:uiPriority w:val="9"/>
    <w:unhideWhenUsed/>
    <w:qFormat/>
    <w:rsid w:val="00774E8D"/>
    <w:pPr>
      <w:keepNext/>
      <w:keepLines/>
      <w:numPr>
        <w:ilvl w:val="6"/>
        <w:numId w:val="1"/>
      </w:numPr>
      <w:spacing w:before="200" w:line="360" w:lineRule="auto"/>
      <w:jc w:val="both"/>
      <w:outlineLvl w:val="6"/>
    </w:pPr>
    <w:rPr>
      <w:rFonts w:eastAsia="Times New Roman"/>
      <w:i/>
      <w:iCs/>
      <w:color w:val="404040"/>
      <w:sz w:val="22"/>
      <w:szCs w:val="22"/>
      <w:lang w:val="es-MX" w:eastAsia="en-US"/>
    </w:rPr>
  </w:style>
  <w:style w:type="paragraph" w:styleId="Ttulo8">
    <w:name w:val="heading 8"/>
    <w:basedOn w:val="Normal"/>
    <w:next w:val="Normal"/>
    <w:link w:val="Ttulo8Car"/>
    <w:uiPriority w:val="9"/>
    <w:unhideWhenUsed/>
    <w:qFormat/>
    <w:rsid w:val="00774E8D"/>
    <w:pPr>
      <w:keepNext/>
      <w:keepLines/>
      <w:numPr>
        <w:ilvl w:val="7"/>
        <w:numId w:val="1"/>
      </w:numPr>
      <w:spacing w:before="200" w:line="360" w:lineRule="auto"/>
      <w:jc w:val="both"/>
      <w:outlineLvl w:val="7"/>
    </w:pPr>
    <w:rPr>
      <w:rFonts w:eastAsia="Times New Roman"/>
      <w:color w:val="404040"/>
      <w:sz w:val="20"/>
      <w:szCs w:val="20"/>
      <w:lang w:val="es-MX" w:eastAsia="en-US"/>
    </w:rPr>
  </w:style>
  <w:style w:type="paragraph" w:styleId="Ttulo9">
    <w:name w:val="heading 9"/>
    <w:basedOn w:val="Normal"/>
    <w:next w:val="Normal"/>
    <w:link w:val="Ttulo9Car"/>
    <w:uiPriority w:val="9"/>
    <w:unhideWhenUsed/>
    <w:qFormat/>
    <w:rsid w:val="00774E8D"/>
    <w:pPr>
      <w:keepNext/>
      <w:keepLines/>
      <w:numPr>
        <w:ilvl w:val="8"/>
        <w:numId w:val="1"/>
      </w:numPr>
      <w:spacing w:before="200" w:line="360" w:lineRule="auto"/>
      <w:jc w:val="both"/>
      <w:outlineLvl w:val="8"/>
    </w:pPr>
    <w:rPr>
      <w:rFonts w:eastAsia="Times New Roman"/>
      <w:i/>
      <w:iCs/>
      <w:color w:val="404040"/>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ínea,del,_Encabezado"/>
    <w:basedOn w:val="Normal"/>
    <w:link w:val="EncabezadoCar"/>
    <w:uiPriority w:val="99"/>
    <w:unhideWhenUsed/>
    <w:rsid w:val="00315CBE"/>
    <w:pPr>
      <w:tabs>
        <w:tab w:val="center" w:pos="4252"/>
        <w:tab w:val="right" w:pos="8504"/>
      </w:tabs>
    </w:pPr>
  </w:style>
  <w:style w:type="character" w:customStyle="1" w:styleId="EncabezadoCar">
    <w:name w:val="Encabezado Car"/>
    <w:aliases w:val="Línea Car,del Car,_Encabezado Car"/>
    <w:basedOn w:val="Fuentedeprrafopredeter"/>
    <w:link w:val="Encabezado"/>
    <w:uiPriority w:val="99"/>
    <w:rsid w:val="00315CBE"/>
  </w:style>
  <w:style w:type="paragraph" w:styleId="Piedepgina">
    <w:name w:val="footer"/>
    <w:basedOn w:val="Normal"/>
    <w:link w:val="PiedepginaCar"/>
    <w:uiPriority w:val="99"/>
    <w:unhideWhenUsed/>
    <w:rsid w:val="00315CBE"/>
    <w:pPr>
      <w:tabs>
        <w:tab w:val="center" w:pos="4252"/>
        <w:tab w:val="right" w:pos="8504"/>
      </w:tabs>
    </w:pPr>
  </w:style>
  <w:style w:type="character" w:customStyle="1" w:styleId="PiedepginaCar">
    <w:name w:val="Pie de página Car"/>
    <w:basedOn w:val="Fuentedeprrafopredeter"/>
    <w:link w:val="Piedepgina"/>
    <w:uiPriority w:val="99"/>
    <w:rsid w:val="00315CBE"/>
  </w:style>
  <w:style w:type="paragraph" w:styleId="Textodeglobo">
    <w:name w:val="Balloon Text"/>
    <w:basedOn w:val="Normal"/>
    <w:link w:val="TextodegloboCar"/>
    <w:uiPriority w:val="99"/>
    <w:semiHidden/>
    <w:unhideWhenUsed/>
    <w:rsid w:val="00315CBE"/>
    <w:rPr>
      <w:rFonts w:ascii="Lucida Grande" w:hAnsi="Lucida Grande" w:cs="Lucida Grande"/>
      <w:sz w:val="18"/>
      <w:szCs w:val="18"/>
    </w:rPr>
  </w:style>
  <w:style w:type="character" w:customStyle="1" w:styleId="TextodegloboCar">
    <w:name w:val="Texto de globo Car"/>
    <w:link w:val="Textodeglobo"/>
    <w:uiPriority w:val="99"/>
    <w:semiHidden/>
    <w:rsid w:val="00315CBE"/>
    <w:rPr>
      <w:rFonts w:ascii="Lucida Grande" w:hAnsi="Lucida Grande" w:cs="Lucida Grande"/>
      <w:sz w:val="18"/>
      <w:szCs w:val="18"/>
    </w:rPr>
  </w:style>
  <w:style w:type="paragraph" w:styleId="NormalWeb">
    <w:name w:val="Normal (Web)"/>
    <w:basedOn w:val="Normal"/>
    <w:uiPriority w:val="99"/>
    <w:unhideWhenUsed/>
    <w:rsid w:val="00DA58B7"/>
    <w:pPr>
      <w:spacing w:before="100" w:beforeAutospacing="1" w:after="100" w:afterAutospacing="1"/>
    </w:pPr>
    <w:rPr>
      <w:rFonts w:ascii="Times New Roman" w:eastAsia="Times New Roman" w:hAnsi="Times New Roman"/>
      <w:lang w:val="es-MX" w:eastAsia="es-MX"/>
    </w:rPr>
  </w:style>
  <w:style w:type="paragraph" w:customStyle="1" w:styleId="ecxmsonormal">
    <w:name w:val="ecxmsonormal"/>
    <w:basedOn w:val="Normal"/>
    <w:uiPriority w:val="99"/>
    <w:rsid w:val="00DA58B7"/>
    <w:pPr>
      <w:spacing w:after="324"/>
    </w:pPr>
    <w:rPr>
      <w:rFonts w:ascii="Times New Roman" w:eastAsia="Times New Roman" w:hAnsi="Times New Roman"/>
      <w:lang w:val="es-MX" w:eastAsia="es-MX"/>
    </w:rPr>
  </w:style>
  <w:style w:type="paragraph" w:styleId="Ttulo">
    <w:name w:val="Title"/>
    <w:basedOn w:val="Normal"/>
    <w:link w:val="TtuloCar"/>
    <w:uiPriority w:val="10"/>
    <w:qFormat/>
    <w:rsid w:val="00DA58B7"/>
    <w:pPr>
      <w:jc w:val="center"/>
    </w:pPr>
    <w:rPr>
      <w:rFonts w:ascii="Times New Roman" w:eastAsia="Times New Roman" w:hAnsi="Times New Roman"/>
      <w:b/>
      <w:szCs w:val="20"/>
    </w:rPr>
  </w:style>
  <w:style w:type="character" w:customStyle="1" w:styleId="TtuloCar">
    <w:name w:val="Título Car"/>
    <w:link w:val="Ttulo"/>
    <w:uiPriority w:val="10"/>
    <w:rsid w:val="00DA58B7"/>
    <w:rPr>
      <w:rFonts w:ascii="Times New Roman" w:eastAsia="Times New Roman" w:hAnsi="Times New Roman" w:cs="Times New Roman"/>
      <w:b/>
      <w:szCs w:val="20"/>
    </w:rPr>
  </w:style>
  <w:style w:type="paragraph" w:styleId="Prrafodelista">
    <w:name w:val="List Paragraph"/>
    <w:basedOn w:val="Normal"/>
    <w:link w:val="PrrafodelistaCar"/>
    <w:uiPriority w:val="34"/>
    <w:qFormat/>
    <w:rsid w:val="00A83C33"/>
    <w:pPr>
      <w:ind w:left="720"/>
      <w:contextualSpacing/>
    </w:pPr>
  </w:style>
  <w:style w:type="character" w:customStyle="1" w:styleId="Ttulo1Car">
    <w:name w:val="Título 1 Car"/>
    <w:link w:val="Ttulo1"/>
    <w:uiPriority w:val="9"/>
    <w:rsid w:val="00774E8D"/>
    <w:rPr>
      <w:rFonts w:eastAsia="Times New Roman"/>
      <w:b/>
      <w:bCs/>
      <w:sz w:val="28"/>
      <w:szCs w:val="28"/>
      <w:lang w:eastAsia="en-US"/>
    </w:rPr>
  </w:style>
  <w:style w:type="character" w:customStyle="1" w:styleId="Ttulo2Car">
    <w:name w:val="Título 2 Car"/>
    <w:link w:val="Ttulo2"/>
    <w:uiPriority w:val="9"/>
    <w:rsid w:val="00774E8D"/>
    <w:rPr>
      <w:rFonts w:eastAsia="Times New Roman"/>
      <w:b/>
      <w:bCs/>
      <w:sz w:val="26"/>
      <w:szCs w:val="26"/>
      <w:lang w:eastAsia="en-US"/>
    </w:rPr>
  </w:style>
  <w:style w:type="character" w:customStyle="1" w:styleId="Ttulo3Car">
    <w:name w:val="Título 3 Car"/>
    <w:link w:val="Ttulo3"/>
    <w:uiPriority w:val="9"/>
    <w:rsid w:val="00774E8D"/>
    <w:rPr>
      <w:rFonts w:eastAsia="Times New Roman"/>
      <w:b/>
      <w:bCs/>
      <w:color w:val="808080"/>
      <w:sz w:val="22"/>
      <w:szCs w:val="22"/>
      <w:lang w:eastAsia="en-US"/>
    </w:rPr>
  </w:style>
  <w:style w:type="character" w:customStyle="1" w:styleId="Ttulo4Car">
    <w:name w:val="Título 4 Car"/>
    <w:link w:val="Ttulo4"/>
    <w:uiPriority w:val="9"/>
    <w:rsid w:val="00774E8D"/>
    <w:rPr>
      <w:rFonts w:eastAsia="Times New Roman"/>
      <w:b/>
      <w:bCs/>
      <w:i/>
      <w:iCs/>
      <w:sz w:val="22"/>
      <w:szCs w:val="22"/>
      <w:lang w:eastAsia="en-US"/>
    </w:rPr>
  </w:style>
  <w:style w:type="character" w:customStyle="1" w:styleId="Ttulo5Car">
    <w:name w:val="Título 5 Car"/>
    <w:link w:val="Ttulo5"/>
    <w:uiPriority w:val="9"/>
    <w:rsid w:val="00774E8D"/>
    <w:rPr>
      <w:rFonts w:eastAsia="Times New Roman"/>
      <w:sz w:val="22"/>
      <w:szCs w:val="22"/>
      <w:lang w:eastAsia="en-US"/>
    </w:rPr>
  </w:style>
  <w:style w:type="character" w:customStyle="1" w:styleId="Ttulo6Car">
    <w:name w:val="Título 6 Car"/>
    <w:link w:val="Ttulo6"/>
    <w:uiPriority w:val="9"/>
    <w:rsid w:val="00774E8D"/>
    <w:rPr>
      <w:rFonts w:eastAsia="Times New Roman"/>
      <w:i/>
      <w:iCs/>
      <w:color w:val="243F60"/>
      <w:sz w:val="22"/>
      <w:szCs w:val="22"/>
      <w:lang w:eastAsia="en-US"/>
    </w:rPr>
  </w:style>
  <w:style w:type="character" w:customStyle="1" w:styleId="Ttulo7Car">
    <w:name w:val="Título 7 Car"/>
    <w:link w:val="Ttulo7"/>
    <w:uiPriority w:val="9"/>
    <w:rsid w:val="00774E8D"/>
    <w:rPr>
      <w:rFonts w:eastAsia="Times New Roman"/>
      <w:i/>
      <w:iCs/>
      <w:color w:val="404040"/>
      <w:sz w:val="22"/>
      <w:szCs w:val="22"/>
      <w:lang w:eastAsia="en-US"/>
    </w:rPr>
  </w:style>
  <w:style w:type="character" w:customStyle="1" w:styleId="Ttulo8Car">
    <w:name w:val="Título 8 Car"/>
    <w:link w:val="Ttulo8"/>
    <w:uiPriority w:val="9"/>
    <w:rsid w:val="00774E8D"/>
    <w:rPr>
      <w:rFonts w:eastAsia="Times New Roman"/>
      <w:color w:val="404040"/>
      <w:lang w:eastAsia="en-US"/>
    </w:rPr>
  </w:style>
  <w:style w:type="character" w:customStyle="1" w:styleId="Ttulo9Car">
    <w:name w:val="Título 9 Car"/>
    <w:link w:val="Ttulo9"/>
    <w:uiPriority w:val="9"/>
    <w:rsid w:val="00774E8D"/>
    <w:rPr>
      <w:rFonts w:eastAsia="Times New Roman"/>
      <w:i/>
      <w:iCs/>
      <w:color w:val="404040"/>
      <w:lang w:eastAsia="en-US"/>
    </w:rPr>
  </w:style>
  <w:style w:type="paragraph" w:styleId="Epgrafe">
    <w:name w:val="caption"/>
    <w:basedOn w:val="Normal"/>
    <w:next w:val="Normal"/>
    <w:link w:val="EpgrafeCar"/>
    <w:autoRedefine/>
    <w:uiPriority w:val="35"/>
    <w:unhideWhenUsed/>
    <w:qFormat/>
    <w:rsid w:val="00A25078"/>
    <w:pPr>
      <w:keepNext/>
      <w:suppressAutoHyphens/>
      <w:spacing w:after="200"/>
      <w:ind w:hanging="2"/>
      <w:jc w:val="center"/>
      <w:textAlignment w:val="top"/>
      <w:outlineLvl w:val="0"/>
    </w:pPr>
    <w:rPr>
      <w:rFonts w:ascii="Montserrat" w:eastAsia="Arial" w:hAnsi="Montserrat" w:cs="Arial"/>
      <w:i/>
      <w:iCs/>
      <w:color w:val="000000"/>
      <w:position w:val="-1"/>
      <w:sz w:val="12"/>
      <w:szCs w:val="12"/>
      <w:lang w:val="es-419"/>
    </w:rPr>
  </w:style>
  <w:style w:type="paragraph" w:styleId="Textonotapie">
    <w:name w:val="footnote text"/>
    <w:aliases w:val="nota,pie,Letrero,margen,_TEXTO NOTA PIE DE PAGINA"/>
    <w:basedOn w:val="Normal"/>
    <w:link w:val="TextonotapieCar"/>
    <w:uiPriority w:val="99"/>
    <w:unhideWhenUsed/>
    <w:rsid w:val="00774E8D"/>
    <w:pPr>
      <w:jc w:val="both"/>
    </w:pPr>
    <w:rPr>
      <w:rFonts w:eastAsia="Arial"/>
      <w:sz w:val="20"/>
      <w:szCs w:val="20"/>
      <w:lang w:val="es-MX" w:eastAsia="en-US"/>
    </w:rPr>
  </w:style>
  <w:style w:type="character" w:customStyle="1" w:styleId="TextonotapieCar">
    <w:name w:val="Texto nota pie Car"/>
    <w:aliases w:val="nota Car,pie Car,Letrero Car,margen Car,_TEXTO NOTA PIE DE PAGINA Car"/>
    <w:link w:val="Textonotapie"/>
    <w:uiPriority w:val="99"/>
    <w:rsid w:val="00774E8D"/>
    <w:rPr>
      <w:rFonts w:eastAsia="Arial" w:cs="Times New Roman"/>
      <w:sz w:val="20"/>
      <w:szCs w:val="20"/>
      <w:lang w:val="es-MX" w:eastAsia="en-US"/>
    </w:rPr>
  </w:style>
  <w:style w:type="character" w:styleId="Refdenotaalpie">
    <w:name w:val="footnote reference"/>
    <w:unhideWhenUsed/>
    <w:qFormat/>
    <w:rsid w:val="00774E8D"/>
    <w:rPr>
      <w:vertAlign w:val="superscript"/>
    </w:rPr>
  </w:style>
  <w:style w:type="paragraph" w:customStyle="1" w:styleId="ROMANOS">
    <w:name w:val="ROMANOS"/>
    <w:basedOn w:val="Normal"/>
    <w:link w:val="ROMANOSCar"/>
    <w:rsid w:val="00774E8D"/>
    <w:pPr>
      <w:tabs>
        <w:tab w:val="left" w:pos="720"/>
      </w:tabs>
      <w:spacing w:after="101" w:line="216" w:lineRule="exact"/>
      <w:ind w:left="720" w:hanging="432"/>
      <w:jc w:val="both"/>
    </w:pPr>
    <w:rPr>
      <w:rFonts w:eastAsia="Calibri"/>
      <w:sz w:val="18"/>
      <w:szCs w:val="18"/>
      <w:lang w:val="es-MX" w:eastAsia="en-US"/>
    </w:rPr>
  </w:style>
  <w:style w:type="character" w:customStyle="1" w:styleId="ROMANOSCar">
    <w:name w:val="ROMANOS Car"/>
    <w:link w:val="ROMANOS"/>
    <w:locked/>
    <w:rsid w:val="00774E8D"/>
    <w:rPr>
      <w:rFonts w:eastAsia="Calibri" w:cs="Times New Roman"/>
      <w:sz w:val="18"/>
      <w:szCs w:val="18"/>
      <w:lang w:val="es-MX" w:eastAsia="en-US"/>
    </w:rPr>
  </w:style>
  <w:style w:type="paragraph" w:customStyle="1" w:styleId="Texto">
    <w:name w:val="Texto"/>
    <w:aliases w:val="independiente"/>
    <w:basedOn w:val="Normal"/>
    <w:link w:val="TextoCar"/>
    <w:qFormat/>
    <w:rsid w:val="00774E8D"/>
    <w:pPr>
      <w:spacing w:after="101" w:line="216" w:lineRule="exact"/>
      <w:ind w:firstLine="288"/>
      <w:jc w:val="both"/>
    </w:pPr>
    <w:rPr>
      <w:rFonts w:eastAsia="Calibri"/>
      <w:sz w:val="18"/>
      <w:szCs w:val="20"/>
      <w:lang w:val="es-MX" w:eastAsia="en-US"/>
    </w:rPr>
  </w:style>
  <w:style w:type="character" w:customStyle="1" w:styleId="TextoCar">
    <w:name w:val="Texto Car"/>
    <w:link w:val="Texto"/>
    <w:locked/>
    <w:rsid w:val="00774E8D"/>
    <w:rPr>
      <w:rFonts w:eastAsia="Calibri" w:cs="Times New Roman"/>
      <w:sz w:val="18"/>
      <w:szCs w:val="20"/>
      <w:lang w:val="es-MX" w:eastAsia="en-US"/>
    </w:rPr>
  </w:style>
  <w:style w:type="paragraph" w:styleId="Textoindependiente2">
    <w:name w:val="Body Text 2"/>
    <w:basedOn w:val="Normal"/>
    <w:link w:val="Textoindependiente2Car"/>
    <w:uiPriority w:val="99"/>
    <w:rsid w:val="00774E8D"/>
    <w:pPr>
      <w:jc w:val="both"/>
    </w:pPr>
    <w:rPr>
      <w:rFonts w:eastAsia="Times New Roman"/>
      <w:sz w:val="20"/>
      <w:szCs w:val="20"/>
      <w:lang w:val="es-ES"/>
    </w:rPr>
  </w:style>
  <w:style w:type="character" w:customStyle="1" w:styleId="Textoindependiente2Car">
    <w:name w:val="Texto independiente 2 Car"/>
    <w:link w:val="Textoindependiente2"/>
    <w:uiPriority w:val="99"/>
    <w:rsid w:val="00774E8D"/>
    <w:rPr>
      <w:rFonts w:eastAsia="Times New Roman" w:cs="Times New Roman"/>
      <w:sz w:val="20"/>
      <w:szCs w:val="20"/>
      <w:lang w:val="es-ES"/>
    </w:rPr>
  </w:style>
  <w:style w:type="character" w:styleId="Nmerodepgina">
    <w:name w:val="page number"/>
    <w:basedOn w:val="Fuentedeprrafopredeter"/>
    <w:uiPriority w:val="99"/>
    <w:unhideWhenUsed/>
    <w:rsid w:val="00A17DBE"/>
  </w:style>
  <w:style w:type="table" w:styleId="Tablaconcuadrcula">
    <w:name w:val="Table Grid"/>
    <w:basedOn w:val="Tablanormal"/>
    <w:uiPriority w:val="59"/>
    <w:rsid w:val="001E386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
    <w:name w:val="TABLA"/>
    <w:basedOn w:val="Normal"/>
    <w:link w:val="TABLACar"/>
    <w:qFormat/>
    <w:rsid w:val="001E3866"/>
    <w:rPr>
      <w:rFonts w:ascii="Arial Narrow" w:eastAsia="Arial" w:hAnsi="Arial Narrow"/>
      <w:sz w:val="16"/>
      <w:szCs w:val="16"/>
      <w:lang w:val="es-MX" w:eastAsia="es-MX"/>
    </w:rPr>
  </w:style>
  <w:style w:type="character" w:customStyle="1" w:styleId="TABLACar">
    <w:name w:val="TABLA Car"/>
    <w:link w:val="TABLA"/>
    <w:rsid w:val="001E3866"/>
    <w:rPr>
      <w:rFonts w:ascii="Arial Narrow" w:eastAsia="Arial" w:hAnsi="Arial Narrow"/>
      <w:sz w:val="16"/>
      <w:szCs w:val="16"/>
      <w:lang w:val="es-MX" w:eastAsia="es-MX"/>
    </w:rPr>
  </w:style>
  <w:style w:type="paragraph" w:styleId="Subttulo">
    <w:name w:val="Subtitle"/>
    <w:basedOn w:val="Normal"/>
    <w:next w:val="Normal"/>
    <w:link w:val="SubttuloCar"/>
    <w:uiPriority w:val="11"/>
    <w:qFormat/>
    <w:rsid w:val="001E3866"/>
    <w:pPr>
      <w:numPr>
        <w:ilvl w:val="1"/>
      </w:numPr>
      <w:spacing w:before="120" w:after="120" w:line="360" w:lineRule="auto"/>
      <w:ind w:firstLine="709"/>
      <w:jc w:val="both"/>
    </w:pPr>
    <w:rPr>
      <w:rFonts w:eastAsia="Times New Roman"/>
      <w:i/>
      <w:iCs/>
      <w:spacing w:val="15"/>
      <w:sz w:val="28"/>
      <w:lang w:val="es-MX" w:eastAsia="en-US"/>
    </w:rPr>
  </w:style>
  <w:style w:type="character" w:customStyle="1" w:styleId="SubttuloCar">
    <w:name w:val="Subtítulo Car"/>
    <w:link w:val="Subttulo"/>
    <w:uiPriority w:val="11"/>
    <w:rsid w:val="001E3866"/>
    <w:rPr>
      <w:rFonts w:ascii="Arial" w:eastAsia="Times New Roman" w:hAnsi="Arial" w:cs="Times New Roman"/>
      <w:i/>
      <w:iCs/>
      <w:spacing w:val="15"/>
      <w:sz w:val="28"/>
      <w:lang w:val="es-MX" w:eastAsia="en-US"/>
    </w:rPr>
  </w:style>
  <w:style w:type="character" w:styleId="Hipervnculo">
    <w:name w:val="Hyperlink"/>
    <w:uiPriority w:val="99"/>
    <w:unhideWhenUsed/>
    <w:rsid w:val="001E3866"/>
    <w:rPr>
      <w:color w:val="0000FF"/>
      <w:u w:val="single"/>
    </w:rPr>
  </w:style>
  <w:style w:type="character" w:customStyle="1" w:styleId="PrrafodelistaCar">
    <w:name w:val="Párrafo de lista Car"/>
    <w:basedOn w:val="Fuentedeprrafopredeter"/>
    <w:link w:val="Prrafodelista"/>
    <w:uiPriority w:val="34"/>
    <w:rsid w:val="001E3866"/>
  </w:style>
  <w:style w:type="character" w:styleId="Textoennegrita">
    <w:name w:val="Strong"/>
    <w:uiPriority w:val="22"/>
    <w:qFormat/>
    <w:rsid w:val="001E3866"/>
    <w:rPr>
      <w:rFonts w:ascii="Arial Narrow" w:hAnsi="Arial Narrow"/>
      <w:b/>
      <w:bCs/>
      <w:i w:val="0"/>
      <w:color w:val="auto"/>
    </w:rPr>
  </w:style>
  <w:style w:type="character" w:customStyle="1" w:styleId="EpgrafeCar">
    <w:name w:val="Epígrafe Car"/>
    <w:link w:val="Epgrafe"/>
    <w:uiPriority w:val="35"/>
    <w:rsid w:val="00A25078"/>
    <w:rPr>
      <w:rFonts w:ascii="Montserrat" w:eastAsia="Arial" w:hAnsi="Montserrat" w:cs="Arial"/>
      <w:i/>
      <w:iCs/>
      <w:color w:val="000000"/>
      <w:position w:val="-1"/>
      <w:sz w:val="12"/>
      <w:szCs w:val="12"/>
      <w:lang w:val="es-419" w:eastAsia="es-ES"/>
    </w:rPr>
  </w:style>
  <w:style w:type="numbering" w:customStyle="1" w:styleId="Sinlista1">
    <w:name w:val="Sin lista1"/>
    <w:next w:val="Sinlista"/>
    <w:uiPriority w:val="99"/>
    <w:semiHidden/>
    <w:unhideWhenUsed/>
    <w:rsid w:val="001E3866"/>
  </w:style>
  <w:style w:type="paragraph" w:customStyle="1" w:styleId="Style">
    <w:name w:val="Style"/>
    <w:uiPriority w:val="99"/>
    <w:rsid w:val="001E3866"/>
    <w:pPr>
      <w:widowControl w:val="0"/>
      <w:autoSpaceDE w:val="0"/>
      <w:autoSpaceDN w:val="0"/>
      <w:adjustRightInd w:val="0"/>
    </w:pPr>
    <w:rPr>
      <w:rFonts w:eastAsia="Times New Roman" w:cs="Arial"/>
      <w:sz w:val="24"/>
      <w:szCs w:val="24"/>
    </w:rPr>
  </w:style>
  <w:style w:type="table" w:customStyle="1" w:styleId="Tablaconcuadrcula1">
    <w:name w:val="Tabla con cuadrícula1"/>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rsid w:val="001E3866"/>
    <w:rPr>
      <w:sz w:val="16"/>
      <w:szCs w:val="16"/>
    </w:rPr>
  </w:style>
  <w:style w:type="paragraph" w:styleId="Textocomentario">
    <w:name w:val="annotation text"/>
    <w:basedOn w:val="Normal"/>
    <w:link w:val="TextocomentarioCar"/>
    <w:uiPriority w:val="99"/>
    <w:rsid w:val="001E3866"/>
    <w:pPr>
      <w:jc w:val="both"/>
    </w:pPr>
    <w:rPr>
      <w:rFonts w:ascii="Arial Narrow" w:eastAsia="Times New Roman" w:hAnsi="Arial Narrow" w:cs="Tahoma"/>
      <w:sz w:val="20"/>
      <w:szCs w:val="20"/>
      <w:lang w:val="es-MX" w:eastAsia="en-US"/>
    </w:rPr>
  </w:style>
  <w:style w:type="character" w:customStyle="1" w:styleId="TextocomentarioCar">
    <w:name w:val="Texto comentario Car"/>
    <w:link w:val="Textocomentario"/>
    <w:uiPriority w:val="99"/>
    <w:rsid w:val="001E3866"/>
    <w:rPr>
      <w:rFonts w:ascii="Arial Narrow" w:eastAsia="Times New Roman" w:hAnsi="Arial Narrow" w:cs="Tahoma"/>
      <w:sz w:val="20"/>
      <w:szCs w:val="20"/>
      <w:lang w:val="es-MX" w:eastAsia="en-US"/>
    </w:rPr>
  </w:style>
  <w:style w:type="paragraph" w:styleId="Asuntodelcomentario">
    <w:name w:val="annotation subject"/>
    <w:basedOn w:val="Textocomentario"/>
    <w:next w:val="Textocomentario"/>
    <w:link w:val="AsuntodelcomentarioCar"/>
    <w:uiPriority w:val="99"/>
    <w:semiHidden/>
    <w:rsid w:val="001E3866"/>
    <w:rPr>
      <w:b/>
      <w:bCs/>
    </w:rPr>
  </w:style>
  <w:style w:type="character" w:customStyle="1" w:styleId="AsuntodelcomentarioCar">
    <w:name w:val="Asunto del comentario Car"/>
    <w:link w:val="Asuntodelcomentario"/>
    <w:uiPriority w:val="99"/>
    <w:semiHidden/>
    <w:rsid w:val="001E3866"/>
    <w:rPr>
      <w:rFonts w:ascii="Arial Narrow" w:eastAsia="Times New Roman" w:hAnsi="Arial Narrow" w:cs="Tahoma"/>
      <w:b/>
      <w:bCs/>
      <w:sz w:val="20"/>
      <w:szCs w:val="20"/>
      <w:lang w:val="es-MX" w:eastAsia="en-US"/>
    </w:rPr>
  </w:style>
  <w:style w:type="paragraph" w:styleId="TDC1">
    <w:name w:val="toc 1"/>
    <w:basedOn w:val="Normal"/>
    <w:next w:val="Normal"/>
    <w:autoRedefine/>
    <w:uiPriority w:val="39"/>
    <w:rsid w:val="001E3866"/>
    <w:pPr>
      <w:tabs>
        <w:tab w:val="left" w:pos="440"/>
        <w:tab w:val="right" w:leader="dot" w:pos="8460"/>
      </w:tabs>
      <w:ind w:left="567" w:hanging="567"/>
    </w:pPr>
    <w:rPr>
      <w:rFonts w:ascii="Arial Narrow" w:eastAsia="Times New Roman" w:hAnsi="Arial Narrow" w:cs="Tahoma"/>
      <w:bCs/>
      <w:caps/>
      <w:sz w:val="22"/>
      <w:szCs w:val="20"/>
      <w:lang w:val="es-MX" w:eastAsia="en-US"/>
    </w:rPr>
  </w:style>
  <w:style w:type="paragraph" w:styleId="Mapadeldocumento">
    <w:name w:val="Document Map"/>
    <w:basedOn w:val="Normal"/>
    <w:link w:val="MapadeldocumentoCar"/>
    <w:uiPriority w:val="99"/>
    <w:semiHidden/>
    <w:rsid w:val="001E3866"/>
    <w:pPr>
      <w:shd w:val="clear" w:color="auto" w:fill="000080"/>
      <w:jc w:val="both"/>
    </w:pPr>
    <w:rPr>
      <w:rFonts w:ascii="Tahoma" w:eastAsia="Times New Roman" w:hAnsi="Tahoma" w:cs="Tahoma"/>
      <w:sz w:val="20"/>
      <w:szCs w:val="20"/>
      <w:lang w:val="es-MX" w:eastAsia="en-US"/>
    </w:rPr>
  </w:style>
  <w:style w:type="character" w:customStyle="1" w:styleId="MapadeldocumentoCar">
    <w:name w:val="Mapa del documento Car"/>
    <w:link w:val="Mapadeldocumento"/>
    <w:uiPriority w:val="99"/>
    <w:semiHidden/>
    <w:rsid w:val="001E3866"/>
    <w:rPr>
      <w:rFonts w:ascii="Tahoma" w:eastAsia="Times New Roman" w:hAnsi="Tahoma" w:cs="Tahoma"/>
      <w:sz w:val="20"/>
      <w:szCs w:val="20"/>
      <w:shd w:val="clear" w:color="auto" w:fill="000080"/>
      <w:lang w:val="es-MX" w:eastAsia="en-US"/>
    </w:rPr>
  </w:style>
  <w:style w:type="paragraph" w:customStyle="1" w:styleId="p0">
    <w:name w:val="p0"/>
    <w:basedOn w:val="Normal"/>
    <w:uiPriority w:val="99"/>
    <w:rsid w:val="001E3866"/>
    <w:pPr>
      <w:widowControl w:val="0"/>
      <w:spacing w:before="240"/>
      <w:jc w:val="both"/>
    </w:pPr>
    <w:rPr>
      <w:rFonts w:eastAsia="Times New Roman" w:cs="Tahoma"/>
      <w:color w:val="0000FF"/>
      <w:sz w:val="22"/>
      <w:szCs w:val="20"/>
      <w:lang w:val="es-MX" w:eastAsia="en-US"/>
    </w:rPr>
  </w:style>
  <w:style w:type="paragraph" w:styleId="Lista">
    <w:name w:val="List"/>
    <w:basedOn w:val="Normal"/>
    <w:uiPriority w:val="99"/>
    <w:rsid w:val="001E3866"/>
    <w:pPr>
      <w:ind w:left="283" w:hanging="283"/>
      <w:contextualSpacing/>
      <w:jc w:val="both"/>
    </w:pPr>
    <w:rPr>
      <w:rFonts w:ascii="Arial Narrow" w:eastAsia="Times New Roman" w:hAnsi="Arial Narrow" w:cs="Tahoma"/>
      <w:sz w:val="22"/>
      <w:szCs w:val="20"/>
      <w:lang w:val="es-MX" w:eastAsia="en-US"/>
    </w:rPr>
  </w:style>
  <w:style w:type="paragraph" w:styleId="Tabladeilustraciones">
    <w:name w:val="table of figures"/>
    <w:basedOn w:val="Normal"/>
    <w:next w:val="Normal"/>
    <w:uiPriority w:val="99"/>
    <w:rsid w:val="001E3866"/>
    <w:pPr>
      <w:jc w:val="both"/>
    </w:pPr>
    <w:rPr>
      <w:rFonts w:ascii="Arial Narrow" w:eastAsia="Times New Roman" w:hAnsi="Arial Narrow" w:cs="Tahoma"/>
      <w:sz w:val="22"/>
      <w:szCs w:val="20"/>
      <w:lang w:val="es-MX" w:eastAsia="en-US"/>
    </w:rPr>
  </w:style>
  <w:style w:type="paragraph" w:styleId="Lista2">
    <w:name w:val="List 2"/>
    <w:basedOn w:val="Normal"/>
    <w:uiPriority w:val="99"/>
    <w:rsid w:val="001E3866"/>
    <w:pPr>
      <w:ind w:left="566" w:hanging="283"/>
      <w:contextualSpacing/>
      <w:jc w:val="both"/>
    </w:pPr>
    <w:rPr>
      <w:rFonts w:ascii="Arial Narrow" w:eastAsia="Times New Roman" w:hAnsi="Arial Narrow" w:cs="Tahoma"/>
      <w:sz w:val="22"/>
      <w:szCs w:val="20"/>
      <w:lang w:val="es-MX" w:eastAsia="en-US"/>
    </w:rPr>
  </w:style>
  <w:style w:type="paragraph" w:styleId="Lista3">
    <w:name w:val="List 3"/>
    <w:basedOn w:val="Normal"/>
    <w:uiPriority w:val="99"/>
    <w:rsid w:val="001E3866"/>
    <w:pPr>
      <w:ind w:left="849" w:hanging="283"/>
      <w:contextualSpacing/>
      <w:jc w:val="both"/>
    </w:pPr>
    <w:rPr>
      <w:rFonts w:ascii="Arial Narrow" w:eastAsia="Times New Roman" w:hAnsi="Arial Narrow" w:cs="Tahoma"/>
      <w:sz w:val="22"/>
      <w:szCs w:val="20"/>
      <w:lang w:val="es-MX" w:eastAsia="en-US"/>
    </w:rPr>
  </w:style>
  <w:style w:type="paragraph" w:styleId="Lista4">
    <w:name w:val="List 4"/>
    <w:basedOn w:val="Normal"/>
    <w:uiPriority w:val="99"/>
    <w:rsid w:val="001E3866"/>
    <w:pPr>
      <w:ind w:left="1132" w:hanging="283"/>
      <w:contextualSpacing/>
      <w:jc w:val="both"/>
    </w:pPr>
    <w:rPr>
      <w:rFonts w:ascii="Arial Narrow" w:eastAsia="Times New Roman" w:hAnsi="Arial Narrow" w:cs="Tahoma"/>
      <w:sz w:val="22"/>
      <w:szCs w:val="20"/>
      <w:lang w:val="es-MX" w:eastAsia="en-US"/>
    </w:rPr>
  </w:style>
  <w:style w:type="paragraph" w:styleId="Saludo">
    <w:name w:val="Salutation"/>
    <w:basedOn w:val="Normal"/>
    <w:next w:val="Normal"/>
    <w:link w:val="SaludoCar"/>
    <w:uiPriority w:val="99"/>
    <w:rsid w:val="001E3866"/>
    <w:pPr>
      <w:jc w:val="both"/>
    </w:pPr>
    <w:rPr>
      <w:rFonts w:ascii="Arial Narrow" w:eastAsia="Times New Roman" w:hAnsi="Arial Narrow" w:cs="Tahoma"/>
      <w:sz w:val="22"/>
      <w:szCs w:val="20"/>
      <w:lang w:val="es-MX" w:eastAsia="en-US"/>
    </w:rPr>
  </w:style>
  <w:style w:type="character" w:customStyle="1" w:styleId="SaludoCar">
    <w:name w:val="Saludo Car"/>
    <w:link w:val="Saludo"/>
    <w:uiPriority w:val="99"/>
    <w:rsid w:val="001E3866"/>
    <w:rPr>
      <w:rFonts w:ascii="Arial Narrow" w:eastAsia="Times New Roman" w:hAnsi="Arial Narrow" w:cs="Tahoma"/>
      <w:sz w:val="22"/>
      <w:szCs w:val="20"/>
      <w:lang w:val="es-MX" w:eastAsia="en-US"/>
    </w:rPr>
  </w:style>
  <w:style w:type="paragraph" w:styleId="Listaconvietas4">
    <w:name w:val="List Bullet 4"/>
    <w:basedOn w:val="Normal"/>
    <w:uiPriority w:val="99"/>
    <w:rsid w:val="001E3866"/>
    <w:pPr>
      <w:numPr>
        <w:numId w:val="2"/>
      </w:numPr>
      <w:tabs>
        <w:tab w:val="clear" w:pos="1209"/>
      </w:tabs>
      <w:ind w:left="1287" w:hanging="432"/>
      <w:contextualSpacing/>
      <w:jc w:val="both"/>
    </w:pPr>
    <w:rPr>
      <w:rFonts w:ascii="Arial Narrow" w:eastAsia="Times New Roman" w:hAnsi="Arial Narrow" w:cs="Tahoma"/>
      <w:sz w:val="22"/>
      <w:szCs w:val="20"/>
      <w:lang w:val="es-MX" w:eastAsia="en-US"/>
    </w:rPr>
  </w:style>
  <w:style w:type="paragraph" w:styleId="Continuarlista">
    <w:name w:val="List Continue"/>
    <w:basedOn w:val="Normal"/>
    <w:uiPriority w:val="99"/>
    <w:rsid w:val="001E3866"/>
    <w:pPr>
      <w:spacing w:after="120"/>
      <w:ind w:left="283"/>
      <w:contextualSpacing/>
      <w:jc w:val="both"/>
    </w:pPr>
    <w:rPr>
      <w:rFonts w:ascii="Arial Narrow" w:eastAsia="Times New Roman" w:hAnsi="Arial Narrow" w:cs="Tahoma"/>
      <w:sz w:val="22"/>
      <w:szCs w:val="20"/>
      <w:lang w:val="es-MX" w:eastAsia="en-US"/>
    </w:rPr>
  </w:style>
  <w:style w:type="paragraph" w:styleId="Continuarlista2">
    <w:name w:val="List Continue 2"/>
    <w:basedOn w:val="Normal"/>
    <w:uiPriority w:val="99"/>
    <w:rsid w:val="001E3866"/>
    <w:pPr>
      <w:spacing w:after="120"/>
      <w:ind w:left="566"/>
      <w:contextualSpacing/>
      <w:jc w:val="both"/>
    </w:pPr>
    <w:rPr>
      <w:rFonts w:ascii="Arial Narrow" w:eastAsia="Times New Roman" w:hAnsi="Arial Narrow" w:cs="Tahoma"/>
      <w:sz w:val="22"/>
      <w:szCs w:val="20"/>
      <w:lang w:val="es-MX" w:eastAsia="en-US"/>
    </w:rPr>
  </w:style>
  <w:style w:type="paragraph" w:styleId="Continuarlista3">
    <w:name w:val="List Continue 3"/>
    <w:basedOn w:val="Normal"/>
    <w:uiPriority w:val="99"/>
    <w:rsid w:val="001E3866"/>
    <w:pPr>
      <w:spacing w:after="120"/>
      <w:ind w:left="849"/>
      <w:contextualSpacing/>
      <w:jc w:val="both"/>
    </w:pPr>
    <w:rPr>
      <w:rFonts w:ascii="Arial Narrow" w:eastAsia="Times New Roman" w:hAnsi="Arial Narrow" w:cs="Tahoma"/>
      <w:sz w:val="22"/>
      <w:szCs w:val="20"/>
      <w:lang w:val="es-MX" w:eastAsia="en-US"/>
    </w:rPr>
  </w:style>
  <w:style w:type="paragraph" w:styleId="Textoindependiente">
    <w:name w:val="Body Text"/>
    <w:aliases w:val="Letrero margen"/>
    <w:basedOn w:val="Normal"/>
    <w:link w:val="TextoindependienteCar"/>
    <w:uiPriority w:val="99"/>
    <w:rsid w:val="001E3866"/>
    <w:pPr>
      <w:spacing w:after="120"/>
      <w:jc w:val="both"/>
    </w:pPr>
    <w:rPr>
      <w:rFonts w:ascii="Arial Narrow" w:eastAsia="Times New Roman" w:hAnsi="Arial Narrow" w:cs="Tahoma"/>
      <w:sz w:val="22"/>
      <w:szCs w:val="20"/>
      <w:lang w:val="es-MX" w:eastAsia="en-US"/>
    </w:rPr>
  </w:style>
  <w:style w:type="character" w:customStyle="1" w:styleId="TextoindependienteCar">
    <w:name w:val="Texto independiente Car"/>
    <w:aliases w:val="Letrero margen Car"/>
    <w:link w:val="Textoindependiente"/>
    <w:uiPriority w:val="99"/>
    <w:rsid w:val="001E3866"/>
    <w:rPr>
      <w:rFonts w:ascii="Arial Narrow" w:eastAsia="Times New Roman" w:hAnsi="Arial Narrow" w:cs="Tahoma"/>
      <w:sz w:val="22"/>
      <w:szCs w:val="20"/>
      <w:lang w:val="es-MX" w:eastAsia="en-US"/>
    </w:rPr>
  </w:style>
  <w:style w:type="paragraph" w:styleId="Sangradetextonormal">
    <w:name w:val="Body Text Indent"/>
    <w:basedOn w:val="Normal"/>
    <w:link w:val="SangradetextonormalCar"/>
    <w:uiPriority w:val="99"/>
    <w:rsid w:val="001E3866"/>
    <w:pPr>
      <w:spacing w:after="120"/>
      <w:ind w:left="283"/>
      <w:jc w:val="both"/>
    </w:pPr>
    <w:rPr>
      <w:rFonts w:ascii="Arial Narrow" w:eastAsia="Times New Roman" w:hAnsi="Arial Narrow" w:cs="Tahoma"/>
      <w:sz w:val="22"/>
      <w:szCs w:val="20"/>
      <w:lang w:val="es-MX" w:eastAsia="en-US"/>
    </w:rPr>
  </w:style>
  <w:style w:type="character" w:customStyle="1" w:styleId="SangradetextonormalCar">
    <w:name w:val="Sangría de texto normal Car"/>
    <w:link w:val="Sangradetextonormal"/>
    <w:uiPriority w:val="99"/>
    <w:rsid w:val="001E3866"/>
    <w:rPr>
      <w:rFonts w:ascii="Arial Narrow" w:eastAsia="Times New Roman" w:hAnsi="Arial Narrow" w:cs="Tahoma"/>
      <w:sz w:val="22"/>
      <w:szCs w:val="20"/>
      <w:lang w:val="es-MX" w:eastAsia="en-US"/>
    </w:rPr>
  </w:style>
  <w:style w:type="paragraph" w:styleId="Textoindependienteprimerasangra">
    <w:name w:val="Body Text First Indent"/>
    <w:basedOn w:val="Textoindependiente"/>
    <w:link w:val="TextoindependienteprimerasangraCar"/>
    <w:uiPriority w:val="99"/>
    <w:rsid w:val="001E3866"/>
    <w:pPr>
      <w:spacing w:after="0"/>
      <w:ind w:firstLine="360"/>
    </w:pPr>
  </w:style>
  <w:style w:type="character" w:customStyle="1" w:styleId="TextoindependienteprimerasangraCar">
    <w:name w:val="Texto independiente primera sangría Car"/>
    <w:link w:val="Textoindependienteprimerasangra"/>
    <w:uiPriority w:val="99"/>
    <w:rsid w:val="001E3866"/>
    <w:rPr>
      <w:rFonts w:ascii="Arial Narrow" w:eastAsia="Times New Roman" w:hAnsi="Arial Narrow" w:cs="Tahoma"/>
      <w:sz w:val="22"/>
      <w:szCs w:val="20"/>
      <w:lang w:val="es-MX" w:eastAsia="en-US"/>
    </w:rPr>
  </w:style>
  <w:style w:type="paragraph" w:styleId="Textoindependienteprimerasangra2">
    <w:name w:val="Body Text First Indent 2"/>
    <w:basedOn w:val="Sangradetextonormal"/>
    <w:link w:val="Textoindependienteprimerasangra2Car"/>
    <w:uiPriority w:val="99"/>
    <w:rsid w:val="001E3866"/>
    <w:pPr>
      <w:spacing w:after="0"/>
      <w:ind w:left="360" w:firstLine="360"/>
    </w:pPr>
  </w:style>
  <w:style w:type="character" w:customStyle="1" w:styleId="Textoindependienteprimerasangra2Car">
    <w:name w:val="Texto independiente primera sangría 2 Car"/>
    <w:link w:val="Textoindependienteprimerasangra2"/>
    <w:uiPriority w:val="99"/>
    <w:rsid w:val="001E3866"/>
    <w:rPr>
      <w:rFonts w:ascii="Arial Narrow" w:eastAsia="Times New Roman" w:hAnsi="Arial Narrow" w:cs="Tahoma"/>
      <w:sz w:val="22"/>
      <w:szCs w:val="20"/>
      <w:lang w:val="es-MX" w:eastAsia="en-US"/>
    </w:rPr>
  </w:style>
  <w:style w:type="paragraph" w:styleId="Revisin">
    <w:name w:val="Revision"/>
    <w:hidden/>
    <w:uiPriority w:val="99"/>
    <w:semiHidden/>
    <w:rsid w:val="001E3866"/>
    <w:rPr>
      <w:rFonts w:ascii="Times New Roman" w:eastAsia="Times New Roman" w:hAnsi="Times New Roman" w:cs="Tahoma"/>
      <w:sz w:val="24"/>
      <w:szCs w:val="24"/>
      <w:lang w:val="es-ES" w:eastAsia="es-ES"/>
    </w:rPr>
  </w:style>
  <w:style w:type="paragraph" w:customStyle="1" w:styleId="Default">
    <w:name w:val="Default"/>
    <w:rsid w:val="001E3866"/>
    <w:pPr>
      <w:autoSpaceDE w:val="0"/>
      <w:autoSpaceDN w:val="0"/>
      <w:adjustRightInd w:val="0"/>
    </w:pPr>
    <w:rPr>
      <w:rFonts w:ascii="Futura Lt BT" w:eastAsia="Times New Roman" w:hAnsi="Futura Lt BT" w:cs="Futura Lt BT"/>
      <w:color w:val="000000"/>
      <w:sz w:val="24"/>
      <w:szCs w:val="24"/>
      <w:lang w:eastAsia="en-US"/>
    </w:rPr>
  </w:style>
  <w:style w:type="paragraph" w:styleId="Textonotaalfinal">
    <w:name w:val="endnote text"/>
    <w:basedOn w:val="Normal"/>
    <w:link w:val="TextonotaalfinalCar"/>
    <w:uiPriority w:val="99"/>
    <w:rsid w:val="001E3866"/>
    <w:pPr>
      <w:jc w:val="both"/>
    </w:pPr>
    <w:rPr>
      <w:rFonts w:ascii="Arial Narrow" w:eastAsia="Times New Roman" w:hAnsi="Arial Narrow" w:cs="Tahoma"/>
      <w:sz w:val="20"/>
      <w:szCs w:val="20"/>
      <w:lang w:val="es-MX" w:eastAsia="en-US"/>
    </w:rPr>
  </w:style>
  <w:style w:type="character" w:customStyle="1" w:styleId="TextonotaalfinalCar">
    <w:name w:val="Texto nota al final Car"/>
    <w:link w:val="Textonotaalfinal"/>
    <w:uiPriority w:val="99"/>
    <w:rsid w:val="001E3866"/>
    <w:rPr>
      <w:rFonts w:ascii="Arial Narrow" w:eastAsia="Times New Roman" w:hAnsi="Arial Narrow" w:cs="Tahoma"/>
      <w:sz w:val="20"/>
      <w:szCs w:val="20"/>
      <w:lang w:val="es-MX" w:eastAsia="en-US"/>
    </w:rPr>
  </w:style>
  <w:style w:type="character" w:styleId="Refdenotaalfinal">
    <w:name w:val="endnote reference"/>
    <w:rsid w:val="001E3866"/>
    <w:rPr>
      <w:vertAlign w:val="superscript"/>
    </w:rPr>
  </w:style>
  <w:style w:type="paragraph" w:customStyle="1" w:styleId="Normal1">
    <w:name w:val="Normal1"/>
    <w:basedOn w:val="Normal"/>
    <w:uiPriority w:val="99"/>
    <w:rsid w:val="001E3866"/>
    <w:pPr>
      <w:widowControl w:val="0"/>
      <w:autoSpaceDE w:val="0"/>
      <w:autoSpaceDN w:val="0"/>
      <w:jc w:val="both"/>
    </w:pPr>
    <w:rPr>
      <w:rFonts w:ascii="Arial Narrow" w:eastAsia="Times New Roman" w:hAnsi="Arial Narrow" w:cs="Tahoma"/>
      <w:b/>
      <w:bCs/>
      <w:i/>
      <w:iCs/>
      <w:sz w:val="22"/>
      <w:szCs w:val="20"/>
      <w:lang w:eastAsia="en-US"/>
    </w:rPr>
  </w:style>
  <w:style w:type="paragraph" w:styleId="Textodebloque">
    <w:name w:val="Block Text"/>
    <w:basedOn w:val="Normal"/>
    <w:uiPriority w:val="99"/>
    <w:rsid w:val="001E3866"/>
    <w:pPr>
      <w:widowControl w:val="0"/>
      <w:tabs>
        <w:tab w:val="left" w:pos="426"/>
      </w:tabs>
      <w:autoSpaceDE w:val="0"/>
      <w:autoSpaceDN w:val="0"/>
      <w:ind w:left="1134" w:right="-91" w:hanging="1134"/>
      <w:jc w:val="both"/>
    </w:pPr>
    <w:rPr>
      <w:rFonts w:ascii="Arial Narrow" w:eastAsia="Times New Roman" w:hAnsi="Arial Narrow" w:cs="Tahoma"/>
      <w:b/>
      <w:bCs/>
      <w:sz w:val="22"/>
      <w:szCs w:val="20"/>
      <w:lang w:eastAsia="en-US"/>
    </w:rPr>
  </w:style>
  <w:style w:type="paragraph" w:styleId="Sangra2detindependiente">
    <w:name w:val="Body Text Indent 2"/>
    <w:basedOn w:val="Normal"/>
    <w:link w:val="Sangra2detindependienteCar"/>
    <w:uiPriority w:val="99"/>
    <w:rsid w:val="001E3866"/>
    <w:pPr>
      <w:widowControl w:val="0"/>
      <w:tabs>
        <w:tab w:val="left" w:pos="426"/>
      </w:tabs>
      <w:autoSpaceDE w:val="0"/>
      <w:autoSpaceDN w:val="0"/>
      <w:ind w:right="-91" w:firstLine="1134"/>
      <w:jc w:val="both"/>
    </w:pPr>
    <w:rPr>
      <w:rFonts w:ascii="Arial Narrow" w:eastAsia="Times New Roman" w:hAnsi="Arial Narrow" w:cs="Tahoma"/>
      <w:sz w:val="22"/>
      <w:szCs w:val="20"/>
      <w:lang w:eastAsia="en-US"/>
    </w:rPr>
  </w:style>
  <w:style w:type="character" w:customStyle="1" w:styleId="Sangra2detindependienteCar">
    <w:name w:val="Sangría 2 de t. independiente Car"/>
    <w:link w:val="Sangra2detindependiente"/>
    <w:uiPriority w:val="99"/>
    <w:rsid w:val="001E3866"/>
    <w:rPr>
      <w:rFonts w:ascii="Arial Narrow" w:eastAsia="Times New Roman" w:hAnsi="Arial Narrow" w:cs="Tahoma"/>
      <w:sz w:val="22"/>
      <w:szCs w:val="20"/>
      <w:lang w:eastAsia="en-US"/>
    </w:rPr>
  </w:style>
  <w:style w:type="paragraph" w:customStyle="1" w:styleId="Ttulo10">
    <w:name w:val="Título1"/>
    <w:basedOn w:val="Normal"/>
    <w:next w:val="Normal"/>
    <w:uiPriority w:val="10"/>
    <w:qFormat/>
    <w:rsid w:val="001E3866"/>
    <w:pPr>
      <w:contextualSpacing/>
      <w:jc w:val="both"/>
    </w:pPr>
    <w:rPr>
      <w:rFonts w:ascii="Arial Narrow" w:eastAsia="Times New Roman" w:hAnsi="Arial Narrow"/>
      <w:spacing w:val="-10"/>
      <w:sz w:val="56"/>
      <w:szCs w:val="56"/>
      <w:lang w:val="es-MX" w:eastAsia="en-US"/>
    </w:rPr>
  </w:style>
  <w:style w:type="character" w:customStyle="1" w:styleId="TtuloCar1">
    <w:name w:val="Título Car1"/>
    <w:uiPriority w:val="10"/>
    <w:rsid w:val="001E3866"/>
    <w:rPr>
      <w:rFonts w:ascii="Arial Narrow" w:eastAsia="Times New Roman" w:hAnsi="Arial Narrow" w:cs="Times New Roman"/>
      <w:spacing w:val="-10"/>
      <w:sz w:val="56"/>
      <w:szCs w:val="56"/>
    </w:rPr>
  </w:style>
  <w:style w:type="paragraph" w:styleId="Sangra3detindependiente">
    <w:name w:val="Body Text Indent 3"/>
    <w:basedOn w:val="Normal"/>
    <w:link w:val="Sangra3detindependienteCar"/>
    <w:uiPriority w:val="99"/>
    <w:rsid w:val="001E3866"/>
    <w:pPr>
      <w:widowControl w:val="0"/>
      <w:tabs>
        <w:tab w:val="left" w:pos="426"/>
      </w:tabs>
      <w:autoSpaceDE w:val="0"/>
      <w:autoSpaceDN w:val="0"/>
      <w:ind w:firstLine="1134"/>
      <w:jc w:val="both"/>
    </w:pPr>
    <w:rPr>
      <w:rFonts w:ascii="Arial Narrow" w:eastAsia="Times New Roman" w:hAnsi="Arial Narrow" w:cs="Tahoma"/>
      <w:sz w:val="22"/>
      <w:szCs w:val="20"/>
      <w:lang w:eastAsia="en-US"/>
    </w:rPr>
  </w:style>
  <w:style w:type="character" w:customStyle="1" w:styleId="Sangra3detindependienteCar">
    <w:name w:val="Sangría 3 de t. independiente Car"/>
    <w:link w:val="Sangra3detindependiente"/>
    <w:uiPriority w:val="99"/>
    <w:rsid w:val="001E3866"/>
    <w:rPr>
      <w:rFonts w:ascii="Arial Narrow" w:eastAsia="Times New Roman" w:hAnsi="Arial Narrow" w:cs="Tahoma"/>
      <w:sz w:val="22"/>
      <w:szCs w:val="20"/>
      <w:lang w:eastAsia="en-US"/>
    </w:rPr>
  </w:style>
  <w:style w:type="paragraph" w:styleId="Textosinformato">
    <w:name w:val="Plain Text"/>
    <w:basedOn w:val="Normal"/>
    <w:link w:val="TextosinformatoCar"/>
    <w:rsid w:val="001E3866"/>
    <w:pPr>
      <w:jc w:val="both"/>
    </w:pPr>
    <w:rPr>
      <w:rFonts w:ascii="Courier New" w:eastAsia="Times New Roman" w:hAnsi="Courier New" w:cs="Tahoma"/>
      <w:sz w:val="20"/>
      <w:szCs w:val="20"/>
      <w:lang w:val="es-MX" w:eastAsia="en-US"/>
    </w:rPr>
  </w:style>
  <w:style w:type="character" w:customStyle="1" w:styleId="TextosinformatoCar">
    <w:name w:val="Texto sin formato Car"/>
    <w:link w:val="Textosinformato"/>
    <w:rsid w:val="001E3866"/>
    <w:rPr>
      <w:rFonts w:ascii="Courier New" w:eastAsia="Times New Roman" w:hAnsi="Courier New" w:cs="Tahoma"/>
      <w:sz w:val="20"/>
      <w:szCs w:val="20"/>
      <w:lang w:val="es-MX" w:eastAsia="en-US"/>
    </w:rPr>
  </w:style>
  <w:style w:type="paragraph" w:customStyle="1" w:styleId="Pa11">
    <w:name w:val="Pa11"/>
    <w:basedOn w:val="Normal"/>
    <w:next w:val="Normal"/>
    <w:uiPriority w:val="99"/>
    <w:rsid w:val="001E3866"/>
    <w:pPr>
      <w:autoSpaceDE w:val="0"/>
      <w:autoSpaceDN w:val="0"/>
      <w:adjustRightInd w:val="0"/>
      <w:spacing w:before="40" w:after="100" w:line="201" w:lineRule="atLeast"/>
      <w:jc w:val="both"/>
    </w:pPr>
    <w:rPr>
      <w:rFonts w:ascii="RotisSansSerif" w:eastAsia="Times New Roman" w:hAnsi="RotisSansSerif" w:cs="Tahoma"/>
      <w:sz w:val="22"/>
      <w:szCs w:val="20"/>
      <w:lang w:val="es-MX" w:eastAsia="en-US"/>
    </w:rPr>
  </w:style>
  <w:style w:type="paragraph" w:styleId="Sinespaciado">
    <w:name w:val="No Spacing"/>
    <w:link w:val="SinespaciadoCar"/>
    <w:uiPriority w:val="1"/>
    <w:qFormat/>
    <w:rsid w:val="001E3866"/>
    <w:rPr>
      <w:rFonts w:ascii="Arial Narrow" w:eastAsia="Times New Roman" w:hAnsi="Arial Narrow" w:cs="Tahoma"/>
      <w:sz w:val="18"/>
      <w:lang w:eastAsia="en-US"/>
    </w:rPr>
  </w:style>
  <w:style w:type="character" w:styleId="Hipervnculovisitado">
    <w:name w:val="FollowedHyperlink"/>
    <w:uiPriority w:val="99"/>
    <w:unhideWhenUsed/>
    <w:rsid w:val="001E3866"/>
    <w:rPr>
      <w:color w:val="800080"/>
      <w:u w:val="single"/>
    </w:rPr>
  </w:style>
  <w:style w:type="paragraph" w:customStyle="1" w:styleId="xl87">
    <w:name w:val="xl87"/>
    <w:basedOn w:val="Normal"/>
    <w:rsid w:val="001E3866"/>
    <w:pP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88">
    <w:name w:val="xl88"/>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89">
    <w:name w:val="xl89"/>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0">
    <w:name w:val="xl90"/>
    <w:basedOn w:val="Normal"/>
    <w:rsid w:val="001E3866"/>
    <w:pPr>
      <w:spacing w:before="100" w:beforeAutospacing="1" w:after="100" w:afterAutospacing="1"/>
      <w:jc w:val="both"/>
    </w:pPr>
    <w:rPr>
      <w:rFonts w:ascii="Arial Narrow" w:eastAsia="Times New Roman" w:hAnsi="Arial Narrow" w:cs="Tahoma"/>
      <w:sz w:val="18"/>
      <w:szCs w:val="18"/>
      <w:lang w:val="es-MX" w:eastAsia="es-MX"/>
    </w:rPr>
  </w:style>
  <w:style w:type="paragraph" w:customStyle="1" w:styleId="xl91">
    <w:name w:val="xl91"/>
    <w:basedOn w:val="Normal"/>
    <w:rsid w:val="001E3866"/>
    <w:pPr>
      <w:spacing w:before="100" w:beforeAutospacing="1" w:after="100" w:afterAutospacing="1"/>
      <w:jc w:val="both"/>
    </w:pPr>
    <w:rPr>
      <w:rFonts w:ascii="Arial Narrow" w:eastAsia="Times New Roman" w:hAnsi="Arial Narrow" w:cs="Tahoma"/>
      <w:b/>
      <w:bCs/>
      <w:sz w:val="22"/>
      <w:szCs w:val="20"/>
      <w:lang w:val="es-MX" w:eastAsia="es-MX"/>
    </w:rPr>
  </w:style>
  <w:style w:type="paragraph" w:customStyle="1" w:styleId="xl92">
    <w:name w:val="xl92"/>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3">
    <w:name w:val="xl93"/>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4">
    <w:name w:val="xl94"/>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5">
    <w:name w:val="xl95"/>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6">
    <w:name w:val="xl96"/>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7">
    <w:name w:val="xl97"/>
    <w:basedOn w:val="Normal"/>
    <w:rsid w:val="001E3866"/>
    <w:pPr>
      <w:spacing w:before="100" w:beforeAutospacing="1" w:after="100" w:afterAutospacing="1"/>
      <w:jc w:val="center"/>
    </w:pPr>
    <w:rPr>
      <w:rFonts w:ascii="Arial Narrow" w:eastAsia="Times New Roman" w:hAnsi="Arial Narrow" w:cs="Tahoma"/>
      <w:sz w:val="16"/>
      <w:szCs w:val="16"/>
      <w:lang w:val="es-MX" w:eastAsia="es-MX"/>
    </w:rPr>
  </w:style>
  <w:style w:type="paragraph" w:customStyle="1" w:styleId="xl98">
    <w:name w:val="xl98"/>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9">
    <w:name w:val="xl99"/>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CharCharCarCharCarCharCarCharCarCharCar">
    <w:name w:val="Char Char Car Char Car Char Car Char Car Char Car"/>
    <w:basedOn w:val="Normal"/>
    <w:uiPriority w:val="99"/>
    <w:rsid w:val="001E3866"/>
    <w:pPr>
      <w:autoSpaceDE w:val="0"/>
      <w:autoSpaceDN w:val="0"/>
      <w:spacing w:after="160" w:line="240" w:lineRule="exact"/>
      <w:jc w:val="both"/>
    </w:pPr>
    <w:rPr>
      <w:rFonts w:ascii="Calibri" w:eastAsia="Times New Roman" w:hAnsi="Calibri" w:cs="Arial"/>
      <w:sz w:val="20"/>
      <w:szCs w:val="20"/>
      <w:lang w:val="en-US" w:eastAsia="en-US" w:bidi="en-US"/>
    </w:rPr>
  </w:style>
  <w:style w:type="paragraph" w:customStyle="1" w:styleId="PRIMERPARRAFO">
    <w:name w:val="PRIMER PARRAFO"/>
    <w:uiPriority w:val="99"/>
    <w:rsid w:val="001E3866"/>
    <w:pPr>
      <w:spacing w:after="240" w:line="240" w:lineRule="exact"/>
      <w:jc w:val="both"/>
    </w:pPr>
    <w:rPr>
      <w:rFonts w:ascii="Arial Narrow" w:eastAsia="Times New Roman" w:hAnsi="Arial Narrow" w:cs="Tahoma"/>
      <w:sz w:val="18"/>
      <w:lang w:val="es-ES_tradnl" w:eastAsia="es-ES"/>
    </w:rPr>
  </w:style>
  <w:style w:type="paragraph" w:customStyle="1" w:styleId="Cabeza">
    <w:name w:val="Cabeza"/>
    <w:uiPriority w:val="99"/>
    <w:rsid w:val="001E3866"/>
    <w:pPr>
      <w:spacing w:after="200" w:line="276" w:lineRule="auto"/>
    </w:pPr>
    <w:rPr>
      <w:rFonts w:eastAsia="Times New Roman" w:cs="Tahoma"/>
      <w:color w:val="000000"/>
      <w:sz w:val="18"/>
      <w:lang w:eastAsia="es-ES"/>
    </w:rPr>
  </w:style>
  <w:style w:type="paragraph" w:customStyle="1" w:styleId="VIETACar">
    <w:name w:val="_VIÑETA Car"/>
    <w:aliases w:val="NEGRA Car"/>
    <w:basedOn w:val="Normal"/>
    <w:uiPriority w:val="99"/>
    <w:rsid w:val="001E3866"/>
    <w:pPr>
      <w:tabs>
        <w:tab w:val="num" w:pos="340"/>
      </w:tabs>
      <w:spacing w:before="110" w:after="110" w:line="260" w:lineRule="exact"/>
      <w:ind w:left="340" w:hanging="340"/>
      <w:jc w:val="both"/>
    </w:pPr>
    <w:rPr>
      <w:rFonts w:ascii="Arial Narrow" w:eastAsia="Times New Roman" w:hAnsi="Arial Narrow" w:cs="Tahoma"/>
      <w:sz w:val="21"/>
      <w:szCs w:val="20"/>
      <w:lang w:val="es-MX" w:eastAsia="en-US" w:bidi="en-US"/>
    </w:rPr>
  </w:style>
  <w:style w:type="paragraph" w:customStyle="1" w:styleId="xl23">
    <w:name w:val="xl23"/>
    <w:basedOn w:val="Normal"/>
    <w:uiPriority w:val="99"/>
    <w:rsid w:val="001E3866"/>
    <w:pPr>
      <w:pBdr>
        <w:left w:val="single" w:sz="4" w:space="0" w:color="auto"/>
        <w:right w:val="single" w:sz="4" w:space="0" w:color="auto"/>
      </w:pBdr>
      <w:spacing w:before="100" w:beforeAutospacing="1" w:after="100" w:afterAutospacing="1" w:line="276" w:lineRule="auto"/>
      <w:jc w:val="center"/>
    </w:pPr>
    <w:rPr>
      <w:rFonts w:ascii="Calibri" w:eastAsia="Arial Unicode MS" w:hAnsi="Calibri" w:cs="Arial"/>
      <w:b/>
      <w:bCs/>
      <w:sz w:val="16"/>
      <w:szCs w:val="16"/>
      <w:lang w:val="es-MX" w:eastAsia="en-US" w:bidi="en-US"/>
    </w:rPr>
  </w:style>
  <w:style w:type="paragraph" w:customStyle="1" w:styleId="xl22">
    <w:name w:val="xl22"/>
    <w:basedOn w:val="Normal"/>
    <w:uiPriority w:val="99"/>
    <w:rsid w:val="001E3866"/>
    <w:pPr>
      <w:spacing w:before="100" w:beforeAutospacing="1" w:after="100" w:afterAutospacing="1" w:line="276" w:lineRule="auto"/>
      <w:jc w:val="both"/>
    </w:pPr>
    <w:rPr>
      <w:rFonts w:ascii="Calibri" w:eastAsia="Arial Unicode MS" w:hAnsi="Calibri" w:cs="Arial"/>
      <w:sz w:val="16"/>
      <w:szCs w:val="16"/>
      <w:lang w:val="es-MX" w:eastAsia="en-US" w:bidi="en-US"/>
    </w:rPr>
  </w:style>
  <w:style w:type="paragraph" w:customStyle="1" w:styleId="Estilo1">
    <w:name w:val="Estilo1"/>
    <w:basedOn w:val="Normal"/>
    <w:autoRedefine/>
    <w:uiPriority w:val="99"/>
    <w:rsid w:val="001E3866"/>
    <w:pPr>
      <w:spacing w:before="60" w:line="276" w:lineRule="auto"/>
      <w:jc w:val="both"/>
    </w:pPr>
    <w:rPr>
      <w:rFonts w:ascii="Arial Narrow" w:eastAsia="Times New Roman" w:hAnsi="Arial Narrow" w:cs="Arial"/>
      <w:sz w:val="16"/>
      <w:szCs w:val="20"/>
      <w:lang w:eastAsia="en-US" w:bidi="en-US"/>
    </w:rPr>
  </w:style>
  <w:style w:type="character" w:customStyle="1" w:styleId="Negritas">
    <w:name w:val="Negritas"/>
    <w:aliases w:val="Parrafo"/>
    <w:rsid w:val="001E3866"/>
    <w:rPr>
      <w:b/>
      <w:sz w:val="20"/>
    </w:rPr>
  </w:style>
  <w:style w:type="paragraph" w:styleId="Textoindependiente3">
    <w:name w:val="Body Text 3"/>
    <w:basedOn w:val="Normal"/>
    <w:link w:val="Textoindependiente3Car"/>
    <w:uiPriority w:val="99"/>
    <w:rsid w:val="001E3866"/>
    <w:pPr>
      <w:autoSpaceDE w:val="0"/>
      <w:autoSpaceDN w:val="0"/>
      <w:adjustRightInd w:val="0"/>
      <w:spacing w:after="60" w:line="276" w:lineRule="auto"/>
      <w:jc w:val="both"/>
    </w:pPr>
    <w:rPr>
      <w:rFonts w:ascii="Calibri" w:eastAsia="Times New Roman" w:hAnsi="Calibri" w:cs="Arial"/>
      <w:b/>
      <w:bCs/>
      <w:color w:val="000000"/>
      <w:sz w:val="18"/>
      <w:szCs w:val="14"/>
      <w:lang w:eastAsia="en-US" w:bidi="en-US"/>
    </w:rPr>
  </w:style>
  <w:style w:type="character" w:customStyle="1" w:styleId="Textoindependiente3Car">
    <w:name w:val="Texto independiente 3 Car"/>
    <w:link w:val="Textoindependiente3"/>
    <w:uiPriority w:val="99"/>
    <w:rsid w:val="001E3866"/>
    <w:rPr>
      <w:rFonts w:ascii="Calibri" w:eastAsia="Times New Roman" w:hAnsi="Calibri" w:cs="Arial"/>
      <w:b/>
      <w:bCs/>
      <w:color w:val="000000"/>
      <w:sz w:val="18"/>
      <w:szCs w:val="14"/>
      <w:lang w:eastAsia="en-US" w:bidi="en-US"/>
    </w:rPr>
  </w:style>
  <w:style w:type="paragraph" w:customStyle="1" w:styleId="xl24">
    <w:name w:val="xl24"/>
    <w:basedOn w:val="Normal"/>
    <w:uiPriority w:val="99"/>
    <w:rsid w:val="001E3866"/>
    <w:pPr>
      <w:spacing w:before="100" w:beforeAutospacing="1" w:after="100" w:afterAutospacing="1" w:line="276" w:lineRule="auto"/>
      <w:jc w:val="both"/>
    </w:pPr>
    <w:rPr>
      <w:rFonts w:ascii="Univers" w:eastAsia="Arial Unicode MS" w:hAnsi="Univers" w:cs="Arial Unicode MS"/>
      <w:sz w:val="14"/>
      <w:szCs w:val="14"/>
      <w:lang w:val="es-MX" w:eastAsia="en-US" w:bidi="en-US"/>
    </w:rPr>
  </w:style>
  <w:style w:type="paragraph" w:customStyle="1" w:styleId="xl25">
    <w:name w:val="xl25"/>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6">
    <w:name w:val="xl26"/>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7">
    <w:name w:val="xl27"/>
    <w:basedOn w:val="Normal"/>
    <w:uiPriority w:val="99"/>
    <w:rsid w:val="001E3866"/>
    <w:pPr>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28">
    <w:name w:val="xl28"/>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9">
    <w:name w:val="xl29"/>
    <w:basedOn w:val="Normal"/>
    <w:uiPriority w:val="99"/>
    <w:rsid w:val="001E3866"/>
    <w:pPr>
      <w:pBdr>
        <w:top w:val="single" w:sz="4" w:space="0" w:color="auto"/>
      </w:pBd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0">
    <w:name w:val="xl30"/>
    <w:basedOn w:val="Normal"/>
    <w:uiPriority w:val="99"/>
    <w:rsid w:val="001E3866"/>
    <w:pPr>
      <w:pBdr>
        <w:top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31">
    <w:name w:val="xl31"/>
    <w:basedOn w:val="Normal"/>
    <w:uiPriority w:val="99"/>
    <w:rsid w:val="001E3866"/>
    <w:pPr>
      <w:pBdr>
        <w:top w:val="single" w:sz="4" w:space="0" w:color="auto"/>
      </w:pBdr>
      <w:shd w:val="clear" w:color="auto" w:fill="C0C0C0"/>
      <w:spacing w:before="100" w:beforeAutospacing="1" w:after="100" w:afterAutospacing="1" w:line="276" w:lineRule="auto"/>
      <w:jc w:val="center"/>
      <w:textAlignment w:val="center"/>
    </w:pPr>
    <w:rPr>
      <w:rFonts w:ascii="Calibri" w:eastAsia="Arial Unicode MS" w:hAnsi="Calibri" w:cs="Arial"/>
      <w:b/>
      <w:bCs/>
      <w:sz w:val="12"/>
      <w:szCs w:val="12"/>
      <w:lang w:val="es-MX" w:eastAsia="en-US" w:bidi="en-US"/>
    </w:rPr>
  </w:style>
  <w:style w:type="paragraph" w:customStyle="1" w:styleId="xl32">
    <w:name w:val="xl32"/>
    <w:basedOn w:val="Normal"/>
    <w:uiPriority w:val="99"/>
    <w:rsid w:val="001E3866"/>
    <w:pP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33">
    <w:name w:val="xl33"/>
    <w:basedOn w:val="Normal"/>
    <w:uiPriority w:val="99"/>
    <w:rsid w:val="001E3866"/>
    <w:pP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4">
    <w:name w:val="xl34"/>
    <w:basedOn w:val="Normal"/>
    <w:uiPriority w:val="99"/>
    <w:rsid w:val="001E3866"/>
    <w:pPr>
      <w:pBdr>
        <w:bottom w:val="single" w:sz="4" w:space="0" w:color="auto"/>
      </w:pBd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5">
    <w:name w:val="xl35"/>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36">
    <w:name w:val="xl36"/>
    <w:basedOn w:val="Normal"/>
    <w:uiPriority w:val="99"/>
    <w:rsid w:val="001E3866"/>
    <w:pPr>
      <w:pBdr>
        <w:top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37">
    <w:name w:val="xl37"/>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8">
    <w:name w:val="xl38"/>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9">
    <w:name w:val="xl39"/>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0">
    <w:name w:val="xl40"/>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1">
    <w:name w:val="xl41"/>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2">
    <w:name w:val="xl42"/>
    <w:basedOn w:val="Normal"/>
    <w:uiPriority w:val="99"/>
    <w:rsid w:val="001E3866"/>
    <w:pPr>
      <w:pBdr>
        <w:bottom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3">
    <w:name w:val="xl43"/>
    <w:basedOn w:val="Normal"/>
    <w:uiPriority w:val="99"/>
    <w:rsid w:val="001E3866"/>
    <w:pPr>
      <w:pBdr>
        <w:bottom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4">
    <w:name w:val="xl44"/>
    <w:basedOn w:val="Normal"/>
    <w:uiPriority w:val="99"/>
    <w:rsid w:val="001E3866"/>
    <w:pPr>
      <w:pBdr>
        <w:top w:val="single" w:sz="4" w:space="0" w:color="auto"/>
        <w:bottom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45">
    <w:name w:val="xl45"/>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6">
    <w:name w:val="xl46"/>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7">
    <w:name w:val="xl47"/>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8">
    <w:name w:val="xl48"/>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9">
    <w:name w:val="xl49"/>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50">
    <w:name w:val="xl50"/>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51">
    <w:name w:val="xl51"/>
    <w:basedOn w:val="Normal"/>
    <w:uiPriority w:val="99"/>
    <w:rsid w:val="001E3866"/>
    <w:pPr>
      <w:shd w:val="clear" w:color="auto" w:fill="C0C0C0"/>
      <w:spacing w:before="100" w:beforeAutospacing="1" w:after="100" w:afterAutospacing="1" w:line="276" w:lineRule="auto"/>
      <w:jc w:val="center"/>
      <w:textAlignment w:val="center"/>
    </w:pPr>
    <w:rPr>
      <w:rFonts w:ascii="Calibri" w:eastAsia="Arial Unicode MS" w:hAnsi="Calibri" w:cs="Arial"/>
      <w:b/>
      <w:bCs/>
      <w:sz w:val="12"/>
      <w:szCs w:val="12"/>
      <w:lang w:val="es-MX" w:eastAsia="en-US" w:bidi="en-US"/>
    </w:rPr>
  </w:style>
  <w:style w:type="paragraph" w:customStyle="1" w:styleId="xl52">
    <w:name w:val="xl52"/>
    <w:basedOn w:val="Normal"/>
    <w:uiPriority w:val="99"/>
    <w:rsid w:val="001E3866"/>
    <w:pPr>
      <w:pBdr>
        <w:bottom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BodyText21">
    <w:name w:val="Body Text 21"/>
    <w:basedOn w:val="Normal"/>
    <w:uiPriority w:val="99"/>
    <w:rsid w:val="001E3866"/>
    <w:pPr>
      <w:spacing w:line="276" w:lineRule="auto"/>
      <w:jc w:val="both"/>
    </w:pPr>
    <w:rPr>
      <w:rFonts w:ascii="Calibri" w:eastAsia="Times New Roman" w:hAnsi="Calibri" w:cs="Tahoma"/>
      <w:sz w:val="22"/>
      <w:szCs w:val="20"/>
      <w:lang w:eastAsia="en-US" w:bidi="en-US"/>
    </w:rPr>
  </w:style>
  <w:style w:type="paragraph" w:customStyle="1" w:styleId="texto0">
    <w:name w:val="texto"/>
    <w:basedOn w:val="Normal"/>
    <w:uiPriority w:val="99"/>
    <w:rsid w:val="001E3866"/>
    <w:pPr>
      <w:spacing w:after="101" w:line="216" w:lineRule="atLeast"/>
      <w:ind w:firstLine="288"/>
      <w:jc w:val="both"/>
    </w:pPr>
    <w:rPr>
      <w:rFonts w:ascii="Calibri" w:eastAsia="Times New Roman" w:hAnsi="Calibri" w:cs="Arial"/>
      <w:sz w:val="18"/>
      <w:szCs w:val="20"/>
      <w:lang w:eastAsia="es-MX" w:bidi="en-US"/>
    </w:rPr>
  </w:style>
  <w:style w:type="paragraph" w:customStyle="1" w:styleId="WW-Sangra3detindependiente">
    <w:name w:val="WW-Sangría 3 de t. independiente"/>
    <w:basedOn w:val="Normal"/>
    <w:uiPriority w:val="99"/>
    <w:rsid w:val="001E3866"/>
    <w:pPr>
      <w:suppressAutoHyphens/>
      <w:spacing w:line="276" w:lineRule="auto"/>
      <w:ind w:left="540" w:firstLine="1"/>
      <w:jc w:val="both"/>
    </w:pPr>
    <w:rPr>
      <w:rFonts w:ascii="Calibri" w:eastAsia="Times New Roman" w:hAnsi="Calibri" w:cs="Tahoma"/>
      <w:color w:val="000000"/>
      <w:sz w:val="22"/>
      <w:szCs w:val="20"/>
      <w:lang w:val="es-MX" w:eastAsia="es-MX" w:bidi="en-US"/>
    </w:rPr>
  </w:style>
  <w:style w:type="paragraph" w:customStyle="1" w:styleId="Estilo13">
    <w:name w:val="Estilo13"/>
    <w:basedOn w:val="Normal"/>
    <w:uiPriority w:val="99"/>
    <w:qFormat/>
    <w:rsid w:val="001E3866"/>
    <w:pPr>
      <w:spacing w:line="276" w:lineRule="auto"/>
      <w:jc w:val="both"/>
    </w:pPr>
    <w:rPr>
      <w:rFonts w:ascii="Verdana" w:eastAsia="Times New Roman" w:hAnsi="Verdana" w:cs="Tahoma"/>
      <w:sz w:val="22"/>
      <w:szCs w:val="20"/>
      <w:lang w:eastAsia="en-US" w:bidi="en-US"/>
    </w:rPr>
  </w:style>
  <w:style w:type="paragraph" w:customStyle="1" w:styleId="Vieta2">
    <w:name w:val="Viñeta 2"/>
    <w:uiPriority w:val="99"/>
    <w:rsid w:val="001E3866"/>
    <w:pPr>
      <w:numPr>
        <w:ilvl w:val="1"/>
        <w:numId w:val="3"/>
      </w:numPr>
      <w:tabs>
        <w:tab w:val="left" w:pos="567"/>
      </w:tabs>
      <w:spacing w:before="60" w:after="60" w:line="240" w:lineRule="exact"/>
      <w:jc w:val="both"/>
    </w:pPr>
    <w:rPr>
      <w:rFonts w:ascii="EurekaSans-Light" w:eastAsia="Times New Roman" w:hAnsi="EurekaSans-Light" w:cs="Tahoma"/>
      <w:sz w:val="24"/>
      <w:szCs w:val="24"/>
      <w:lang w:val="es-ES_tradnl" w:eastAsia="es-ES_tradnl"/>
    </w:rPr>
  </w:style>
  <w:style w:type="character" w:customStyle="1" w:styleId="TextoNegritas">
    <w:name w:val="Texto Negritas"/>
    <w:rsid w:val="001E3866"/>
    <w:rPr>
      <w:rFonts w:ascii="EurekaSans-Bold" w:hAnsi="EurekaSans-Bold"/>
      <w:sz w:val="22"/>
      <w:szCs w:val="24"/>
      <w:lang w:val="es-ES"/>
    </w:rPr>
  </w:style>
  <w:style w:type="paragraph" w:customStyle="1" w:styleId="VIETA2GUION">
    <w:name w:val="_VIÑETA 2 GUION"/>
    <w:basedOn w:val="Normal"/>
    <w:uiPriority w:val="99"/>
    <w:rsid w:val="001E3866"/>
    <w:pPr>
      <w:numPr>
        <w:numId w:val="4"/>
      </w:numPr>
      <w:tabs>
        <w:tab w:val="clear" w:pos="567"/>
        <w:tab w:val="left" w:pos="363"/>
      </w:tabs>
      <w:spacing w:before="120" w:after="120" w:line="240" w:lineRule="exact"/>
      <w:ind w:left="1080" w:hanging="360"/>
      <w:jc w:val="both"/>
    </w:pPr>
    <w:rPr>
      <w:rFonts w:ascii="Presidencia Fina" w:eastAsia="Times New Roman" w:hAnsi="Presidencia Fina" w:cs="Tahoma"/>
      <w:sz w:val="22"/>
      <w:szCs w:val="20"/>
      <w:lang w:val="es-MX" w:eastAsia="en-US" w:bidi="en-US"/>
    </w:rPr>
  </w:style>
  <w:style w:type="character" w:customStyle="1" w:styleId="NEGRITASBASE12PTS">
    <w:name w:val="_NEGRITAS BASE 12 PTS"/>
    <w:rsid w:val="001E3866"/>
    <w:rPr>
      <w:rFonts w:ascii="Presidencia Base" w:hAnsi="Presidencia Base"/>
      <w:sz w:val="24"/>
      <w:szCs w:val="22"/>
      <w:lang w:val="es-ES" w:eastAsia="es-ES" w:bidi="ar-SA"/>
    </w:rPr>
  </w:style>
  <w:style w:type="paragraph" w:customStyle="1" w:styleId="VIETA3NEGRA">
    <w:name w:val="_VIÑETA 3 NEGRA"/>
    <w:basedOn w:val="Normal"/>
    <w:uiPriority w:val="99"/>
    <w:rsid w:val="001E3866"/>
    <w:pPr>
      <w:numPr>
        <w:numId w:val="5"/>
      </w:numPr>
      <w:tabs>
        <w:tab w:val="clear" w:pos="823"/>
        <w:tab w:val="left" w:pos="544"/>
      </w:tabs>
      <w:spacing w:before="120" w:after="120" w:line="240" w:lineRule="exact"/>
      <w:ind w:left="1068" w:hanging="360"/>
      <w:jc w:val="both"/>
    </w:pPr>
    <w:rPr>
      <w:rFonts w:ascii="Presidencia Fina" w:eastAsia="Times New Roman" w:hAnsi="Presidencia Fina" w:cs="Tahoma"/>
      <w:sz w:val="22"/>
      <w:szCs w:val="20"/>
      <w:lang w:val="es-MX" w:eastAsia="en-US" w:bidi="en-US"/>
    </w:rPr>
  </w:style>
  <w:style w:type="paragraph" w:customStyle="1" w:styleId="VIETA1BALANEGRA">
    <w:name w:val="_VIÑETA 1 BALA NEGRA"/>
    <w:basedOn w:val="Normal"/>
    <w:uiPriority w:val="99"/>
    <w:rsid w:val="001E3866"/>
    <w:pPr>
      <w:numPr>
        <w:numId w:val="6"/>
      </w:numPr>
      <w:tabs>
        <w:tab w:val="clear" w:pos="397"/>
        <w:tab w:val="left" w:pos="181"/>
      </w:tabs>
      <w:spacing w:before="120" w:after="120" w:line="240" w:lineRule="exact"/>
      <w:ind w:left="720" w:hanging="360"/>
      <w:jc w:val="both"/>
    </w:pPr>
    <w:rPr>
      <w:rFonts w:ascii="Presidencia Fina" w:eastAsia="Times New Roman" w:hAnsi="Presidencia Fina" w:cs="Tahoma"/>
      <w:sz w:val="22"/>
      <w:szCs w:val="20"/>
      <w:lang w:val="es-MX" w:eastAsia="en-US" w:bidi="en-US"/>
    </w:rPr>
  </w:style>
  <w:style w:type="character" w:styleId="nfasis">
    <w:name w:val="Emphasis"/>
    <w:uiPriority w:val="20"/>
    <w:qFormat/>
    <w:rsid w:val="001E3866"/>
    <w:rPr>
      <w:i/>
      <w:iCs/>
      <w:color w:val="auto"/>
    </w:rPr>
  </w:style>
  <w:style w:type="character" w:customStyle="1" w:styleId="OBJETIVO">
    <w:name w:val="_OBJETIVO"/>
    <w:rsid w:val="001E3866"/>
    <w:rPr>
      <w:rFonts w:ascii="Presidencia Fuerte" w:hAnsi="Presidencia Fuerte"/>
      <w:sz w:val="28"/>
    </w:rPr>
  </w:style>
  <w:style w:type="paragraph" w:customStyle="1" w:styleId="VIETA4BLANCA">
    <w:name w:val="_VIÑETA 4 BLANCA"/>
    <w:basedOn w:val="Normal"/>
    <w:uiPriority w:val="99"/>
    <w:rsid w:val="001E3866"/>
    <w:pPr>
      <w:numPr>
        <w:numId w:val="7"/>
      </w:numPr>
      <w:tabs>
        <w:tab w:val="clear" w:pos="903"/>
        <w:tab w:val="left" w:pos="822"/>
      </w:tabs>
      <w:spacing w:before="120" w:after="120" w:line="240" w:lineRule="exact"/>
      <w:ind w:left="822" w:hanging="255"/>
      <w:jc w:val="both"/>
    </w:pPr>
    <w:rPr>
      <w:rFonts w:ascii="Presidencia Fina" w:eastAsia="Times New Roman" w:hAnsi="Presidencia Fina" w:cs="Tahoma"/>
      <w:sz w:val="22"/>
      <w:szCs w:val="20"/>
      <w:lang w:val="es-MX" w:eastAsia="en-US" w:bidi="en-US"/>
    </w:rPr>
  </w:style>
  <w:style w:type="character" w:customStyle="1" w:styleId="SIGLAS11PTS">
    <w:name w:val="_SIGLAS 11 PTS"/>
    <w:uiPriority w:val="1"/>
    <w:rsid w:val="001E3866"/>
    <w:rPr>
      <w:rFonts w:ascii="Presidencia Fina" w:hAnsi="Presidencia Fina"/>
      <w:caps/>
      <w:sz w:val="22"/>
    </w:rPr>
  </w:style>
  <w:style w:type="paragraph" w:customStyle="1" w:styleId="Cita1">
    <w:name w:val="Cita1"/>
    <w:basedOn w:val="Normal"/>
    <w:next w:val="Normal"/>
    <w:uiPriority w:val="29"/>
    <w:qFormat/>
    <w:rsid w:val="001E3866"/>
    <w:pPr>
      <w:spacing w:before="200"/>
      <w:ind w:left="864" w:right="864"/>
      <w:jc w:val="both"/>
    </w:pPr>
    <w:rPr>
      <w:rFonts w:ascii="Arial Narrow" w:eastAsia="Times New Roman" w:hAnsi="Arial Narrow" w:cs="Tahoma"/>
      <w:i/>
      <w:iCs/>
      <w:color w:val="404040"/>
      <w:sz w:val="22"/>
      <w:szCs w:val="20"/>
      <w:lang w:val="es-MX" w:eastAsia="en-US"/>
    </w:rPr>
  </w:style>
  <w:style w:type="character" w:customStyle="1" w:styleId="CitaCar">
    <w:name w:val="Cita Car"/>
    <w:link w:val="Cita"/>
    <w:uiPriority w:val="29"/>
    <w:rsid w:val="001E3866"/>
    <w:rPr>
      <w:i/>
      <w:iCs/>
      <w:color w:val="404040"/>
    </w:rPr>
  </w:style>
  <w:style w:type="paragraph" w:customStyle="1" w:styleId="Citadestacada1">
    <w:name w:val="Cita destacada1"/>
    <w:basedOn w:val="Normal"/>
    <w:next w:val="Normal"/>
    <w:link w:val="IntenseQuoteChar"/>
    <w:qFormat/>
    <w:rsid w:val="001E3866"/>
    <w:pPr>
      <w:pBdr>
        <w:top w:val="single" w:sz="4" w:space="10" w:color="404040"/>
        <w:bottom w:val="single" w:sz="4" w:space="10" w:color="404040"/>
      </w:pBdr>
      <w:spacing w:before="360" w:after="360"/>
      <w:ind w:left="864" w:right="864"/>
      <w:jc w:val="center"/>
    </w:pPr>
    <w:rPr>
      <w:rFonts w:ascii="Arial Narrow" w:eastAsia="Times New Roman" w:hAnsi="Arial Narrow" w:cs="Tahoma"/>
      <w:i/>
      <w:iCs/>
      <w:color w:val="404040"/>
      <w:sz w:val="22"/>
      <w:szCs w:val="20"/>
      <w:lang w:val="es-MX" w:eastAsia="en-US"/>
    </w:rPr>
  </w:style>
  <w:style w:type="character" w:customStyle="1" w:styleId="CitadestacadaCar">
    <w:name w:val="Cita destacada Car"/>
    <w:link w:val="Citadestacada"/>
    <w:uiPriority w:val="30"/>
    <w:rsid w:val="001E3866"/>
    <w:rPr>
      <w:i/>
      <w:iCs/>
      <w:color w:val="404040"/>
    </w:rPr>
  </w:style>
  <w:style w:type="character" w:customStyle="1" w:styleId="nfasissutil1">
    <w:name w:val="Énfasis sutil1"/>
    <w:qFormat/>
    <w:rsid w:val="001E3866"/>
    <w:rPr>
      <w:i/>
      <w:iCs/>
      <w:color w:val="404040"/>
    </w:rPr>
  </w:style>
  <w:style w:type="character" w:styleId="nfasisintenso">
    <w:name w:val="Intense Emphasis"/>
    <w:uiPriority w:val="21"/>
    <w:qFormat/>
    <w:rsid w:val="001E3866"/>
    <w:rPr>
      <w:b/>
      <w:bCs/>
      <w:i/>
      <w:iCs/>
      <w:color w:val="auto"/>
    </w:rPr>
  </w:style>
  <w:style w:type="character" w:customStyle="1" w:styleId="Referenciasutil1">
    <w:name w:val="Referencia sutil1"/>
    <w:uiPriority w:val="31"/>
    <w:qFormat/>
    <w:rsid w:val="001E3866"/>
    <w:rPr>
      <w:smallCaps/>
      <w:color w:val="404040"/>
    </w:rPr>
  </w:style>
  <w:style w:type="character" w:customStyle="1" w:styleId="Referenciaintensa1">
    <w:name w:val="Referencia intensa1"/>
    <w:uiPriority w:val="32"/>
    <w:qFormat/>
    <w:rsid w:val="001E3866"/>
    <w:rPr>
      <w:b/>
      <w:bCs/>
      <w:smallCaps/>
      <w:color w:val="404040"/>
      <w:spacing w:val="5"/>
    </w:rPr>
  </w:style>
  <w:style w:type="character" w:styleId="Ttulodellibro">
    <w:name w:val="Book Title"/>
    <w:uiPriority w:val="33"/>
    <w:qFormat/>
    <w:rsid w:val="001E3866"/>
    <w:rPr>
      <w:b/>
      <w:bCs/>
      <w:i/>
      <w:iCs/>
      <w:spacing w:val="5"/>
    </w:rPr>
  </w:style>
  <w:style w:type="paragraph" w:styleId="TtulodeTDC">
    <w:name w:val="TOC Heading"/>
    <w:basedOn w:val="Ttulo1"/>
    <w:next w:val="Normal"/>
    <w:uiPriority w:val="39"/>
    <w:unhideWhenUsed/>
    <w:qFormat/>
    <w:rsid w:val="001E3866"/>
    <w:pPr>
      <w:numPr>
        <w:numId w:val="0"/>
      </w:numPr>
      <w:tabs>
        <w:tab w:val="num" w:pos="567"/>
      </w:tabs>
      <w:spacing w:before="240" w:line="240" w:lineRule="auto"/>
      <w:ind w:left="567" w:hanging="170"/>
      <w:outlineLvl w:val="9"/>
    </w:pPr>
    <w:rPr>
      <w:rFonts w:ascii="Arial Narrow" w:hAnsi="Arial Narrow"/>
      <w:b w:val="0"/>
      <w:bCs w:val="0"/>
      <w:color w:val="262626"/>
      <w:sz w:val="32"/>
      <w:szCs w:val="32"/>
    </w:rPr>
  </w:style>
  <w:style w:type="numbering" w:customStyle="1" w:styleId="Sinlista11">
    <w:name w:val="Sin lista11"/>
    <w:next w:val="Sinlista"/>
    <w:uiPriority w:val="99"/>
    <w:semiHidden/>
    <w:unhideWhenUsed/>
    <w:rsid w:val="001E3866"/>
  </w:style>
  <w:style w:type="paragraph" w:customStyle="1" w:styleId="xl65">
    <w:name w:val="xl65"/>
    <w:basedOn w:val="Normal"/>
    <w:rsid w:val="001E3866"/>
    <w:pPr>
      <w:spacing w:before="100" w:beforeAutospacing="1" w:after="100" w:afterAutospacing="1"/>
      <w:jc w:val="both"/>
    </w:pPr>
    <w:rPr>
      <w:rFonts w:eastAsia="Times New Roman" w:cs="Arial"/>
      <w:sz w:val="32"/>
      <w:szCs w:val="32"/>
      <w:lang w:val="es-MX" w:eastAsia="en-US"/>
    </w:rPr>
  </w:style>
  <w:style w:type="paragraph" w:customStyle="1" w:styleId="xl66">
    <w:name w:val="xl66"/>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67">
    <w:name w:val="xl67"/>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0"/>
      <w:szCs w:val="20"/>
      <w:lang w:val="es-MX" w:eastAsia="en-US"/>
    </w:rPr>
  </w:style>
  <w:style w:type="paragraph" w:customStyle="1" w:styleId="xl68">
    <w:name w:val="xl68"/>
    <w:basedOn w:val="Normal"/>
    <w:rsid w:val="001E3866"/>
    <w:pPr>
      <w:spacing w:before="100" w:beforeAutospacing="1" w:after="100" w:afterAutospacing="1"/>
      <w:jc w:val="both"/>
    </w:pPr>
    <w:rPr>
      <w:rFonts w:eastAsia="Times New Roman" w:cs="Arial"/>
      <w:sz w:val="22"/>
      <w:szCs w:val="20"/>
      <w:lang w:val="es-MX" w:eastAsia="en-US"/>
    </w:rPr>
  </w:style>
  <w:style w:type="paragraph" w:customStyle="1" w:styleId="xl69">
    <w:name w:val="xl69"/>
    <w:basedOn w:val="Normal"/>
    <w:rsid w:val="001E3866"/>
    <w:pPr>
      <w:pBdr>
        <w:top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b/>
      <w:bCs/>
      <w:sz w:val="32"/>
      <w:szCs w:val="32"/>
      <w:lang w:val="es-MX" w:eastAsia="en-US"/>
    </w:rPr>
  </w:style>
  <w:style w:type="paragraph" w:customStyle="1" w:styleId="xl70">
    <w:name w:val="xl70"/>
    <w:basedOn w:val="Normal"/>
    <w:rsid w:val="001E3866"/>
    <w:pPr>
      <w:pBdr>
        <w:top w:val="single" w:sz="4" w:space="0" w:color="auto"/>
        <w:left w:val="single" w:sz="4" w:space="0" w:color="auto"/>
        <w:bottom w:val="single" w:sz="4" w:space="0" w:color="auto"/>
        <w:right w:val="single" w:sz="4" w:space="0" w:color="auto"/>
      </w:pBdr>
      <w:shd w:val="clear" w:color="000000" w:fill="339933"/>
      <w:spacing w:before="100" w:beforeAutospacing="1" w:after="100" w:afterAutospacing="1"/>
      <w:jc w:val="center"/>
      <w:textAlignment w:val="center"/>
    </w:pPr>
    <w:rPr>
      <w:rFonts w:eastAsia="Times New Roman" w:cs="Arial"/>
      <w:sz w:val="32"/>
      <w:szCs w:val="32"/>
      <w:lang w:val="es-MX" w:eastAsia="en-US"/>
    </w:rPr>
  </w:style>
  <w:style w:type="paragraph" w:customStyle="1" w:styleId="xl71">
    <w:name w:val="xl71"/>
    <w:basedOn w:val="Normal"/>
    <w:rsid w:val="001E3866"/>
    <w:pPr>
      <w:pBdr>
        <w:top w:val="single" w:sz="4" w:space="0" w:color="auto"/>
        <w:left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b/>
      <w:bCs/>
      <w:sz w:val="32"/>
      <w:szCs w:val="32"/>
      <w:lang w:val="es-MX" w:eastAsia="en-US"/>
    </w:rPr>
  </w:style>
  <w:style w:type="paragraph" w:customStyle="1" w:styleId="xl72">
    <w:name w:val="xl72"/>
    <w:basedOn w:val="Normal"/>
    <w:rsid w:val="001E3866"/>
    <w:pPr>
      <w:pBdr>
        <w:top w:val="single" w:sz="4" w:space="0" w:color="auto"/>
        <w:left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sz w:val="32"/>
      <w:szCs w:val="32"/>
      <w:lang w:val="es-MX" w:eastAsia="en-US"/>
    </w:rPr>
  </w:style>
  <w:style w:type="paragraph" w:customStyle="1" w:styleId="xl73">
    <w:name w:val="xl73"/>
    <w:basedOn w:val="Normal"/>
    <w:rsid w:val="001E3866"/>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both"/>
    </w:pPr>
    <w:rPr>
      <w:rFonts w:ascii="Arial Narrow" w:eastAsia="Times New Roman" w:hAnsi="Arial Narrow" w:cs="Tahoma"/>
      <w:sz w:val="22"/>
      <w:szCs w:val="20"/>
      <w:lang w:val="es-MX" w:eastAsia="en-US"/>
    </w:rPr>
  </w:style>
  <w:style w:type="paragraph" w:customStyle="1" w:styleId="xl74">
    <w:name w:val="xl74"/>
    <w:basedOn w:val="Normal"/>
    <w:rsid w:val="001E3866"/>
    <w:pPr>
      <w:spacing w:before="100" w:beforeAutospacing="1" w:after="100" w:afterAutospacing="1"/>
      <w:jc w:val="center"/>
      <w:textAlignment w:val="center"/>
    </w:pPr>
    <w:rPr>
      <w:rFonts w:eastAsia="Times New Roman" w:cs="Arial"/>
      <w:sz w:val="32"/>
      <w:szCs w:val="32"/>
      <w:lang w:val="es-MX" w:eastAsia="en-US"/>
    </w:rPr>
  </w:style>
  <w:style w:type="paragraph" w:customStyle="1" w:styleId="xl75">
    <w:name w:val="xl75"/>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6">
    <w:name w:val="xl76"/>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7">
    <w:name w:val="xl77"/>
    <w:basedOn w:val="Normal"/>
    <w:rsid w:val="001E386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8">
    <w:name w:val="xl78"/>
    <w:basedOn w:val="Normal"/>
    <w:rsid w:val="001E386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9">
    <w:name w:val="xl79"/>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0">
    <w:name w:val="xl80"/>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1">
    <w:name w:val="xl81"/>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2">
    <w:name w:val="xl82"/>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3">
    <w:name w:val="xl83"/>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4">
    <w:name w:val="xl84"/>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5">
    <w:name w:val="xl85"/>
    <w:basedOn w:val="Normal"/>
    <w:rsid w:val="001E3866"/>
    <w:pPr>
      <w:pBdr>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6">
    <w:name w:val="xl86"/>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00">
    <w:name w:val="xl100"/>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32"/>
      <w:szCs w:val="32"/>
      <w:lang w:val="es-MX" w:eastAsia="en-US"/>
    </w:rPr>
  </w:style>
  <w:style w:type="paragraph" w:customStyle="1" w:styleId="xl101">
    <w:name w:val="xl101"/>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2">
    <w:name w:val="xl102"/>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3">
    <w:name w:val="xl103"/>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pPr>
    <w:rPr>
      <w:rFonts w:eastAsia="Times New Roman" w:cs="Arial"/>
      <w:color w:val="FFFFFF"/>
      <w:sz w:val="32"/>
      <w:szCs w:val="32"/>
      <w:lang w:val="es-MX" w:eastAsia="en-US"/>
    </w:rPr>
  </w:style>
  <w:style w:type="paragraph" w:customStyle="1" w:styleId="xl104">
    <w:name w:val="xl104"/>
    <w:basedOn w:val="Normal"/>
    <w:rsid w:val="001E3866"/>
    <w:pPr>
      <w:pBdr>
        <w:top w:val="single" w:sz="8" w:space="0" w:color="auto"/>
        <w:left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5">
    <w:name w:val="xl105"/>
    <w:basedOn w:val="Normal"/>
    <w:rsid w:val="001E3866"/>
    <w:pPr>
      <w:pBdr>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6">
    <w:name w:val="xl106"/>
    <w:basedOn w:val="Normal"/>
    <w:rsid w:val="001E3866"/>
    <w:pPr>
      <w:pBdr>
        <w:top w:val="single" w:sz="8" w:space="0" w:color="auto"/>
        <w:left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7">
    <w:name w:val="xl107"/>
    <w:basedOn w:val="Normal"/>
    <w:rsid w:val="001E3866"/>
    <w:pPr>
      <w:pBdr>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8">
    <w:name w:val="xl108"/>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09">
    <w:name w:val="xl109"/>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0">
    <w:name w:val="xl110"/>
    <w:basedOn w:val="Normal"/>
    <w:rsid w:val="001E3866"/>
    <w:pPr>
      <w:pBdr>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1">
    <w:name w:val="xl111"/>
    <w:basedOn w:val="Normal"/>
    <w:rsid w:val="001E3866"/>
    <w:pPr>
      <w:pBdr>
        <w:top w:val="single" w:sz="8" w:space="0" w:color="auto"/>
        <w:left w:val="single" w:sz="8"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12">
    <w:name w:val="xl112"/>
    <w:basedOn w:val="Normal"/>
    <w:rsid w:val="001E3866"/>
    <w:pPr>
      <w:pBdr>
        <w:top w:val="single" w:sz="4" w:space="0" w:color="auto"/>
        <w:left w:val="single" w:sz="8"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13">
    <w:name w:val="xl113"/>
    <w:basedOn w:val="Normal"/>
    <w:rsid w:val="001E3866"/>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4">
    <w:name w:val="xl114"/>
    <w:basedOn w:val="Normal"/>
    <w:rsid w:val="001E3866"/>
    <w:pPr>
      <w:pBdr>
        <w:left w:val="single" w:sz="8"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table" w:styleId="Tablabsica1">
    <w:name w:val="Table Simple 1"/>
    <w:basedOn w:val="Tablanormal"/>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
    <w:name w:val="Sombreado claro1"/>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YAELSALUD">
    <w:name w:val="YAEL SALUD"/>
    <w:basedOn w:val="Ttulo"/>
    <w:uiPriority w:val="99"/>
    <w:rsid w:val="001E3866"/>
    <w:pPr>
      <w:spacing w:before="240" w:after="60"/>
      <w:contextualSpacing/>
      <w:jc w:val="both"/>
      <w:outlineLvl w:val="0"/>
    </w:pPr>
    <w:rPr>
      <w:rFonts w:ascii="Arial" w:hAnsi="Arial"/>
      <w:b w:val="0"/>
      <w:bCs/>
      <w:color w:val="800000"/>
      <w:spacing w:val="-10"/>
      <w:kern w:val="28"/>
      <w:sz w:val="28"/>
      <w:szCs w:val="27"/>
      <w:lang w:val="es-ES"/>
    </w:rPr>
  </w:style>
  <w:style w:type="paragraph" w:styleId="Listaconvietas">
    <w:name w:val="List Bullet"/>
    <w:basedOn w:val="Normal"/>
    <w:autoRedefine/>
    <w:uiPriority w:val="99"/>
    <w:rsid w:val="001E3866"/>
    <w:pPr>
      <w:numPr>
        <w:numId w:val="9"/>
      </w:numPr>
      <w:tabs>
        <w:tab w:val="clear" w:pos="323"/>
      </w:tabs>
      <w:spacing w:line="240" w:lineRule="exact"/>
      <w:ind w:left="720" w:right="6" w:hanging="360"/>
      <w:jc w:val="both"/>
    </w:pPr>
    <w:rPr>
      <w:rFonts w:eastAsia="Times New Roman" w:cs="Arial"/>
      <w:bCs/>
      <w:sz w:val="20"/>
      <w:szCs w:val="20"/>
      <w:lang w:val="es-MX" w:eastAsia="en-US"/>
    </w:rPr>
  </w:style>
  <w:style w:type="paragraph" w:styleId="Listaconvietas3">
    <w:name w:val="List Bullet 3"/>
    <w:basedOn w:val="Normal"/>
    <w:autoRedefine/>
    <w:uiPriority w:val="99"/>
    <w:rsid w:val="001E3866"/>
    <w:pPr>
      <w:numPr>
        <w:numId w:val="8"/>
      </w:numPr>
      <w:tabs>
        <w:tab w:val="clear" w:pos="926"/>
        <w:tab w:val="num" w:pos="720"/>
      </w:tabs>
      <w:ind w:left="720"/>
      <w:jc w:val="both"/>
    </w:pPr>
    <w:rPr>
      <w:rFonts w:ascii="Arial Narrow" w:eastAsia="Times New Roman" w:hAnsi="Arial Narrow" w:cs="Tahoma"/>
      <w:sz w:val="22"/>
      <w:szCs w:val="20"/>
      <w:lang w:val="es-MX" w:eastAsia="en-US"/>
    </w:rPr>
  </w:style>
  <w:style w:type="paragraph" w:customStyle="1" w:styleId="PARRAFO-CON">
    <w:name w:val="PARRAFO-CON"/>
    <w:basedOn w:val="Normal"/>
    <w:uiPriority w:val="99"/>
    <w:rsid w:val="001E3866"/>
    <w:pPr>
      <w:spacing w:before="100" w:line="300" w:lineRule="exact"/>
      <w:ind w:firstLine="284"/>
      <w:jc w:val="both"/>
    </w:pPr>
    <w:rPr>
      <w:rFonts w:ascii="Arial Narrow" w:eastAsia="Times New Roman" w:hAnsi="Arial Narrow" w:cs="Tahoma"/>
      <w:sz w:val="22"/>
      <w:szCs w:val="20"/>
      <w:lang w:val="es-MX" w:eastAsia="en-US"/>
    </w:rPr>
  </w:style>
  <w:style w:type="paragraph" w:customStyle="1" w:styleId="vinro">
    <w:name w:val="vinro"/>
    <w:basedOn w:val="Normal"/>
    <w:uiPriority w:val="99"/>
    <w:rsid w:val="001E3866"/>
    <w:pPr>
      <w:numPr>
        <w:numId w:val="10"/>
      </w:numPr>
      <w:tabs>
        <w:tab w:val="clear" w:pos="720"/>
      </w:tabs>
      <w:spacing w:after="101" w:line="216" w:lineRule="exact"/>
      <w:ind w:hanging="360"/>
      <w:jc w:val="both"/>
    </w:pPr>
    <w:rPr>
      <w:rFonts w:eastAsia="Times New Roman" w:cs="Tahoma"/>
      <w:sz w:val="18"/>
      <w:szCs w:val="20"/>
      <w:lang w:val="es-MX" w:eastAsia="en-US"/>
    </w:rPr>
  </w:style>
  <w:style w:type="paragraph" w:customStyle="1" w:styleId="Nmero">
    <w:name w:val="Número"/>
    <w:basedOn w:val="Normal"/>
    <w:uiPriority w:val="99"/>
    <w:rsid w:val="001E3866"/>
    <w:pPr>
      <w:tabs>
        <w:tab w:val="left" w:pos="425"/>
      </w:tabs>
      <w:ind w:left="425" w:hanging="425"/>
      <w:jc w:val="both"/>
    </w:pPr>
    <w:rPr>
      <w:rFonts w:eastAsia="Times New Roman" w:cs="Tahoma"/>
      <w:sz w:val="20"/>
      <w:szCs w:val="20"/>
      <w:lang w:val="es-MX" w:eastAsia="en-US"/>
    </w:rPr>
  </w:style>
  <w:style w:type="paragraph" w:customStyle="1" w:styleId="Caractersticas">
    <w:name w:val="Características"/>
    <w:basedOn w:val="Normal"/>
    <w:uiPriority w:val="99"/>
    <w:rsid w:val="001E3866"/>
    <w:pPr>
      <w:tabs>
        <w:tab w:val="num" w:pos="360"/>
      </w:tabs>
      <w:spacing w:line="324" w:lineRule="auto"/>
      <w:ind w:left="284" w:hanging="284"/>
      <w:jc w:val="both"/>
    </w:pPr>
    <w:rPr>
      <w:rFonts w:eastAsia="Times New Roman" w:cs="Tahoma"/>
      <w:b/>
      <w:sz w:val="16"/>
      <w:szCs w:val="20"/>
      <w:lang w:eastAsia="en-US"/>
    </w:rPr>
  </w:style>
  <w:style w:type="paragraph" w:customStyle="1" w:styleId="vietarombo">
    <w:name w:val="viñeta rombo"/>
    <w:basedOn w:val="Normal"/>
    <w:autoRedefine/>
    <w:uiPriority w:val="99"/>
    <w:rsid w:val="001E3866"/>
    <w:pPr>
      <w:numPr>
        <w:numId w:val="11"/>
      </w:numPr>
      <w:tabs>
        <w:tab w:val="clear" w:pos="360"/>
        <w:tab w:val="left" w:pos="170"/>
      </w:tabs>
      <w:spacing w:after="60"/>
      <w:ind w:left="720" w:hanging="360"/>
      <w:jc w:val="both"/>
    </w:pPr>
    <w:rPr>
      <w:rFonts w:eastAsia="Times New Roman" w:cs="Arial"/>
      <w:sz w:val="16"/>
      <w:szCs w:val="20"/>
      <w:lang w:val="es-MX" w:eastAsia="en-US"/>
    </w:rPr>
  </w:style>
  <w:style w:type="paragraph" w:customStyle="1" w:styleId="vietacuadro">
    <w:name w:val="viñeta cuadro"/>
    <w:basedOn w:val="Normal"/>
    <w:autoRedefine/>
    <w:uiPriority w:val="99"/>
    <w:rsid w:val="001E3866"/>
    <w:pPr>
      <w:numPr>
        <w:numId w:val="13"/>
      </w:numPr>
      <w:tabs>
        <w:tab w:val="clear" w:pos="360"/>
        <w:tab w:val="left" w:pos="851"/>
      </w:tabs>
      <w:spacing w:after="60"/>
      <w:ind w:left="851" w:hanging="284"/>
      <w:jc w:val="both"/>
    </w:pPr>
    <w:rPr>
      <w:rFonts w:eastAsia="Times New Roman" w:cs="Arial"/>
      <w:sz w:val="20"/>
      <w:szCs w:val="20"/>
      <w:lang w:val="es-MX" w:eastAsia="en-US"/>
    </w:rPr>
  </w:style>
  <w:style w:type="paragraph" w:customStyle="1" w:styleId="vietabala">
    <w:name w:val="viñeta bala"/>
    <w:basedOn w:val="Normal"/>
    <w:autoRedefine/>
    <w:uiPriority w:val="99"/>
    <w:rsid w:val="001E3866"/>
    <w:pPr>
      <w:numPr>
        <w:numId w:val="12"/>
      </w:numPr>
      <w:tabs>
        <w:tab w:val="clear" w:pos="360"/>
        <w:tab w:val="left" w:pos="170"/>
      </w:tabs>
      <w:spacing w:after="60"/>
      <w:ind w:left="1080" w:hanging="360"/>
      <w:jc w:val="both"/>
    </w:pPr>
    <w:rPr>
      <w:rFonts w:eastAsia="Times New Roman" w:cs="Arial"/>
      <w:sz w:val="16"/>
      <w:szCs w:val="20"/>
      <w:lang w:val="es-MX" w:eastAsia="en-US"/>
    </w:rPr>
  </w:style>
  <w:style w:type="paragraph" w:customStyle="1" w:styleId="Aparnorm">
    <w:name w:val="Aparnorm"/>
    <w:basedOn w:val="Normal"/>
    <w:uiPriority w:val="99"/>
    <w:rsid w:val="001E3866"/>
    <w:pPr>
      <w:spacing w:before="120" w:after="120"/>
      <w:jc w:val="both"/>
    </w:pPr>
    <w:rPr>
      <w:rFonts w:eastAsia="Times New Roman" w:cs="Tahoma"/>
      <w:sz w:val="22"/>
      <w:szCs w:val="20"/>
      <w:lang w:val="es-MX" w:eastAsia="en-US"/>
    </w:rPr>
  </w:style>
  <w:style w:type="paragraph" w:customStyle="1" w:styleId="bala">
    <w:name w:val="bala"/>
    <w:basedOn w:val="Normal"/>
    <w:link w:val="balaCar"/>
    <w:uiPriority w:val="99"/>
    <w:rsid w:val="001E3866"/>
    <w:pPr>
      <w:numPr>
        <w:numId w:val="14"/>
      </w:numPr>
      <w:spacing w:before="120" w:after="120" w:line="240" w:lineRule="exact"/>
      <w:jc w:val="both"/>
    </w:pPr>
    <w:rPr>
      <w:rFonts w:ascii="Arial Narrow" w:eastAsia="Times New Roman" w:hAnsi="Arial Narrow" w:cs="Tahoma"/>
      <w:sz w:val="22"/>
      <w:szCs w:val="20"/>
      <w:lang w:val="es-MX" w:eastAsia="en-US"/>
    </w:rPr>
  </w:style>
  <w:style w:type="character" w:customStyle="1" w:styleId="balaCar">
    <w:name w:val="bala Car"/>
    <w:link w:val="bala"/>
    <w:uiPriority w:val="99"/>
    <w:rsid w:val="001E3866"/>
    <w:rPr>
      <w:rFonts w:ascii="Arial Narrow" w:eastAsia="Times New Roman" w:hAnsi="Arial Narrow" w:cs="Tahoma"/>
      <w:sz w:val="22"/>
      <w:lang w:eastAsia="en-US"/>
    </w:rPr>
  </w:style>
  <w:style w:type="character" w:customStyle="1" w:styleId="SIGLAS">
    <w:name w:val="SIGLAS"/>
    <w:rsid w:val="001E3866"/>
    <w:rPr>
      <w:rFonts w:ascii="Arial Narrow" w:hAnsi="Arial Narrow"/>
      <w:dstrike w:val="0"/>
      <w:sz w:val="18"/>
      <w:vertAlign w:val="baseline"/>
    </w:rPr>
  </w:style>
  <w:style w:type="paragraph" w:customStyle="1" w:styleId="cuadrado">
    <w:name w:val="cuadrado"/>
    <w:basedOn w:val="Normal"/>
    <w:link w:val="cuadradoCar"/>
    <w:uiPriority w:val="99"/>
    <w:rsid w:val="001E3866"/>
    <w:pPr>
      <w:numPr>
        <w:numId w:val="15"/>
      </w:numPr>
      <w:tabs>
        <w:tab w:val="clear" w:pos="454"/>
        <w:tab w:val="left" w:pos="641"/>
      </w:tabs>
      <w:spacing w:before="120" w:after="120" w:line="240" w:lineRule="exact"/>
      <w:ind w:left="647" w:hanging="284"/>
      <w:jc w:val="both"/>
    </w:pPr>
    <w:rPr>
      <w:rFonts w:ascii="Arial Narrow" w:eastAsia="Times New Roman" w:hAnsi="Arial Narrow" w:cs="Tahoma"/>
      <w:sz w:val="20"/>
      <w:szCs w:val="20"/>
      <w:lang w:val="es-MX" w:eastAsia="en-US"/>
    </w:rPr>
  </w:style>
  <w:style w:type="character" w:customStyle="1" w:styleId="cuadradoCar">
    <w:name w:val="cuadrado Car"/>
    <w:link w:val="cuadrado"/>
    <w:uiPriority w:val="99"/>
    <w:rsid w:val="001E3866"/>
    <w:rPr>
      <w:rFonts w:ascii="Arial Narrow" w:eastAsia="Times New Roman" w:hAnsi="Arial Narrow" w:cs="Tahoma"/>
      <w:lang w:eastAsia="en-US"/>
    </w:rPr>
  </w:style>
  <w:style w:type="paragraph" w:customStyle="1" w:styleId="Bulletredondo">
    <w:name w:val="Bullet redondo"/>
    <w:next w:val="Normal"/>
    <w:link w:val="BulletredondoCar"/>
    <w:uiPriority w:val="99"/>
    <w:rsid w:val="001E3866"/>
    <w:pPr>
      <w:numPr>
        <w:numId w:val="16"/>
      </w:numPr>
      <w:spacing w:line="260" w:lineRule="exact"/>
      <w:jc w:val="both"/>
    </w:pPr>
    <w:rPr>
      <w:rFonts w:ascii="Arial Narrow" w:eastAsia="Times New Roman" w:hAnsi="Arial Narrow" w:cs="Tahoma"/>
      <w:sz w:val="21"/>
      <w:lang w:val="es-ES_tradnl" w:eastAsia="es-ES"/>
    </w:rPr>
  </w:style>
  <w:style w:type="character" w:customStyle="1" w:styleId="BulletredondoCar">
    <w:name w:val="Bullet redondo Car"/>
    <w:link w:val="Bulletredondo"/>
    <w:uiPriority w:val="99"/>
    <w:rsid w:val="001E3866"/>
    <w:rPr>
      <w:rFonts w:ascii="Arial Narrow" w:eastAsia="Times New Roman" w:hAnsi="Arial Narrow" w:cs="Tahoma"/>
      <w:sz w:val="21"/>
      <w:lang w:val="es-ES_tradnl" w:eastAsia="es-ES"/>
    </w:rPr>
  </w:style>
  <w:style w:type="paragraph" w:customStyle="1" w:styleId="Car">
    <w:name w:val="Car"/>
    <w:basedOn w:val="Normal"/>
    <w:uiPriority w:val="99"/>
    <w:rsid w:val="001E3866"/>
    <w:pPr>
      <w:spacing w:after="160" w:line="240" w:lineRule="exact"/>
      <w:jc w:val="right"/>
    </w:pPr>
    <w:rPr>
      <w:rFonts w:ascii="Verdana" w:eastAsia="Times New Roman" w:hAnsi="Verdana" w:cs="Arial"/>
      <w:sz w:val="20"/>
      <w:szCs w:val="20"/>
      <w:lang w:val="es-MX" w:eastAsia="en-US"/>
    </w:rPr>
  </w:style>
  <w:style w:type="paragraph" w:customStyle="1" w:styleId="CarCarCarCarCarCarCarCarCarCarCarCarCarCarCarCar">
    <w:name w:val="Car Car Car Car Car Car Car Car Car Car Car Car Car Car Car Car"/>
    <w:basedOn w:val="Normal"/>
    <w:uiPriority w:val="99"/>
    <w:rsid w:val="001E3866"/>
    <w:pPr>
      <w:spacing w:after="160" w:line="240" w:lineRule="exact"/>
      <w:jc w:val="both"/>
    </w:pPr>
    <w:rPr>
      <w:rFonts w:ascii="Tahoma" w:eastAsia="Times New Roman" w:hAnsi="Tahoma" w:cs="Tahoma"/>
      <w:sz w:val="20"/>
      <w:szCs w:val="20"/>
      <w:lang w:val="en-US" w:eastAsia="en-US"/>
    </w:rPr>
  </w:style>
  <w:style w:type="paragraph" w:customStyle="1" w:styleId="CharCharCarCharCarCharCarCharCarCharCar2">
    <w:name w:val="Char Char Car Char Car Char Car Char Car Char Car2"/>
    <w:basedOn w:val="Normal"/>
    <w:uiPriority w:val="99"/>
    <w:rsid w:val="001E3866"/>
    <w:pPr>
      <w:autoSpaceDE w:val="0"/>
      <w:autoSpaceDN w:val="0"/>
      <w:spacing w:after="160" w:line="240" w:lineRule="exact"/>
      <w:jc w:val="both"/>
    </w:pPr>
    <w:rPr>
      <w:rFonts w:eastAsia="Times New Roman" w:cs="Arial"/>
      <w:sz w:val="20"/>
      <w:szCs w:val="20"/>
      <w:lang w:val="en-US" w:eastAsia="en-US"/>
    </w:rPr>
  </w:style>
  <w:style w:type="paragraph" w:customStyle="1" w:styleId="vieta1">
    <w:name w:val="vieta1"/>
    <w:basedOn w:val="Normal"/>
    <w:uiPriority w:val="99"/>
    <w:rsid w:val="001E3866"/>
    <w:pPr>
      <w:autoSpaceDE w:val="0"/>
      <w:autoSpaceDN w:val="0"/>
      <w:spacing w:before="120" w:after="120" w:line="240" w:lineRule="atLeast"/>
      <w:ind w:left="360" w:hanging="360"/>
      <w:jc w:val="both"/>
    </w:pPr>
    <w:rPr>
      <w:rFonts w:ascii="PresidenciaFirme" w:eastAsia="Calibri" w:hAnsi="PresidenciaFirme" w:cs="Tahoma"/>
      <w:color w:val="000000"/>
      <w:sz w:val="22"/>
      <w:szCs w:val="20"/>
      <w:lang w:val="es-MX" w:eastAsia="es-MX"/>
    </w:rPr>
  </w:style>
  <w:style w:type="paragraph" w:customStyle="1" w:styleId="29TextodeEncabezados">
    <w:name w:val="29_Texto de Encabezados"/>
    <w:aliases w:val="Cuadro de 16cm."/>
    <w:basedOn w:val="Normal"/>
    <w:uiPriority w:val="99"/>
    <w:rsid w:val="001E3866"/>
    <w:pPr>
      <w:framePr w:wrap="around" w:vAnchor="text" w:hAnchor="text" w:xAlign="center" w:y="1"/>
      <w:spacing w:before="60" w:after="60" w:line="200" w:lineRule="exact"/>
      <w:suppressOverlap/>
      <w:jc w:val="center"/>
    </w:pPr>
    <w:rPr>
      <w:rFonts w:eastAsia="Times New Roman" w:cs="Tahoma"/>
      <w:b/>
      <w:color w:val="FFFFFF"/>
      <w:sz w:val="16"/>
      <w:szCs w:val="20"/>
      <w:lang w:val="es-MX" w:eastAsia="en-US"/>
    </w:rPr>
  </w:style>
  <w:style w:type="paragraph" w:customStyle="1" w:styleId="45TitulodelCuadrodeIndicadores">
    <w:name w:val="45_Titulo del Cuadro de Indicadores"/>
    <w:basedOn w:val="Normal"/>
    <w:uiPriority w:val="99"/>
    <w:rsid w:val="001E3866"/>
    <w:pPr>
      <w:framePr w:wrap="around" w:vAnchor="text" w:hAnchor="margin" w:xAlign="center" w:y="1"/>
      <w:spacing w:after="60" w:line="200" w:lineRule="exact"/>
      <w:suppressOverlap/>
      <w:jc w:val="center"/>
    </w:pPr>
    <w:rPr>
      <w:rFonts w:eastAsia="Times New Roman" w:cs="Tahoma"/>
      <w:b/>
      <w:sz w:val="16"/>
      <w:szCs w:val="20"/>
      <w:lang w:val="es-MX" w:eastAsia="en-US"/>
    </w:rPr>
  </w:style>
  <w:style w:type="paragraph" w:customStyle="1" w:styleId="46EncabezadodelCuadrodeIndicadores">
    <w:name w:val="46_Encabezado del Cuadro de Indicadores"/>
    <w:basedOn w:val="Normal"/>
    <w:uiPriority w:val="99"/>
    <w:rsid w:val="001E3866"/>
    <w:pPr>
      <w:framePr w:wrap="around" w:vAnchor="text" w:hAnchor="margin" w:xAlign="center" w:y="1"/>
      <w:spacing w:line="200" w:lineRule="exact"/>
      <w:suppressOverlap/>
      <w:jc w:val="center"/>
    </w:pPr>
    <w:rPr>
      <w:rFonts w:eastAsia="Times New Roman" w:cs="Tahoma"/>
      <w:b/>
      <w:color w:val="FFFFFF"/>
      <w:sz w:val="16"/>
      <w:szCs w:val="20"/>
      <w:lang w:val="es-MX" w:eastAsia="en-US"/>
    </w:rPr>
  </w:style>
  <w:style w:type="paragraph" w:customStyle="1" w:styleId="47NombredelIndicador">
    <w:name w:val="47_Nombre del Indicador"/>
    <w:basedOn w:val="Normal"/>
    <w:uiPriority w:val="99"/>
    <w:rsid w:val="001E3866"/>
    <w:pPr>
      <w:framePr w:wrap="around" w:vAnchor="text" w:hAnchor="margin" w:xAlign="center" w:y="1"/>
      <w:spacing w:before="60" w:line="200" w:lineRule="exact"/>
      <w:ind w:left="57" w:right="57"/>
      <w:suppressOverlap/>
      <w:jc w:val="both"/>
    </w:pPr>
    <w:rPr>
      <w:rFonts w:eastAsia="Times New Roman" w:cs="Tahoma"/>
      <w:b/>
      <w:sz w:val="16"/>
      <w:szCs w:val="20"/>
      <w:lang w:val="es-MX" w:eastAsia="en-US"/>
    </w:rPr>
  </w:style>
  <w:style w:type="paragraph" w:customStyle="1" w:styleId="49VietaPrimerNivel">
    <w:name w:val="49_Viñeta Primer Nivel"/>
    <w:aliases w:val="del Cuadro del Indicador"/>
    <w:basedOn w:val="Normal"/>
    <w:uiPriority w:val="99"/>
    <w:rsid w:val="001E3866"/>
    <w:pPr>
      <w:framePr w:wrap="around" w:vAnchor="text" w:hAnchor="margin" w:xAlign="center" w:y="1"/>
      <w:numPr>
        <w:numId w:val="17"/>
      </w:numPr>
      <w:tabs>
        <w:tab w:val="clear" w:pos="720"/>
        <w:tab w:val="left" w:pos="284"/>
      </w:tabs>
      <w:spacing w:after="60" w:line="200" w:lineRule="exact"/>
      <w:ind w:left="432" w:hanging="432"/>
      <w:suppressOverlap/>
      <w:jc w:val="both"/>
    </w:pPr>
    <w:rPr>
      <w:rFonts w:eastAsia="Times New Roman" w:cs="Tahoma"/>
      <w:sz w:val="16"/>
      <w:szCs w:val="20"/>
      <w:lang w:val="es-MX" w:eastAsia="en-US"/>
    </w:rPr>
  </w:style>
  <w:style w:type="paragraph" w:customStyle="1" w:styleId="50FuentedeIndicador">
    <w:name w:val="50_Fuente de Indicador"/>
    <w:basedOn w:val="Normal"/>
    <w:uiPriority w:val="99"/>
    <w:rsid w:val="001E3866"/>
    <w:pPr>
      <w:framePr w:wrap="around" w:vAnchor="text" w:hAnchor="margin" w:xAlign="center" w:y="1"/>
      <w:spacing w:before="60" w:line="200" w:lineRule="exact"/>
      <w:suppressOverlap/>
      <w:jc w:val="both"/>
    </w:pPr>
    <w:rPr>
      <w:rFonts w:eastAsia="Times New Roman" w:cs="Tahoma"/>
      <w:sz w:val="16"/>
      <w:szCs w:val="20"/>
      <w:lang w:val="es-MX" w:eastAsia="en-US"/>
    </w:rPr>
  </w:style>
  <w:style w:type="paragraph" w:customStyle="1" w:styleId="51PorcentajeycifrasdelCuadroIndicador">
    <w:name w:val="51_Porcentaje y cifras del Cuadro Indicador"/>
    <w:basedOn w:val="Normal"/>
    <w:uiPriority w:val="99"/>
    <w:rsid w:val="001E3866"/>
    <w:pPr>
      <w:spacing w:before="60" w:line="200" w:lineRule="exact"/>
      <w:ind w:left="57" w:right="57"/>
      <w:jc w:val="center"/>
    </w:pPr>
    <w:rPr>
      <w:rFonts w:eastAsia="Times New Roman" w:cs="Tahoma"/>
      <w:sz w:val="16"/>
      <w:szCs w:val="20"/>
      <w:lang w:val="es-MX" w:eastAsia="en-US"/>
    </w:rPr>
  </w:style>
  <w:style w:type="paragraph" w:customStyle="1" w:styleId="09TextdelosTtdelTextoGeneral">
    <w:name w:val="09_Text. de los Tít. del Texto General"/>
    <w:basedOn w:val="Normal"/>
    <w:uiPriority w:val="99"/>
    <w:rsid w:val="001E3866"/>
    <w:pPr>
      <w:spacing w:after="120" w:line="240" w:lineRule="exact"/>
      <w:jc w:val="center"/>
    </w:pPr>
    <w:rPr>
      <w:rFonts w:eastAsia="Times New Roman" w:cs="Tahoma"/>
      <w:b/>
      <w:color w:val="35A3AF"/>
      <w:sz w:val="20"/>
      <w:szCs w:val="20"/>
      <w:lang w:val="es-MX" w:eastAsia="en-US"/>
    </w:rPr>
  </w:style>
  <w:style w:type="paragraph" w:customStyle="1" w:styleId="CharCharCarCharCarCharCarCharCarCharCar1">
    <w:name w:val="Char Char Car Char Car Char Car Char Car Char Car1"/>
    <w:basedOn w:val="Normal"/>
    <w:uiPriority w:val="99"/>
    <w:rsid w:val="001E3866"/>
    <w:pPr>
      <w:autoSpaceDE w:val="0"/>
      <w:autoSpaceDN w:val="0"/>
      <w:spacing w:after="160" w:line="240" w:lineRule="exact"/>
      <w:jc w:val="both"/>
    </w:pPr>
    <w:rPr>
      <w:rFonts w:eastAsia="Times New Roman" w:cs="Arial"/>
      <w:sz w:val="20"/>
      <w:szCs w:val="20"/>
      <w:lang w:val="en-US" w:eastAsia="en-US"/>
    </w:rPr>
  </w:style>
  <w:style w:type="character" w:styleId="Nmerodelnea">
    <w:name w:val="line number"/>
    <w:rsid w:val="001E3866"/>
  </w:style>
  <w:style w:type="paragraph" w:customStyle="1" w:styleId="Textoctapb2015">
    <w:name w:val="Texto cta. púb. 2015"/>
    <w:basedOn w:val="Normal"/>
    <w:link w:val="Textoctapb2015Car"/>
    <w:qFormat/>
    <w:rsid w:val="001E3866"/>
    <w:pPr>
      <w:jc w:val="both"/>
    </w:pPr>
    <w:rPr>
      <w:rFonts w:ascii="Arial Narrow" w:eastAsia="Times New Roman" w:hAnsi="Arial Narrow" w:cs="Arial"/>
      <w:sz w:val="20"/>
      <w:szCs w:val="20"/>
      <w:lang w:val="es-MX" w:eastAsia="en-US"/>
    </w:rPr>
  </w:style>
  <w:style w:type="character" w:customStyle="1" w:styleId="Textoctapb2015Car">
    <w:name w:val="Texto cta. púb. 2015 Car"/>
    <w:link w:val="Textoctapb2015"/>
    <w:rsid w:val="001E3866"/>
    <w:rPr>
      <w:rFonts w:ascii="Arial Narrow" w:eastAsia="Times New Roman" w:hAnsi="Arial Narrow" w:cs="Arial"/>
      <w:sz w:val="20"/>
      <w:szCs w:val="20"/>
      <w:lang w:val="es-MX" w:eastAsia="en-US"/>
    </w:rPr>
  </w:style>
  <w:style w:type="paragraph" w:customStyle="1" w:styleId="xl115">
    <w:name w:val="xl115"/>
    <w:basedOn w:val="Normal"/>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b/>
      <w:bCs/>
      <w:color w:val="FFFFFF"/>
      <w:sz w:val="16"/>
      <w:szCs w:val="16"/>
      <w:lang w:val="es-MX" w:eastAsia="en-US"/>
    </w:rPr>
  </w:style>
  <w:style w:type="paragraph" w:customStyle="1" w:styleId="xl116">
    <w:name w:val="xl116"/>
    <w:basedOn w:val="Normal"/>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n-US"/>
    </w:rPr>
  </w:style>
  <w:style w:type="paragraph" w:customStyle="1" w:styleId="xl117">
    <w:name w:val="xl117"/>
    <w:basedOn w:val="Normal"/>
    <w:rsid w:val="001E3866"/>
    <w:pPr>
      <w:pBdr>
        <w:top w:val="single" w:sz="4" w:space="0" w:color="D8D8D8"/>
        <w:left w:val="single" w:sz="12" w:space="0" w:color="A7AAAD"/>
        <w:bottom w:val="single" w:sz="12" w:space="0" w:color="A7AAAD"/>
        <w:right w:val="single" w:sz="4" w:space="0" w:color="D8D8D8"/>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18">
    <w:name w:val="xl118"/>
    <w:basedOn w:val="Normal"/>
    <w:rsid w:val="001E3866"/>
    <w:pPr>
      <w:pBdr>
        <w:top w:val="single" w:sz="4" w:space="0" w:color="D8D8D8"/>
        <w:left w:val="single" w:sz="4" w:space="0" w:color="D8D8D8"/>
        <w:bottom w:val="single" w:sz="12" w:space="0" w:color="A7AAAD"/>
        <w:right w:val="single" w:sz="4" w:space="0" w:color="D8D8D8"/>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19">
    <w:name w:val="xl119"/>
    <w:basedOn w:val="Normal"/>
    <w:rsid w:val="001E3866"/>
    <w:pPr>
      <w:pBdr>
        <w:top w:val="single" w:sz="4" w:space="0" w:color="D8D8D8"/>
        <w:left w:val="single" w:sz="4" w:space="0" w:color="D8D8D8"/>
        <w:bottom w:val="single" w:sz="12" w:space="0" w:color="A7AAAD"/>
        <w:right w:val="single" w:sz="12" w:space="0" w:color="A7AAAD"/>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20">
    <w:name w:val="xl120"/>
    <w:basedOn w:val="Normal"/>
    <w:rsid w:val="001E3866"/>
    <w:pPr>
      <w:pBdr>
        <w:top w:val="single" w:sz="4" w:space="0" w:color="FFFFFF"/>
        <w:left w:val="single" w:sz="12" w:space="0" w:color="A7AAAD"/>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1">
    <w:name w:val="xl121"/>
    <w:basedOn w:val="Normal"/>
    <w:rsid w:val="001E3866"/>
    <w:pPr>
      <w:pBdr>
        <w:top w:val="single" w:sz="4" w:space="0" w:color="FFFFFF"/>
        <w:left w:val="single" w:sz="4" w:space="0" w:color="D8D8D8"/>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2">
    <w:name w:val="xl122"/>
    <w:basedOn w:val="Normal"/>
    <w:rsid w:val="001E3866"/>
    <w:pPr>
      <w:pBdr>
        <w:top w:val="single" w:sz="4" w:space="0" w:color="FFFFFF"/>
        <w:left w:val="single" w:sz="4" w:space="0" w:color="D8D8D8"/>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3">
    <w:name w:val="xl123"/>
    <w:basedOn w:val="Normal"/>
    <w:rsid w:val="001E3866"/>
    <w:pPr>
      <w:pBdr>
        <w:top w:val="single" w:sz="4" w:space="0" w:color="FFFFFF"/>
        <w:left w:val="single" w:sz="4" w:space="0" w:color="D8D8D8"/>
        <w:bottom w:val="single" w:sz="4" w:space="0" w:color="D8D8D8"/>
        <w:right w:val="single" w:sz="12" w:space="0" w:color="A7AAAD"/>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4">
    <w:name w:val="xl124"/>
    <w:basedOn w:val="Normal"/>
    <w:rsid w:val="001E3866"/>
    <w:pPr>
      <w:spacing w:before="100" w:beforeAutospacing="1" w:after="100" w:afterAutospacing="1"/>
      <w:jc w:val="both"/>
    </w:pPr>
    <w:rPr>
      <w:rFonts w:ascii="Futura Lt BT" w:eastAsia="Times New Roman" w:hAnsi="Futura Lt BT" w:cs="Tahoma"/>
      <w:sz w:val="18"/>
      <w:szCs w:val="18"/>
      <w:lang w:val="es-MX" w:eastAsia="en-US"/>
    </w:rPr>
  </w:style>
  <w:style w:type="paragraph" w:customStyle="1" w:styleId="xl125">
    <w:name w:val="xl125"/>
    <w:basedOn w:val="Normal"/>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6">
    <w:name w:val="xl126"/>
    <w:basedOn w:val="Normal"/>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7">
    <w:name w:val="xl127"/>
    <w:basedOn w:val="Normal"/>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8">
    <w:name w:val="xl128"/>
    <w:basedOn w:val="Normal"/>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29">
    <w:name w:val="xl129"/>
    <w:basedOn w:val="Normal"/>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30">
    <w:name w:val="xl130"/>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31">
    <w:name w:val="xl131"/>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32">
    <w:name w:val="xl132"/>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pPr>
    <w:rPr>
      <w:rFonts w:ascii="Futura Md BT" w:eastAsia="Times New Roman" w:hAnsi="Futura Md BT" w:cs="Tahoma"/>
      <w:sz w:val="16"/>
      <w:szCs w:val="16"/>
      <w:lang w:val="es-MX" w:eastAsia="en-US"/>
    </w:rPr>
  </w:style>
  <w:style w:type="paragraph" w:customStyle="1" w:styleId="xl133">
    <w:name w:val="xl133"/>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center"/>
    </w:pPr>
    <w:rPr>
      <w:rFonts w:ascii="Futura Lt BT" w:eastAsia="Times New Roman" w:hAnsi="Futura Lt BT" w:cs="Tahoma"/>
      <w:b/>
      <w:bCs/>
      <w:sz w:val="15"/>
      <w:szCs w:val="15"/>
      <w:lang w:val="es-MX" w:eastAsia="en-US"/>
    </w:rPr>
  </w:style>
  <w:style w:type="paragraph" w:customStyle="1" w:styleId="xl134">
    <w:name w:val="xl134"/>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5">
    <w:name w:val="xl135"/>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6">
    <w:name w:val="xl136"/>
    <w:basedOn w:val="Normal"/>
    <w:uiPriority w:val="99"/>
    <w:rsid w:val="001E3866"/>
    <w:pPr>
      <w:pBdr>
        <w:left w:val="single" w:sz="12" w:space="0" w:color="A7AAAD"/>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7">
    <w:name w:val="xl137"/>
    <w:basedOn w:val="Normal"/>
    <w:uiPriority w:val="99"/>
    <w:rsid w:val="001E3866"/>
    <w:pPr>
      <w:pBdr>
        <w:left w:val="single" w:sz="4" w:space="0" w:color="D8D8D8"/>
        <w:bottom w:val="single" w:sz="4" w:space="0" w:color="D8D8D8"/>
        <w:right w:val="single" w:sz="12" w:space="0" w:color="A7AAAD"/>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8">
    <w:name w:val="xl138"/>
    <w:basedOn w:val="Normal"/>
    <w:uiPriority w:val="99"/>
    <w:rsid w:val="001E3866"/>
    <w:pPr>
      <w:spacing w:before="100" w:beforeAutospacing="1" w:after="100" w:afterAutospacing="1"/>
      <w:jc w:val="both"/>
    </w:pPr>
    <w:rPr>
      <w:rFonts w:ascii="Futura Lt BT" w:eastAsia="Times New Roman" w:hAnsi="Futura Lt BT" w:cs="Tahoma"/>
      <w:sz w:val="18"/>
      <w:szCs w:val="18"/>
      <w:lang w:val="es-MX" w:eastAsia="en-US"/>
    </w:rPr>
  </w:style>
  <w:style w:type="paragraph" w:customStyle="1" w:styleId="xl139">
    <w:name w:val="xl139"/>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0">
    <w:name w:val="xl140"/>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1">
    <w:name w:val="xl141"/>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2">
    <w:name w:val="xl142"/>
    <w:basedOn w:val="Normal"/>
    <w:uiPriority w:val="99"/>
    <w:rsid w:val="001E3866"/>
    <w:pPr>
      <w:pBdr>
        <w:top w:val="single" w:sz="4" w:space="0" w:color="FFFFFF"/>
        <w:left w:val="single" w:sz="4" w:space="0" w:color="FFFFFF"/>
        <w:right w:val="single" w:sz="4" w:space="0" w:color="FFFFFF"/>
      </w:pBdr>
      <w:shd w:val="clear" w:color="000000" w:fill="A7AAAD"/>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3">
    <w:name w:val="xl143"/>
    <w:basedOn w:val="Normal"/>
    <w:uiPriority w:val="99"/>
    <w:rsid w:val="001E3866"/>
    <w:pPr>
      <w:pBdr>
        <w:left w:val="single" w:sz="4" w:space="0" w:color="FFFFFF"/>
        <w:right w:val="single" w:sz="4" w:space="0" w:color="FFFFFF"/>
      </w:pBdr>
      <w:shd w:val="clear" w:color="000000" w:fill="A7AAAD"/>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4">
    <w:name w:val="xl144"/>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45">
    <w:name w:val="xl145"/>
    <w:basedOn w:val="Normal"/>
    <w:uiPriority w:val="99"/>
    <w:rsid w:val="001E3866"/>
    <w:pPr>
      <w:pBdr>
        <w:top w:val="single" w:sz="12" w:space="0" w:color="A7AAAD"/>
      </w:pBdr>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6">
    <w:name w:val="xl146"/>
    <w:basedOn w:val="Normal"/>
    <w:uiPriority w:val="99"/>
    <w:rsid w:val="001E3866"/>
    <w:pPr>
      <w:pBdr>
        <w:top w:val="single" w:sz="12" w:space="0" w:color="A7AAAD"/>
        <w:right w:val="single" w:sz="12" w:space="0" w:color="A7AAAD"/>
      </w:pBdr>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7">
    <w:name w:val="xl147"/>
    <w:basedOn w:val="Normal"/>
    <w:uiPriority w:val="99"/>
    <w:rsid w:val="001E3866"/>
    <w:pPr>
      <w:pBdr>
        <w:left w:val="single" w:sz="12" w:space="0" w:color="A7AAAD"/>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48">
    <w:name w:val="xl148"/>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pPr>
    <w:rPr>
      <w:rFonts w:ascii="Futura Md BT" w:eastAsia="Times New Roman" w:hAnsi="Futura Md BT" w:cs="Tahoma"/>
      <w:sz w:val="16"/>
      <w:szCs w:val="16"/>
      <w:lang w:val="es-MX" w:eastAsia="en-US"/>
    </w:rPr>
  </w:style>
  <w:style w:type="paragraph" w:customStyle="1" w:styleId="xl63">
    <w:name w:val="xl63"/>
    <w:basedOn w:val="Normal"/>
    <w:rsid w:val="001E3866"/>
    <w:pPr>
      <w:pBdr>
        <w:left w:val="single" w:sz="12" w:space="0" w:color="A7AAAD"/>
      </w:pBdr>
      <w:shd w:val="clear" w:color="000000" w:fill="106334"/>
      <w:spacing w:before="100" w:beforeAutospacing="1" w:after="100" w:afterAutospacing="1"/>
      <w:jc w:val="both"/>
    </w:pPr>
    <w:rPr>
      <w:rFonts w:ascii="Futura Lt BT" w:eastAsia="Times New Roman" w:hAnsi="Futura Lt BT" w:cs="Tahoma"/>
      <w:b/>
      <w:bCs/>
      <w:color w:val="FFFFFF"/>
      <w:sz w:val="16"/>
      <w:szCs w:val="16"/>
      <w:lang w:val="es-MX" w:eastAsia="es-MX"/>
    </w:rPr>
  </w:style>
  <w:style w:type="paragraph" w:customStyle="1" w:styleId="xl64">
    <w:name w:val="xl64"/>
    <w:basedOn w:val="Normal"/>
    <w:rsid w:val="001E3866"/>
    <w:pPr>
      <w:shd w:val="clear" w:color="000000" w:fill="106334"/>
      <w:spacing w:before="100" w:beforeAutospacing="1" w:after="100" w:afterAutospacing="1"/>
      <w:jc w:val="center"/>
    </w:pPr>
    <w:rPr>
      <w:rFonts w:ascii="Futura Lt BT" w:eastAsia="Times New Roman" w:hAnsi="Futura Lt BT" w:cs="Tahoma"/>
      <w:b/>
      <w:bCs/>
      <w:color w:val="FFFFFF"/>
      <w:sz w:val="16"/>
      <w:szCs w:val="16"/>
      <w:lang w:val="es-MX" w:eastAsia="es-MX"/>
    </w:rPr>
  </w:style>
  <w:style w:type="paragraph" w:customStyle="1" w:styleId="xl496">
    <w:name w:val="xl496"/>
    <w:basedOn w:val="Normal"/>
    <w:uiPriority w:val="99"/>
    <w:rsid w:val="001E3866"/>
    <w:pPr>
      <w:spacing w:before="100" w:beforeAutospacing="1" w:after="100" w:afterAutospacing="1"/>
      <w:jc w:val="both"/>
    </w:pPr>
    <w:rPr>
      <w:rFonts w:ascii="Futura Lt BT" w:eastAsia="Times New Roman" w:hAnsi="Futura Lt BT" w:cs="Tahoma"/>
      <w:sz w:val="22"/>
      <w:szCs w:val="20"/>
      <w:lang w:val="es-MX" w:eastAsia="es-MX"/>
    </w:rPr>
  </w:style>
  <w:style w:type="paragraph" w:customStyle="1" w:styleId="xl497">
    <w:name w:val="xl497"/>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498">
    <w:name w:val="xl498"/>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499">
    <w:name w:val="xl499"/>
    <w:basedOn w:val="Normal"/>
    <w:uiPriority w:val="99"/>
    <w:rsid w:val="001E3866"/>
    <w:pPr>
      <w:spacing w:before="100" w:beforeAutospacing="1" w:after="100" w:afterAutospacing="1"/>
      <w:jc w:val="both"/>
    </w:pPr>
    <w:rPr>
      <w:rFonts w:ascii="Futura Lt BT" w:eastAsia="Times New Roman" w:hAnsi="Futura Lt BT" w:cs="Tahoma"/>
      <w:sz w:val="22"/>
      <w:szCs w:val="20"/>
      <w:lang w:val="es-MX" w:eastAsia="es-MX"/>
    </w:rPr>
  </w:style>
  <w:style w:type="paragraph" w:customStyle="1" w:styleId="xl500">
    <w:name w:val="xl500"/>
    <w:basedOn w:val="Normal"/>
    <w:uiPriority w:val="99"/>
    <w:rsid w:val="001E3866"/>
    <w:pPr>
      <w:spacing w:before="100" w:beforeAutospacing="1" w:after="100" w:afterAutospacing="1"/>
      <w:jc w:val="both"/>
    </w:pPr>
    <w:rPr>
      <w:rFonts w:ascii="Futura Md BT" w:eastAsia="Times New Roman" w:hAnsi="Futura Md BT" w:cs="Tahoma"/>
      <w:sz w:val="22"/>
      <w:szCs w:val="20"/>
      <w:lang w:val="es-MX" w:eastAsia="es-MX"/>
    </w:rPr>
  </w:style>
  <w:style w:type="paragraph" w:customStyle="1" w:styleId="xl501">
    <w:name w:val="xl501"/>
    <w:basedOn w:val="Normal"/>
    <w:uiPriority w:val="99"/>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s-MX"/>
    </w:rPr>
  </w:style>
  <w:style w:type="paragraph" w:customStyle="1" w:styleId="xl502">
    <w:name w:val="xl502"/>
    <w:basedOn w:val="Normal"/>
    <w:uiPriority w:val="99"/>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s-MX"/>
    </w:rPr>
  </w:style>
  <w:style w:type="paragraph" w:customStyle="1" w:styleId="xl503">
    <w:name w:val="xl503"/>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s-MX"/>
    </w:rPr>
  </w:style>
  <w:style w:type="paragraph" w:customStyle="1" w:styleId="xl504">
    <w:name w:val="xl504"/>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05">
    <w:name w:val="xl505"/>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textAlignment w:val="center"/>
    </w:pPr>
    <w:rPr>
      <w:rFonts w:ascii="Futura Lt BT" w:eastAsia="Times New Roman" w:hAnsi="Futura Lt BT" w:cs="Tahoma"/>
      <w:sz w:val="16"/>
      <w:szCs w:val="16"/>
      <w:lang w:val="es-MX" w:eastAsia="es-MX"/>
    </w:rPr>
  </w:style>
  <w:style w:type="paragraph" w:customStyle="1" w:styleId="xl506">
    <w:name w:val="xl506"/>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07">
    <w:name w:val="xl507"/>
    <w:basedOn w:val="Normal"/>
    <w:uiPriority w:val="99"/>
    <w:rsid w:val="001E3866"/>
    <w:pPr>
      <w:pBdr>
        <w:top w:val="single" w:sz="4" w:space="0" w:color="D8D8D8"/>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08">
    <w:name w:val="xl508"/>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09">
    <w:name w:val="xl509"/>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10">
    <w:name w:val="xl510"/>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pPr>
    <w:rPr>
      <w:rFonts w:ascii="Futura Lt BT" w:eastAsia="Times New Roman" w:hAnsi="Futura Lt BT" w:cs="Tahoma"/>
      <w:sz w:val="16"/>
      <w:szCs w:val="16"/>
      <w:lang w:val="es-MX" w:eastAsia="es-MX"/>
    </w:rPr>
  </w:style>
  <w:style w:type="paragraph" w:customStyle="1" w:styleId="xl511">
    <w:name w:val="xl511"/>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2">
    <w:name w:val="xl512"/>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3">
    <w:name w:val="xl513"/>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14">
    <w:name w:val="xl514"/>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15">
    <w:name w:val="xl515"/>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6">
    <w:name w:val="xl516"/>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7">
    <w:name w:val="xl517"/>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8">
    <w:name w:val="xl518"/>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9">
    <w:name w:val="xl519"/>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20">
    <w:name w:val="xl520"/>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pPr>
    <w:rPr>
      <w:rFonts w:ascii="Futura Lt BT" w:eastAsia="Times New Roman" w:hAnsi="Futura Lt BT" w:cs="Tahoma"/>
      <w:sz w:val="16"/>
      <w:szCs w:val="16"/>
      <w:lang w:val="es-MX" w:eastAsia="es-MX"/>
    </w:rPr>
  </w:style>
  <w:style w:type="paragraph" w:customStyle="1" w:styleId="xl521">
    <w:name w:val="xl521"/>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sz w:val="16"/>
      <w:szCs w:val="16"/>
      <w:lang w:val="es-MX" w:eastAsia="es-MX"/>
    </w:rPr>
  </w:style>
  <w:style w:type="paragraph" w:customStyle="1" w:styleId="xl522">
    <w:name w:val="xl522"/>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23">
    <w:name w:val="xl523"/>
    <w:basedOn w:val="Normal"/>
    <w:uiPriority w:val="99"/>
    <w:rsid w:val="001E3866"/>
    <w:pPr>
      <w:pBdr>
        <w:top w:val="single" w:sz="4" w:space="0" w:color="D8D8D8"/>
        <w:left w:val="single" w:sz="12" w:space="0" w:color="A7AAAD"/>
        <w:bottom w:val="single" w:sz="12" w:space="0" w:color="A7AAAD"/>
        <w:right w:val="single" w:sz="4" w:space="0" w:color="D8D8D8"/>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24">
    <w:name w:val="xl524"/>
    <w:basedOn w:val="Normal"/>
    <w:uiPriority w:val="99"/>
    <w:rsid w:val="001E3866"/>
    <w:pPr>
      <w:pBdr>
        <w:top w:val="single" w:sz="4" w:space="0" w:color="D8D8D8"/>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5">
    <w:name w:val="xl525"/>
    <w:basedOn w:val="Normal"/>
    <w:uiPriority w:val="99"/>
    <w:rsid w:val="001E3866"/>
    <w:pPr>
      <w:pBdr>
        <w:top w:val="single" w:sz="4" w:space="0" w:color="D8D8D8"/>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6">
    <w:name w:val="xl526"/>
    <w:basedOn w:val="Normal"/>
    <w:uiPriority w:val="99"/>
    <w:rsid w:val="001E3866"/>
    <w:pPr>
      <w:pBdr>
        <w:top w:val="single" w:sz="4" w:space="0" w:color="D8D8D8"/>
        <w:left w:val="single" w:sz="4" w:space="0" w:color="D8D8D8"/>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7">
    <w:name w:val="xl527"/>
    <w:basedOn w:val="Normal"/>
    <w:uiPriority w:val="99"/>
    <w:rsid w:val="001E3866"/>
    <w:pPr>
      <w:pBdr>
        <w:top w:val="single" w:sz="4" w:space="0" w:color="D8D8D8"/>
        <w:left w:val="single" w:sz="4" w:space="0" w:color="D8D8D8"/>
        <w:bottom w:val="single" w:sz="4" w:space="0" w:color="D8D8D8"/>
        <w:right w:val="single" w:sz="12" w:space="0" w:color="A7AAAD"/>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8">
    <w:name w:val="xl528"/>
    <w:basedOn w:val="Normal"/>
    <w:uiPriority w:val="99"/>
    <w:rsid w:val="001E3866"/>
    <w:pPr>
      <w:pBdr>
        <w:top w:val="single" w:sz="4" w:space="0" w:color="D8D8D8"/>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29">
    <w:name w:val="xl529"/>
    <w:basedOn w:val="Normal"/>
    <w:uiPriority w:val="99"/>
    <w:rsid w:val="001E3866"/>
    <w:pPr>
      <w:pBdr>
        <w:top w:val="single" w:sz="4" w:space="0" w:color="D8D8D8"/>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30">
    <w:name w:val="xl530"/>
    <w:basedOn w:val="Normal"/>
    <w:uiPriority w:val="99"/>
    <w:rsid w:val="001E3866"/>
    <w:pPr>
      <w:pBdr>
        <w:top w:val="single" w:sz="4" w:space="0" w:color="D8D8D8"/>
        <w:left w:val="single" w:sz="4" w:space="0" w:color="D8D8D8"/>
        <w:bottom w:val="single" w:sz="12" w:space="0" w:color="A7AAAD"/>
        <w:right w:val="single" w:sz="4" w:space="0" w:color="D8D8D8"/>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31">
    <w:name w:val="xl531"/>
    <w:basedOn w:val="Normal"/>
    <w:uiPriority w:val="99"/>
    <w:rsid w:val="001E3866"/>
    <w:pPr>
      <w:pBdr>
        <w:top w:val="single" w:sz="4" w:space="0" w:color="D8D8D8"/>
        <w:left w:val="single" w:sz="4" w:space="0" w:color="D8D8D8"/>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32">
    <w:name w:val="xl532"/>
    <w:basedOn w:val="Normal"/>
    <w:uiPriority w:val="99"/>
    <w:rsid w:val="001E3866"/>
    <w:pPr>
      <w:pBdr>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3">
    <w:name w:val="xl533"/>
    <w:basedOn w:val="Normal"/>
    <w:uiPriority w:val="99"/>
    <w:rsid w:val="001E3866"/>
    <w:pPr>
      <w:pBdr>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4">
    <w:name w:val="xl534"/>
    <w:basedOn w:val="Normal"/>
    <w:uiPriority w:val="99"/>
    <w:rsid w:val="001E3866"/>
    <w:pPr>
      <w:pBdr>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5">
    <w:name w:val="xl535"/>
    <w:basedOn w:val="Normal"/>
    <w:uiPriority w:val="99"/>
    <w:rsid w:val="001E3866"/>
    <w:pPr>
      <w:pBdr>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6">
    <w:name w:val="xl536"/>
    <w:basedOn w:val="Normal"/>
    <w:uiPriority w:val="99"/>
    <w:rsid w:val="001E3866"/>
    <w:pPr>
      <w:pBdr>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37">
    <w:name w:val="xl537"/>
    <w:basedOn w:val="Normal"/>
    <w:uiPriority w:val="99"/>
    <w:rsid w:val="001E3866"/>
    <w:pPr>
      <w:pBdr>
        <w:left w:val="single" w:sz="4" w:space="0" w:color="D8D8D8"/>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8">
    <w:name w:val="xl538"/>
    <w:basedOn w:val="Normal"/>
    <w:uiPriority w:val="99"/>
    <w:rsid w:val="001E3866"/>
    <w:pPr>
      <w:pBdr>
        <w:left w:val="single" w:sz="4" w:space="0" w:color="D8D8D8"/>
        <w:bottom w:val="single" w:sz="4" w:space="0" w:color="D8D8D8"/>
        <w:right w:val="single" w:sz="12" w:space="0" w:color="A7AAAD"/>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9">
    <w:name w:val="xl539"/>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0">
    <w:name w:val="xl540"/>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1">
    <w:name w:val="xl541"/>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2">
    <w:name w:val="xl542"/>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3">
    <w:name w:val="xl543"/>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4">
    <w:name w:val="xl544"/>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5">
    <w:name w:val="xl545"/>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16"/>
      <w:szCs w:val="16"/>
      <w:lang w:val="es-MX" w:eastAsia="es-MX"/>
    </w:rPr>
  </w:style>
  <w:style w:type="paragraph" w:customStyle="1" w:styleId="xl149">
    <w:name w:val="xl149"/>
    <w:basedOn w:val="Normal"/>
    <w:uiPriority w:val="99"/>
    <w:rsid w:val="001E3866"/>
    <w:pPr>
      <w:pBdr>
        <w:top w:val="single" w:sz="12" w:space="0" w:color="A7AAAD"/>
      </w:pBd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0">
    <w:name w:val="xl150"/>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1">
    <w:name w:val="xl151"/>
    <w:basedOn w:val="Normal"/>
    <w:uiPriority w:val="99"/>
    <w:rsid w:val="001E3866"/>
    <w:pPr>
      <w:pBdr>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2">
    <w:name w:val="xl152"/>
    <w:basedOn w:val="Normal"/>
    <w:uiPriority w:val="99"/>
    <w:rsid w:val="001E3866"/>
    <w:pP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3">
    <w:name w:val="xl153"/>
    <w:basedOn w:val="Normal"/>
    <w:uiPriority w:val="99"/>
    <w:rsid w:val="001E3866"/>
    <w:pPr>
      <w:pBdr>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4">
    <w:name w:val="xl154"/>
    <w:basedOn w:val="Normal"/>
    <w:uiPriority w:val="99"/>
    <w:rsid w:val="001E3866"/>
    <w:pP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5">
    <w:name w:val="xl155"/>
    <w:basedOn w:val="Normal"/>
    <w:uiPriority w:val="99"/>
    <w:rsid w:val="001E3866"/>
    <w:pP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6">
    <w:name w:val="xl156"/>
    <w:basedOn w:val="Normal"/>
    <w:uiPriority w:val="99"/>
    <w:rsid w:val="001E3866"/>
    <w:pPr>
      <w:pBdr>
        <w:top w:val="single" w:sz="12" w:space="0" w:color="A7AAAD"/>
      </w:pBd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7">
    <w:name w:val="xl157"/>
    <w:basedOn w:val="Normal"/>
    <w:uiPriority w:val="99"/>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Futura Lt BT" w:eastAsia="Times New Roman" w:hAnsi="Futura Lt BT" w:cs="Tahoma"/>
      <w:b/>
      <w:bCs/>
      <w:sz w:val="20"/>
      <w:szCs w:val="20"/>
      <w:lang w:val="es-MX" w:eastAsia="es-MX"/>
    </w:rPr>
  </w:style>
  <w:style w:type="paragraph" w:customStyle="1" w:styleId="xl158">
    <w:name w:val="xl158"/>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Futura Lt BT" w:eastAsia="Times New Roman" w:hAnsi="Futura Lt BT" w:cs="Tahoma"/>
      <w:b/>
      <w:bCs/>
      <w:sz w:val="20"/>
      <w:szCs w:val="20"/>
      <w:lang w:val="es-MX" w:eastAsia="es-MX"/>
    </w:rPr>
  </w:style>
  <w:style w:type="paragraph" w:customStyle="1" w:styleId="xl159">
    <w:name w:val="xl159"/>
    <w:basedOn w:val="Normal"/>
    <w:uiPriority w:val="99"/>
    <w:rsid w:val="001E3866"/>
    <w:pPr>
      <w:pBdr>
        <w:top w:val="single" w:sz="4" w:space="0" w:color="FFFFFF"/>
        <w:left w:val="single" w:sz="4" w:space="0" w:color="FFFFFF"/>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0">
    <w:name w:val="xl160"/>
    <w:basedOn w:val="Normal"/>
    <w:uiPriority w:val="99"/>
    <w:rsid w:val="001E3866"/>
    <w:pPr>
      <w:pBdr>
        <w:top w:val="single" w:sz="4" w:space="0" w:color="FFFFFF"/>
        <w:left w:val="single" w:sz="4" w:space="0" w:color="FFFFFF"/>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1">
    <w:name w:val="xl161"/>
    <w:basedOn w:val="Normal"/>
    <w:uiPriority w:val="99"/>
    <w:rsid w:val="001E3866"/>
    <w:pPr>
      <w:pBdr>
        <w:top w:val="single" w:sz="4" w:space="0" w:color="FFFFFF"/>
        <w:left w:val="single" w:sz="12" w:space="0" w:color="A7AAAD"/>
        <w:bottom w:val="single" w:sz="4" w:space="0" w:color="FFFFFF"/>
        <w:right w:val="single" w:sz="4" w:space="0" w:color="FFFFFF"/>
      </w:pBdr>
      <w:shd w:val="clear" w:color="000000" w:fill="EBF5DF"/>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2">
    <w:name w:val="xl162"/>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Md BT" w:eastAsia="Times New Roman" w:hAnsi="Futura Md BT" w:cs="Tahoma"/>
      <w:color w:val="000000"/>
      <w:sz w:val="20"/>
      <w:szCs w:val="20"/>
      <w:lang w:val="es-MX" w:eastAsia="es-MX"/>
    </w:rPr>
  </w:style>
  <w:style w:type="paragraph" w:customStyle="1" w:styleId="xl163">
    <w:name w:val="xl163"/>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4">
    <w:name w:val="xl164"/>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Lt BT" w:eastAsia="Times New Roman" w:hAnsi="Futura Lt BT" w:cs="Tahoma"/>
      <w:b/>
      <w:bCs/>
      <w:color w:val="000000"/>
      <w:sz w:val="20"/>
      <w:szCs w:val="20"/>
      <w:lang w:val="es-MX" w:eastAsia="es-MX"/>
    </w:rPr>
  </w:style>
  <w:style w:type="paragraph" w:customStyle="1" w:styleId="xl165">
    <w:name w:val="xl165"/>
    <w:basedOn w:val="Normal"/>
    <w:uiPriority w:val="99"/>
    <w:rsid w:val="001E3866"/>
    <w:pPr>
      <w:pBdr>
        <w:top w:val="single" w:sz="4" w:space="0" w:color="FFFFFF"/>
        <w:left w:val="single" w:sz="12" w:space="0" w:color="A7AAAD"/>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6">
    <w:name w:val="xl166"/>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7">
    <w:name w:val="xl167"/>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8">
    <w:name w:val="xl168"/>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9">
    <w:name w:val="xl169"/>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0">
    <w:name w:val="xl170"/>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1">
    <w:name w:val="xl171"/>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2">
    <w:name w:val="xl172"/>
    <w:basedOn w:val="Normal"/>
    <w:uiPriority w:val="99"/>
    <w:rsid w:val="001E3866"/>
    <w:pPr>
      <w:pBdr>
        <w:left w:val="single" w:sz="12" w:space="0" w:color="A7AAAD"/>
        <w:bottom w:val="single" w:sz="4" w:space="0" w:color="FFFFFF"/>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3">
    <w:name w:val="xl173"/>
    <w:basedOn w:val="Normal"/>
    <w:uiPriority w:val="99"/>
    <w:rsid w:val="001E3866"/>
    <w:pPr>
      <w:pBdr>
        <w:bottom w:val="single" w:sz="4" w:space="0" w:color="FFFFFF"/>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4">
    <w:name w:val="xl174"/>
    <w:basedOn w:val="Normal"/>
    <w:uiPriority w:val="99"/>
    <w:rsid w:val="001E3866"/>
    <w:pPr>
      <w:pBdr>
        <w:bottom w:val="single" w:sz="4" w:space="0" w:color="FFFFFF"/>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5">
    <w:name w:val="xl175"/>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176">
    <w:name w:val="xl176"/>
    <w:basedOn w:val="Normal"/>
    <w:uiPriority w:val="99"/>
    <w:rsid w:val="001E3866"/>
    <w:pPr>
      <w:pBdr>
        <w:top w:val="single" w:sz="4" w:space="0" w:color="FFFFFF"/>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table" w:styleId="Listaclara-nfasis4">
    <w:name w:val="Light List Accent 4"/>
    <w:basedOn w:val="Tablanormal"/>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xl631">
    <w:name w:val="xl631"/>
    <w:basedOn w:val="Normal"/>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2">
    <w:name w:val="xl632"/>
    <w:basedOn w:val="Normal"/>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3">
    <w:name w:val="xl633"/>
    <w:basedOn w:val="Normal"/>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4">
    <w:name w:val="xl634"/>
    <w:basedOn w:val="Normal"/>
    <w:rsid w:val="001E3866"/>
    <w:pPr>
      <w:pBdr>
        <w:lef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5">
    <w:name w:val="xl635"/>
    <w:basedOn w:val="Normal"/>
    <w:rsid w:val="001E3866"/>
    <w:pP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6">
    <w:name w:val="xl636"/>
    <w:basedOn w:val="Normal"/>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7">
    <w:name w:val="xl637"/>
    <w:basedOn w:val="Normal"/>
    <w:rsid w:val="001E3866"/>
    <w:pPr>
      <w:pBdr>
        <w:top w:val="single" w:sz="4" w:space="0" w:color="FFFFFF"/>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38">
    <w:name w:val="xl638"/>
    <w:basedOn w:val="Normal"/>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39">
    <w:name w:val="xl639"/>
    <w:basedOn w:val="Normal"/>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40">
    <w:name w:val="xl640"/>
    <w:basedOn w:val="Normal"/>
    <w:rsid w:val="001E3866"/>
    <w:pPr>
      <w:pBdr>
        <w:top w:val="single" w:sz="4" w:space="0" w:color="FFFFFF"/>
        <w:left w:val="single" w:sz="12" w:space="0" w:color="A7AAAD"/>
        <w:bottom w:val="single" w:sz="4" w:space="0" w:color="FFFFFF"/>
        <w:right w:val="single" w:sz="4" w:space="0" w:color="FFFFFF"/>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1">
    <w:name w:val="xl641"/>
    <w:basedOn w:val="Normal"/>
    <w:rsid w:val="001E3866"/>
    <w:pPr>
      <w:pBdr>
        <w:top w:val="single" w:sz="4" w:space="0" w:color="FFFFFF"/>
        <w:left w:val="single" w:sz="4" w:space="0" w:color="FFFFFF"/>
        <w:bottom w:val="single" w:sz="4" w:space="0" w:color="FFFFFF"/>
        <w:right w:val="single" w:sz="4" w:space="0" w:color="FFFFFF"/>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2">
    <w:name w:val="xl642"/>
    <w:basedOn w:val="Normal"/>
    <w:rsid w:val="001E3866"/>
    <w:pPr>
      <w:pBdr>
        <w:top w:val="single" w:sz="4" w:space="0" w:color="FFFFFF"/>
        <w:left w:val="single" w:sz="4" w:space="0" w:color="FFFFFF"/>
        <w:bottom w:val="single" w:sz="4" w:space="0" w:color="FFFFFF"/>
        <w:right w:val="single" w:sz="12" w:space="0" w:color="A7AAAD"/>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3">
    <w:name w:val="xl643"/>
    <w:basedOn w:val="Normal"/>
    <w:rsid w:val="001E3866"/>
    <w:pPr>
      <w:pBdr>
        <w:top w:val="single" w:sz="4" w:space="0" w:color="FFFFFF"/>
        <w:left w:val="single" w:sz="12" w:space="0" w:color="A7AAAD"/>
        <w:bottom w:val="single" w:sz="4" w:space="0" w:color="FFFFFF"/>
        <w:right w:val="single" w:sz="4" w:space="0" w:color="FFFFFF"/>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4">
    <w:name w:val="xl644"/>
    <w:basedOn w:val="Normal"/>
    <w:rsid w:val="001E3866"/>
    <w:pPr>
      <w:pBdr>
        <w:top w:val="single" w:sz="4" w:space="0" w:color="FFFFFF"/>
        <w:left w:val="single" w:sz="4" w:space="0" w:color="FFFFFF"/>
        <w:bottom w:val="single" w:sz="4" w:space="0" w:color="FFFFFF"/>
        <w:right w:val="single" w:sz="4" w:space="0" w:color="FFFFFF"/>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5">
    <w:name w:val="xl645"/>
    <w:basedOn w:val="Normal"/>
    <w:rsid w:val="001E3866"/>
    <w:pPr>
      <w:pBdr>
        <w:top w:val="single" w:sz="4" w:space="0" w:color="FFFFFF"/>
        <w:left w:val="single" w:sz="4" w:space="0" w:color="FFFFFF"/>
        <w:bottom w:val="single" w:sz="4" w:space="0" w:color="FFFFFF"/>
        <w:right w:val="single" w:sz="12" w:space="0" w:color="A7AAAD"/>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6">
    <w:name w:val="xl646"/>
    <w:basedOn w:val="Normal"/>
    <w:rsid w:val="001E3866"/>
    <w:pPr>
      <w:pBdr>
        <w:top w:val="single" w:sz="4" w:space="0" w:color="FFFFFF"/>
        <w:left w:val="single" w:sz="12" w:space="14" w:color="A7AAAD"/>
        <w:bottom w:val="single" w:sz="4" w:space="0" w:color="FFFFFF"/>
        <w:right w:val="single" w:sz="4" w:space="0" w:color="FFFFFF"/>
      </w:pBdr>
      <w:spacing w:before="100" w:beforeAutospacing="1" w:after="100" w:afterAutospacing="1"/>
      <w:ind w:firstLineChars="100" w:firstLine="100"/>
      <w:jc w:val="both"/>
    </w:pPr>
    <w:rPr>
      <w:rFonts w:ascii="Arial Narrow" w:eastAsia="Times New Roman" w:hAnsi="Arial Narrow" w:cs="Tahoma"/>
      <w:b/>
      <w:bCs/>
      <w:sz w:val="20"/>
      <w:szCs w:val="20"/>
      <w:lang w:val="es-MX" w:eastAsia="es-MX"/>
    </w:rPr>
  </w:style>
  <w:style w:type="paragraph" w:customStyle="1" w:styleId="xl647">
    <w:name w:val="xl647"/>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8">
    <w:name w:val="xl648"/>
    <w:basedOn w:val="Normal"/>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9">
    <w:name w:val="xl649"/>
    <w:basedOn w:val="Normal"/>
    <w:rsid w:val="001E3866"/>
    <w:pPr>
      <w:pBdr>
        <w:top w:val="single" w:sz="4" w:space="0" w:color="FFFFFF"/>
        <w:left w:val="single" w:sz="12" w:space="28" w:color="A7AAAD"/>
        <w:bottom w:val="single" w:sz="4" w:space="0" w:color="FFFFFF"/>
        <w:right w:val="single" w:sz="4" w:space="0" w:color="FFFFFF"/>
      </w:pBdr>
      <w:spacing w:before="100" w:beforeAutospacing="1" w:after="100" w:afterAutospacing="1"/>
      <w:ind w:firstLineChars="200" w:firstLine="200"/>
      <w:jc w:val="both"/>
    </w:pPr>
    <w:rPr>
      <w:rFonts w:ascii="Arial Narrow" w:eastAsia="Times New Roman" w:hAnsi="Arial Narrow" w:cs="Tahoma"/>
      <w:sz w:val="20"/>
      <w:szCs w:val="20"/>
      <w:lang w:val="es-MX" w:eastAsia="es-MX"/>
    </w:rPr>
  </w:style>
  <w:style w:type="paragraph" w:customStyle="1" w:styleId="xl650">
    <w:name w:val="xl65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51">
    <w:name w:val="xl651"/>
    <w:basedOn w:val="Normal"/>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52">
    <w:name w:val="xl652"/>
    <w:basedOn w:val="Normal"/>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Arial Narrow" w:eastAsia="Times New Roman" w:hAnsi="Arial Narrow" w:cs="Tahoma"/>
      <w:b/>
      <w:bCs/>
      <w:sz w:val="20"/>
      <w:szCs w:val="20"/>
      <w:lang w:val="es-MX" w:eastAsia="es-MX"/>
    </w:rPr>
  </w:style>
  <w:style w:type="paragraph" w:customStyle="1" w:styleId="xl653">
    <w:name w:val="xl653"/>
    <w:basedOn w:val="Normal"/>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400" w:firstLine="400"/>
      <w:jc w:val="both"/>
    </w:pPr>
    <w:rPr>
      <w:rFonts w:ascii="Arial Narrow" w:eastAsia="Times New Roman" w:hAnsi="Arial Narrow" w:cs="Tahoma"/>
      <w:sz w:val="20"/>
      <w:szCs w:val="20"/>
      <w:lang w:val="es-MX" w:eastAsia="es-MX"/>
    </w:rPr>
  </w:style>
  <w:style w:type="paragraph" w:customStyle="1" w:styleId="xl654">
    <w:name w:val="xl654"/>
    <w:basedOn w:val="Normal"/>
    <w:rsid w:val="001E3866"/>
    <w:pPr>
      <w:pBdr>
        <w:top w:val="single" w:sz="4" w:space="0" w:color="FFFFFF"/>
        <w:left w:val="single" w:sz="12" w:space="0" w:color="A7AAAD"/>
        <w:bottom w:val="single" w:sz="4" w:space="0" w:color="FFFFFF"/>
        <w:right w:val="single" w:sz="4" w:space="0" w:color="FFFFFF"/>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5">
    <w:name w:val="xl655"/>
    <w:basedOn w:val="Normal"/>
    <w:rsid w:val="001E3866"/>
    <w:pPr>
      <w:pBdr>
        <w:top w:val="single" w:sz="4" w:space="0" w:color="FFFFFF"/>
        <w:left w:val="single" w:sz="4" w:space="0" w:color="FFFFFF"/>
        <w:bottom w:val="single" w:sz="4" w:space="0" w:color="FFFFFF"/>
        <w:right w:val="single" w:sz="4" w:space="0" w:color="FFFFFF"/>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6">
    <w:name w:val="xl656"/>
    <w:basedOn w:val="Normal"/>
    <w:rsid w:val="001E3866"/>
    <w:pPr>
      <w:pBdr>
        <w:top w:val="single" w:sz="4" w:space="0" w:color="FFFFFF"/>
        <w:left w:val="single" w:sz="4" w:space="0" w:color="FFFFFF"/>
        <w:bottom w:val="single" w:sz="4" w:space="0" w:color="FFFFFF"/>
        <w:right w:val="single" w:sz="12" w:space="0" w:color="A7AAAD"/>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7">
    <w:name w:val="xl657"/>
    <w:basedOn w:val="Normal"/>
    <w:rsid w:val="001E3866"/>
    <w:pPr>
      <w:pBdr>
        <w:top w:val="single" w:sz="4" w:space="0" w:color="FFFFFF"/>
        <w:left w:val="single" w:sz="12" w:space="0" w:color="A7AAAD"/>
        <w:bottom w:val="single" w:sz="12" w:space="0" w:color="A7AAAD"/>
        <w:right w:val="single" w:sz="4" w:space="0" w:color="FFFFFF"/>
      </w:pBdr>
      <w:shd w:val="clear" w:color="000000" w:fill="B8D88A"/>
      <w:spacing w:before="100" w:beforeAutospacing="1" w:after="100" w:afterAutospacing="1"/>
      <w:jc w:val="both"/>
      <w:textAlignment w:val="top"/>
    </w:pPr>
    <w:rPr>
      <w:rFonts w:ascii="Futura Md BT" w:eastAsia="Times New Roman" w:hAnsi="Futura Md BT" w:cs="Tahoma"/>
      <w:sz w:val="20"/>
      <w:szCs w:val="20"/>
      <w:lang w:val="es-MX" w:eastAsia="es-MX"/>
    </w:rPr>
  </w:style>
  <w:style w:type="paragraph" w:customStyle="1" w:styleId="xl658">
    <w:name w:val="xl658"/>
    <w:basedOn w:val="Normal"/>
    <w:rsid w:val="001E3866"/>
    <w:pPr>
      <w:pBdr>
        <w:top w:val="single" w:sz="4" w:space="0" w:color="FFFFFF"/>
        <w:left w:val="single" w:sz="4" w:space="0" w:color="FFFFFF"/>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659">
    <w:name w:val="xl659"/>
    <w:basedOn w:val="Normal"/>
    <w:uiPriority w:val="99"/>
    <w:rsid w:val="001E3866"/>
    <w:pPr>
      <w:pBdr>
        <w:top w:val="single" w:sz="4" w:space="0" w:color="FFFFFF"/>
        <w:left w:val="single" w:sz="4" w:space="0" w:color="FFFFFF"/>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character" w:customStyle="1" w:styleId="hoja2bb">
    <w:name w:val="hoja2bb"/>
    <w:rsid w:val="001E3866"/>
  </w:style>
  <w:style w:type="paragraph" w:customStyle="1" w:styleId="Pa5">
    <w:name w:val="Pa5"/>
    <w:basedOn w:val="Default"/>
    <w:next w:val="Default"/>
    <w:uiPriority w:val="99"/>
    <w:rsid w:val="001E3866"/>
    <w:pPr>
      <w:spacing w:line="241" w:lineRule="atLeast"/>
    </w:pPr>
    <w:rPr>
      <w:rFonts w:ascii="Century Gothic" w:hAnsi="Century Gothic" w:cs="Times New Roman"/>
      <w:color w:val="auto"/>
    </w:rPr>
  </w:style>
  <w:style w:type="paragraph" w:customStyle="1" w:styleId="xl660">
    <w:name w:val="xl660"/>
    <w:basedOn w:val="Normal"/>
    <w:uiPriority w:val="99"/>
    <w:rsid w:val="001E3866"/>
    <w:pP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61">
    <w:name w:val="xl661"/>
    <w:basedOn w:val="Normal"/>
    <w:uiPriority w:val="99"/>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2">
    <w:name w:val="xl662"/>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3">
    <w:name w:val="xl663"/>
    <w:basedOn w:val="Normal"/>
    <w:uiPriority w:val="99"/>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4">
    <w:name w:val="xl664"/>
    <w:basedOn w:val="Normal"/>
    <w:uiPriority w:val="99"/>
    <w:rsid w:val="001E3866"/>
    <w:pPr>
      <w:pBdr>
        <w:top w:val="single" w:sz="4" w:space="0" w:color="FFFFFF"/>
        <w:left w:val="single" w:sz="12" w:space="16" w:color="A7AAAD"/>
        <w:bottom w:val="single" w:sz="4" w:space="0" w:color="FFFFFF"/>
        <w:right w:val="single" w:sz="4" w:space="0" w:color="FFFFFF"/>
      </w:pBdr>
      <w:spacing w:before="100" w:beforeAutospacing="1" w:after="100" w:afterAutospacing="1"/>
      <w:ind w:firstLineChars="100" w:firstLine="100"/>
      <w:jc w:val="both"/>
    </w:pPr>
    <w:rPr>
      <w:rFonts w:ascii="Futura Md BT" w:eastAsia="Times New Roman" w:hAnsi="Futura Md BT" w:cs="Tahoma"/>
      <w:sz w:val="20"/>
      <w:szCs w:val="20"/>
      <w:lang w:val="es-MX" w:eastAsia="es-MX"/>
    </w:rPr>
  </w:style>
  <w:style w:type="paragraph" w:customStyle="1" w:styleId="xl665">
    <w:name w:val="xl665"/>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Arial Narrow" w:eastAsia="Times New Roman" w:hAnsi="Arial Narrow" w:cs="Tahoma"/>
      <w:sz w:val="20"/>
      <w:szCs w:val="20"/>
      <w:lang w:val="es-MX" w:eastAsia="es-MX"/>
    </w:rPr>
  </w:style>
  <w:style w:type="paragraph" w:customStyle="1" w:styleId="xl666">
    <w:name w:val="xl666"/>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500" w:firstLine="500"/>
      <w:jc w:val="both"/>
    </w:pPr>
    <w:rPr>
      <w:rFonts w:ascii="Arial Narrow" w:eastAsia="Times New Roman" w:hAnsi="Arial Narrow" w:cs="Tahoma"/>
      <w:sz w:val="20"/>
      <w:szCs w:val="20"/>
      <w:lang w:val="es-MX" w:eastAsia="es-MX"/>
    </w:rPr>
  </w:style>
  <w:style w:type="paragraph" w:customStyle="1" w:styleId="xl667">
    <w:name w:val="xl667"/>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Futura Md BT" w:eastAsia="Times New Roman" w:hAnsi="Futura Md BT" w:cs="Tahoma"/>
      <w:b/>
      <w:bCs/>
      <w:sz w:val="20"/>
      <w:szCs w:val="20"/>
      <w:lang w:val="es-MX" w:eastAsia="es-MX"/>
    </w:rPr>
  </w:style>
  <w:style w:type="paragraph" w:customStyle="1" w:styleId="xl668">
    <w:name w:val="xl668"/>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Futura Md BT" w:eastAsia="Times New Roman" w:hAnsi="Futura Md BT" w:cs="Tahoma"/>
      <w:b/>
      <w:bCs/>
      <w:sz w:val="20"/>
      <w:szCs w:val="20"/>
      <w:lang w:val="es-MX" w:eastAsia="es-MX"/>
    </w:rPr>
  </w:style>
  <w:style w:type="paragraph" w:customStyle="1" w:styleId="xl669">
    <w:name w:val="xl669"/>
    <w:basedOn w:val="Normal"/>
    <w:uiPriority w:val="99"/>
    <w:rsid w:val="001E3866"/>
    <w:pPr>
      <w:spacing w:before="100" w:beforeAutospacing="1" w:after="100" w:afterAutospacing="1"/>
      <w:jc w:val="both"/>
    </w:pPr>
    <w:rPr>
      <w:rFonts w:eastAsia="Times New Roman" w:cs="Arial"/>
      <w:color w:val="5A5A5A"/>
      <w:sz w:val="22"/>
      <w:szCs w:val="20"/>
      <w:lang w:val="es-MX" w:eastAsia="es-MX"/>
    </w:rPr>
  </w:style>
  <w:style w:type="paragraph" w:customStyle="1" w:styleId="xl670">
    <w:name w:val="xl670"/>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color w:val="5A5A5A"/>
      <w:sz w:val="20"/>
      <w:szCs w:val="20"/>
      <w:lang w:val="es-MX" w:eastAsia="es-MX"/>
    </w:rPr>
  </w:style>
  <w:style w:type="paragraph" w:customStyle="1" w:styleId="xl671">
    <w:name w:val="xl671"/>
    <w:basedOn w:val="Normal"/>
    <w:uiPriority w:val="99"/>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color w:val="5A5A5A"/>
      <w:sz w:val="20"/>
      <w:szCs w:val="20"/>
      <w:lang w:val="es-MX" w:eastAsia="es-MX"/>
    </w:rPr>
  </w:style>
  <w:style w:type="paragraph" w:customStyle="1" w:styleId="xl672">
    <w:name w:val="xl672"/>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500" w:firstLine="500"/>
      <w:jc w:val="both"/>
    </w:pPr>
    <w:rPr>
      <w:rFonts w:ascii="Arial Narrow" w:eastAsia="Times New Roman" w:hAnsi="Arial Narrow" w:cs="Tahoma"/>
      <w:color w:val="5A5A5A"/>
      <w:sz w:val="20"/>
      <w:szCs w:val="20"/>
      <w:lang w:val="es-MX" w:eastAsia="es-MX"/>
    </w:rPr>
  </w:style>
  <w:style w:type="paragraph" w:customStyle="1" w:styleId="xl673">
    <w:name w:val="xl673"/>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4">
    <w:name w:val="xl674"/>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5">
    <w:name w:val="xl675"/>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6">
    <w:name w:val="xl676"/>
    <w:basedOn w:val="Normal"/>
    <w:uiPriority w:val="99"/>
    <w:rsid w:val="001E3866"/>
    <w:pPr>
      <w:pBdr>
        <w:lef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7">
    <w:name w:val="xl677"/>
    <w:basedOn w:val="Normal"/>
    <w:uiPriority w:val="99"/>
    <w:rsid w:val="001E3866"/>
    <w:pP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8">
    <w:name w:val="xl678"/>
    <w:basedOn w:val="Normal"/>
    <w:uiPriority w:val="99"/>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9">
    <w:name w:val="xl679"/>
    <w:basedOn w:val="Normal"/>
    <w:uiPriority w:val="99"/>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18"/>
      <w:szCs w:val="18"/>
      <w:lang w:val="es-MX" w:eastAsia="es-MX"/>
    </w:rPr>
  </w:style>
  <w:style w:type="paragraph" w:customStyle="1" w:styleId="xl680">
    <w:name w:val="xl680"/>
    <w:basedOn w:val="Normal"/>
    <w:uiPriority w:val="99"/>
    <w:rsid w:val="001E3866"/>
    <w:pPr>
      <w:pBdr>
        <w:bottom w:val="single" w:sz="4" w:space="0" w:color="FFFFFF"/>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Prrafodelista1">
    <w:name w:val="Párrafo de lista1"/>
    <w:basedOn w:val="Normal"/>
    <w:uiPriority w:val="99"/>
    <w:rsid w:val="001E3866"/>
    <w:pPr>
      <w:spacing w:after="200" w:line="276" w:lineRule="auto"/>
      <w:ind w:left="720"/>
      <w:jc w:val="both"/>
    </w:pPr>
    <w:rPr>
      <w:rFonts w:ascii="Calibri" w:eastAsia="Times New Roman" w:hAnsi="Calibri" w:cs="Tahoma"/>
      <w:sz w:val="22"/>
      <w:szCs w:val="20"/>
      <w:lang w:val="es-MX" w:eastAsia="en-US"/>
    </w:rPr>
  </w:style>
  <w:style w:type="table" w:customStyle="1" w:styleId="Tablaconcuadrcula11">
    <w:name w:val="Tabla con cuadrícula11"/>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aliases w:val="Línea Car1,del Car1,_Encabezado Car1"/>
    <w:uiPriority w:val="99"/>
    <w:semiHidden/>
    <w:rsid w:val="001E3866"/>
    <w:rPr>
      <w:sz w:val="22"/>
      <w:szCs w:val="22"/>
      <w:lang w:eastAsia="en-US"/>
    </w:rPr>
  </w:style>
  <w:style w:type="paragraph" w:customStyle="1" w:styleId="Sinespaciado1">
    <w:name w:val="Sin espaciado1"/>
    <w:uiPriority w:val="99"/>
    <w:rsid w:val="001E3866"/>
    <w:rPr>
      <w:rFonts w:ascii="Futura Lt BT" w:eastAsia="Times New Roman" w:hAnsi="Futura Lt BT" w:cs="Tahoma"/>
      <w:sz w:val="18"/>
      <w:lang w:eastAsia="en-US"/>
    </w:rPr>
  </w:style>
  <w:style w:type="character" w:customStyle="1" w:styleId="nfasisintenso1">
    <w:name w:val="Énfasis intenso1"/>
    <w:rsid w:val="001E3866"/>
    <w:rPr>
      <w:rFonts w:cs="Times New Roman"/>
      <w:b/>
      <w:bCs/>
      <w:i/>
      <w:iCs/>
      <w:color w:val="auto"/>
    </w:rPr>
  </w:style>
  <w:style w:type="character" w:customStyle="1" w:styleId="IntenseQuoteChar">
    <w:name w:val="Intense Quote Char"/>
    <w:link w:val="Citadestacada1"/>
    <w:locked/>
    <w:rsid w:val="001E3866"/>
    <w:rPr>
      <w:rFonts w:ascii="Arial Narrow" w:eastAsia="Times New Roman" w:hAnsi="Arial Narrow" w:cs="Tahoma"/>
      <w:i/>
      <w:iCs/>
      <w:color w:val="404040"/>
      <w:sz w:val="22"/>
      <w:szCs w:val="20"/>
      <w:lang w:val="es-MX" w:eastAsia="en-US"/>
    </w:rPr>
  </w:style>
  <w:style w:type="paragraph" w:customStyle="1" w:styleId="INCISO">
    <w:name w:val="INCISO"/>
    <w:basedOn w:val="Normal"/>
    <w:rsid w:val="001E3866"/>
    <w:pPr>
      <w:tabs>
        <w:tab w:val="left" w:pos="1080"/>
      </w:tabs>
      <w:spacing w:after="101" w:line="216" w:lineRule="exact"/>
      <w:ind w:left="1080" w:hanging="360"/>
      <w:jc w:val="both"/>
    </w:pPr>
    <w:rPr>
      <w:rFonts w:eastAsia="Futura Lt BT" w:cs="Arial"/>
      <w:sz w:val="18"/>
      <w:szCs w:val="18"/>
      <w:lang w:val="es-MX" w:eastAsia="es-MX"/>
    </w:rPr>
  </w:style>
  <w:style w:type="table" w:styleId="Sombreadoclaro-nfasis4">
    <w:name w:val="Light Shading Accent 4"/>
    <w:basedOn w:val="Tablanormal"/>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paragraph" w:customStyle="1" w:styleId="xl177">
    <w:name w:val="xl177"/>
    <w:basedOn w:val="Normal"/>
    <w:uiPriority w:val="99"/>
    <w:rsid w:val="001E3866"/>
    <w:pPr>
      <w:pBdr>
        <w:bottom w:val="single" w:sz="4" w:space="0" w:color="FFFFFF"/>
      </w:pBdr>
      <w:shd w:val="clear" w:color="000000" w:fill="8B9B92"/>
      <w:spacing w:before="100" w:beforeAutospacing="1" w:after="100" w:afterAutospacing="1"/>
      <w:jc w:val="center"/>
      <w:textAlignment w:val="center"/>
    </w:pPr>
    <w:rPr>
      <w:rFonts w:eastAsia="Times New Roman" w:cs="Arial"/>
      <w:color w:val="FFFFFF"/>
      <w:sz w:val="18"/>
      <w:szCs w:val="18"/>
      <w:lang w:val="es-MX" w:eastAsia="es-MX"/>
    </w:rPr>
  </w:style>
  <w:style w:type="paragraph" w:customStyle="1" w:styleId="bullet">
    <w:name w:val="bullet"/>
    <w:basedOn w:val="Normal"/>
    <w:rsid w:val="001E3866"/>
    <w:pPr>
      <w:widowControl w:val="0"/>
      <w:spacing w:before="240"/>
      <w:ind w:left="1276" w:right="1185" w:hanging="273"/>
      <w:jc w:val="both"/>
    </w:pPr>
    <w:rPr>
      <w:rFonts w:eastAsia="Times New Roman" w:cs="Tahoma"/>
      <w:b/>
      <w:snapToGrid w:val="0"/>
      <w:color w:val="000080"/>
      <w:sz w:val="22"/>
      <w:szCs w:val="20"/>
      <w:lang w:eastAsia="en-US"/>
    </w:rPr>
  </w:style>
  <w:style w:type="paragraph" w:customStyle="1" w:styleId="p01">
    <w:name w:val="p01"/>
    <w:basedOn w:val="Normal1"/>
    <w:next w:val="p0"/>
    <w:rsid w:val="001E3866"/>
    <w:pPr>
      <w:keepLines/>
      <w:widowControl/>
      <w:autoSpaceDE/>
      <w:autoSpaceDN/>
      <w:spacing w:before="240"/>
    </w:pPr>
    <w:rPr>
      <w:rFonts w:ascii="Univers" w:hAnsi="Univers"/>
      <w:b w:val="0"/>
      <w:bCs w:val="0"/>
      <w:i w:val="0"/>
      <w:iCs w:val="0"/>
      <w:color w:val="0000FF"/>
      <w:lang w:eastAsia="es-ES"/>
    </w:rPr>
  </w:style>
  <w:style w:type="paragraph" w:styleId="HTMLconformatoprevio">
    <w:name w:val="HTML Preformatted"/>
    <w:basedOn w:val="Normal"/>
    <w:link w:val="HTMLconformatoprevioCar"/>
    <w:uiPriority w:val="99"/>
    <w:unhideWhenUsed/>
    <w:rsid w:val="001E38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8" w:after="188"/>
      <w:ind w:right="188"/>
      <w:jc w:val="both"/>
    </w:pPr>
    <w:rPr>
      <w:rFonts w:ascii="Courier New" w:eastAsia="Times New Roman" w:hAnsi="Courier New" w:cs="Courier New"/>
      <w:color w:val="000000"/>
      <w:sz w:val="16"/>
      <w:szCs w:val="16"/>
      <w:lang w:val="es-MX" w:eastAsia="es-MX"/>
    </w:rPr>
  </w:style>
  <w:style w:type="character" w:customStyle="1" w:styleId="HTMLconformatoprevioCar">
    <w:name w:val="HTML con formato previo Car"/>
    <w:link w:val="HTMLconformatoprevio"/>
    <w:uiPriority w:val="99"/>
    <w:rsid w:val="001E3866"/>
    <w:rPr>
      <w:rFonts w:ascii="Courier New" w:eastAsia="Times New Roman" w:hAnsi="Courier New" w:cs="Courier New"/>
      <w:color w:val="000000"/>
      <w:sz w:val="16"/>
      <w:szCs w:val="16"/>
      <w:shd w:val="clear" w:color="auto" w:fill="FFFFFF"/>
      <w:lang w:val="es-MX" w:eastAsia="es-MX"/>
    </w:rPr>
  </w:style>
  <w:style w:type="character" w:customStyle="1" w:styleId="TextonotapieCar1">
    <w:name w:val="Texto nota pie Car1"/>
    <w:aliases w:val="nota Car1,pie Car1,Letrero Car1,margen Car1,_TEXTO NOTA PIE DE PAGINA Car1"/>
    <w:uiPriority w:val="99"/>
    <w:semiHidden/>
    <w:rsid w:val="001E3866"/>
    <w:rPr>
      <w:rFonts w:ascii="Arial Narrow" w:eastAsia="Times New Roman" w:hAnsi="Arial Narrow"/>
      <w:lang w:eastAsia="es-ES"/>
    </w:rPr>
  </w:style>
  <w:style w:type="character" w:customStyle="1" w:styleId="TextoindependienteCar1">
    <w:name w:val="Texto independiente Car1"/>
    <w:aliases w:val="Letrero margen Car1"/>
    <w:semiHidden/>
    <w:rsid w:val="001E3866"/>
    <w:rPr>
      <w:rFonts w:ascii="Arial Narrow" w:eastAsia="Times New Roman" w:hAnsi="Arial Narrow"/>
      <w:sz w:val="24"/>
      <w:szCs w:val="24"/>
      <w:lang w:eastAsia="es-ES"/>
    </w:rPr>
  </w:style>
  <w:style w:type="paragraph" w:customStyle="1" w:styleId="1">
    <w:name w:val="1"/>
    <w:basedOn w:val="Normal"/>
    <w:next w:val="Normal"/>
    <w:autoRedefine/>
    <w:uiPriority w:val="10"/>
    <w:unhideWhenUsed/>
    <w:qFormat/>
    <w:rsid w:val="001E3866"/>
    <w:pPr>
      <w:contextualSpacing/>
      <w:jc w:val="center"/>
    </w:pPr>
    <w:rPr>
      <w:rFonts w:ascii="Arial Narrow" w:eastAsia="Times New Roman" w:hAnsi="Arial Narrow" w:cs="Tahoma"/>
      <w:spacing w:val="5"/>
      <w:kern w:val="28"/>
      <w:sz w:val="16"/>
      <w:szCs w:val="16"/>
      <w:lang w:val="es-MX" w:eastAsia="en-US"/>
    </w:rPr>
  </w:style>
  <w:style w:type="paragraph" w:customStyle="1" w:styleId="Titulo1">
    <w:name w:val="Titulo 1"/>
    <w:basedOn w:val="Texto"/>
    <w:rsid w:val="001E3866"/>
    <w:pPr>
      <w:keepLines/>
      <w:pBdr>
        <w:bottom w:val="single" w:sz="12" w:space="1" w:color="auto"/>
      </w:pBdr>
      <w:spacing w:before="120" w:after="0" w:line="240" w:lineRule="auto"/>
      <w:ind w:firstLine="0"/>
      <w:outlineLvl w:val="0"/>
    </w:pPr>
    <w:rPr>
      <w:rFonts w:ascii="Times New Roman" w:hAnsi="Times New Roman"/>
      <w:bCs/>
      <w:color w:val="0D0D0D"/>
      <w:szCs w:val="18"/>
      <w:lang w:val="es-ES_tradnl" w:eastAsia="es-MX"/>
    </w:rPr>
  </w:style>
  <w:style w:type="paragraph" w:styleId="Listaconvietas2">
    <w:name w:val="List Bullet 2"/>
    <w:basedOn w:val="Normal"/>
    <w:rsid w:val="001E3866"/>
    <w:pPr>
      <w:numPr>
        <w:numId w:val="18"/>
      </w:numPr>
      <w:tabs>
        <w:tab w:val="clear" w:pos="643"/>
      </w:tabs>
      <w:ind w:left="360"/>
    </w:pPr>
    <w:rPr>
      <w:rFonts w:ascii="Arial Narrow" w:eastAsia="Times New Roman" w:hAnsi="Arial Narrow" w:cs="Tahoma"/>
      <w:sz w:val="22"/>
      <w:szCs w:val="20"/>
      <w:lang w:val="es-ES" w:eastAsia="en-US"/>
    </w:rPr>
  </w:style>
  <w:style w:type="character" w:customStyle="1" w:styleId="titulo10">
    <w:name w:val="titulo1"/>
    <w:rsid w:val="001E3866"/>
    <w:rPr>
      <w:rFonts w:ascii="Soberana Sans Light" w:hAnsi="Soberana Sans Light" w:hint="default"/>
      <w:color w:val="047832"/>
      <w:sz w:val="38"/>
      <w:szCs w:val="38"/>
    </w:rPr>
  </w:style>
  <w:style w:type="character" w:customStyle="1" w:styleId="verde1">
    <w:name w:val="verde1"/>
    <w:rsid w:val="001E3866"/>
    <w:rPr>
      <w:rFonts w:ascii="Soberana Sans Light" w:hAnsi="Soberana Sans Light" w:hint="default"/>
      <w:color w:val="00853E"/>
      <w:sz w:val="22"/>
      <w:szCs w:val="22"/>
    </w:rPr>
  </w:style>
  <w:style w:type="character" w:customStyle="1" w:styleId="apple-converted-space">
    <w:name w:val="apple-converted-space"/>
    <w:basedOn w:val="Fuentedeprrafopredeter"/>
    <w:rsid w:val="001E3866"/>
  </w:style>
  <w:style w:type="table" w:customStyle="1" w:styleId="Cuadrculadetablaclara1">
    <w:name w:val="Cuadrícula de tabla clara1"/>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inespaciadoCar">
    <w:name w:val="Sin espaciado Car"/>
    <w:link w:val="Sinespaciado"/>
    <w:uiPriority w:val="1"/>
    <w:rsid w:val="001E3866"/>
    <w:rPr>
      <w:rFonts w:ascii="Arial Narrow" w:eastAsia="Times New Roman" w:hAnsi="Arial Narrow" w:cs="Tahoma"/>
      <w:sz w:val="18"/>
      <w:szCs w:val="20"/>
      <w:lang w:val="es-MX" w:eastAsia="en-US"/>
    </w:rPr>
  </w:style>
  <w:style w:type="paragraph" w:styleId="ndice1">
    <w:name w:val="index 1"/>
    <w:basedOn w:val="Normal"/>
    <w:next w:val="Normal"/>
    <w:autoRedefine/>
    <w:uiPriority w:val="99"/>
    <w:unhideWhenUsed/>
    <w:rsid w:val="001E3866"/>
    <w:pPr>
      <w:tabs>
        <w:tab w:val="right" w:leader="dot" w:pos="8544"/>
      </w:tabs>
      <w:ind w:left="220" w:hanging="220"/>
      <w:jc w:val="center"/>
    </w:pPr>
    <w:rPr>
      <w:rFonts w:ascii="Arial Narrow" w:eastAsia="Times New Roman" w:hAnsi="Arial Narrow" w:cs="Tahoma"/>
      <w:sz w:val="22"/>
      <w:szCs w:val="20"/>
      <w:lang w:val="es-MX" w:eastAsia="en-US"/>
    </w:rPr>
  </w:style>
  <w:style w:type="character" w:customStyle="1" w:styleId="PuestoCar1">
    <w:name w:val="Puesto Car1"/>
    <w:uiPriority w:val="10"/>
    <w:rsid w:val="001E3866"/>
    <w:rPr>
      <w:rFonts w:ascii="Arial" w:eastAsia="Times New Roman" w:hAnsi="Arial" w:cs="Times New Roman"/>
      <w:spacing w:val="5"/>
      <w:kern w:val="28"/>
      <w:sz w:val="52"/>
      <w:szCs w:val="52"/>
    </w:rPr>
  </w:style>
  <w:style w:type="table" w:customStyle="1" w:styleId="Tablanormal41">
    <w:name w:val="Tabla normal 41"/>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sonormal0">
    <w:name w:val="msonormal"/>
    <w:basedOn w:val="Normal"/>
    <w:rsid w:val="001E3866"/>
    <w:pPr>
      <w:spacing w:before="100" w:beforeAutospacing="1" w:after="100" w:afterAutospacing="1"/>
    </w:pPr>
    <w:rPr>
      <w:rFonts w:ascii="Times New Roman" w:eastAsia="Times New Roman" w:hAnsi="Times New Roman"/>
      <w:lang w:val="es-MX" w:eastAsia="es-MX"/>
    </w:rPr>
  </w:style>
  <w:style w:type="paragraph" w:styleId="TDC2">
    <w:name w:val="toc 2"/>
    <w:basedOn w:val="Normal"/>
    <w:next w:val="Normal"/>
    <w:autoRedefine/>
    <w:uiPriority w:val="39"/>
    <w:unhideWhenUsed/>
    <w:rsid w:val="001E3866"/>
    <w:pPr>
      <w:spacing w:after="100"/>
      <w:ind w:left="220"/>
      <w:jc w:val="both"/>
    </w:pPr>
    <w:rPr>
      <w:rFonts w:ascii="Arial Narrow" w:eastAsia="Times New Roman" w:hAnsi="Arial Narrow" w:cs="Tahoma"/>
      <w:sz w:val="22"/>
      <w:szCs w:val="20"/>
      <w:lang w:val="es-MX" w:eastAsia="en-US"/>
    </w:rPr>
  </w:style>
  <w:style w:type="paragraph" w:styleId="TDC3">
    <w:name w:val="toc 3"/>
    <w:basedOn w:val="Normal"/>
    <w:next w:val="Normal"/>
    <w:autoRedefine/>
    <w:uiPriority w:val="39"/>
    <w:unhideWhenUsed/>
    <w:rsid w:val="001E3866"/>
    <w:pPr>
      <w:spacing w:after="100"/>
      <w:ind w:left="440"/>
      <w:jc w:val="both"/>
    </w:pPr>
    <w:rPr>
      <w:rFonts w:ascii="Arial Narrow" w:eastAsia="Times New Roman" w:hAnsi="Arial Narrow" w:cs="Tahoma"/>
      <w:sz w:val="22"/>
      <w:szCs w:val="20"/>
      <w:lang w:val="es-MX" w:eastAsia="en-US"/>
    </w:rPr>
  </w:style>
  <w:style w:type="paragraph" w:customStyle="1" w:styleId="TDC41">
    <w:name w:val="TDC 41"/>
    <w:basedOn w:val="Normal"/>
    <w:next w:val="Normal"/>
    <w:autoRedefine/>
    <w:uiPriority w:val="39"/>
    <w:unhideWhenUsed/>
    <w:rsid w:val="001E3866"/>
    <w:pPr>
      <w:spacing w:after="100" w:line="259" w:lineRule="auto"/>
      <w:ind w:left="660"/>
    </w:pPr>
    <w:rPr>
      <w:rFonts w:eastAsia="Times New Roman"/>
      <w:sz w:val="22"/>
      <w:szCs w:val="22"/>
      <w:lang w:val="es-MX" w:eastAsia="es-MX"/>
    </w:rPr>
  </w:style>
  <w:style w:type="paragraph" w:customStyle="1" w:styleId="TDC51">
    <w:name w:val="TDC 51"/>
    <w:basedOn w:val="Normal"/>
    <w:next w:val="Normal"/>
    <w:autoRedefine/>
    <w:uiPriority w:val="39"/>
    <w:unhideWhenUsed/>
    <w:rsid w:val="001E3866"/>
    <w:pPr>
      <w:spacing w:after="100" w:line="259" w:lineRule="auto"/>
      <w:ind w:left="880"/>
    </w:pPr>
    <w:rPr>
      <w:rFonts w:eastAsia="Times New Roman"/>
      <w:sz w:val="22"/>
      <w:szCs w:val="22"/>
      <w:lang w:val="es-MX" w:eastAsia="es-MX"/>
    </w:rPr>
  </w:style>
  <w:style w:type="paragraph" w:customStyle="1" w:styleId="TDC61">
    <w:name w:val="TDC 61"/>
    <w:basedOn w:val="Normal"/>
    <w:next w:val="Normal"/>
    <w:autoRedefine/>
    <w:uiPriority w:val="39"/>
    <w:unhideWhenUsed/>
    <w:rsid w:val="001E3866"/>
    <w:pPr>
      <w:spacing w:after="100" w:line="259" w:lineRule="auto"/>
      <w:ind w:left="1100"/>
    </w:pPr>
    <w:rPr>
      <w:rFonts w:eastAsia="Times New Roman"/>
      <w:sz w:val="22"/>
      <w:szCs w:val="22"/>
      <w:lang w:val="es-MX" w:eastAsia="es-MX"/>
    </w:rPr>
  </w:style>
  <w:style w:type="paragraph" w:customStyle="1" w:styleId="TDC71">
    <w:name w:val="TDC 71"/>
    <w:basedOn w:val="Normal"/>
    <w:next w:val="Normal"/>
    <w:autoRedefine/>
    <w:uiPriority w:val="39"/>
    <w:unhideWhenUsed/>
    <w:rsid w:val="001E3866"/>
    <w:pPr>
      <w:spacing w:after="100" w:line="259" w:lineRule="auto"/>
      <w:ind w:left="1320"/>
    </w:pPr>
    <w:rPr>
      <w:rFonts w:eastAsia="Times New Roman"/>
      <w:sz w:val="22"/>
      <w:szCs w:val="22"/>
      <w:lang w:val="es-MX" w:eastAsia="es-MX"/>
    </w:rPr>
  </w:style>
  <w:style w:type="paragraph" w:customStyle="1" w:styleId="TDC81">
    <w:name w:val="TDC 81"/>
    <w:basedOn w:val="Normal"/>
    <w:next w:val="Normal"/>
    <w:autoRedefine/>
    <w:uiPriority w:val="39"/>
    <w:unhideWhenUsed/>
    <w:rsid w:val="001E3866"/>
    <w:pPr>
      <w:spacing w:after="100" w:line="259" w:lineRule="auto"/>
      <w:ind w:left="1540"/>
    </w:pPr>
    <w:rPr>
      <w:rFonts w:eastAsia="Times New Roman"/>
      <w:sz w:val="22"/>
      <w:szCs w:val="22"/>
      <w:lang w:val="es-MX" w:eastAsia="es-MX"/>
    </w:rPr>
  </w:style>
  <w:style w:type="paragraph" w:customStyle="1" w:styleId="TDC91">
    <w:name w:val="TDC 91"/>
    <w:basedOn w:val="Normal"/>
    <w:next w:val="Normal"/>
    <w:autoRedefine/>
    <w:uiPriority w:val="39"/>
    <w:unhideWhenUsed/>
    <w:rsid w:val="001E3866"/>
    <w:pPr>
      <w:spacing w:after="100" w:line="259" w:lineRule="auto"/>
      <w:ind w:left="1760"/>
    </w:pPr>
    <w:rPr>
      <w:rFonts w:eastAsia="Times New Roman"/>
      <w:sz w:val="22"/>
      <w:szCs w:val="22"/>
      <w:lang w:val="es-MX" w:eastAsia="es-MX"/>
    </w:rPr>
  </w:style>
  <w:style w:type="paragraph" w:customStyle="1" w:styleId="xl628">
    <w:name w:val="xl628"/>
    <w:basedOn w:val="Normal"/>
    <w:rsid w:val="001E3866"/>
    <w:pPr>
      <w:spacing w:before="100" w:beforeAutospacing="1" w:after="100" w:afterAutospacing="1"/>
      <w:jc w:val="center"/>
      <w:textAlignment w:val="center"/>
    </w:pPr>
    <w:rPr>
      <w:rFonts w:ascii="Arial Narrow" w:eastAsia="Times New Roman" w:hAnsi="Arial Narrow"/>
      <w:sz w:val="20"/>
      <w:szCs w:val="20"/>
      <w:lang w:val="es-MX" w:eastAsia="es-MX"/>
    </w:rPr>
  </w:style>
  <w:style w:type="paragraph" w:customStyle="1" w:styleId="xl629">
    <w:name w:val="xl629"/>
    <w:basedOn w:val="Normal"/>
    <w:rsid w:val="001E3866"/>
    <w:pPr>
      <w:spacing w:before="100" w:beforeAutospacing="1" w:after="100" w:afterAutospacing="1"/>
    </w:pPr>
    <w:rPr>
      <w:rFonts w:ascii="Times New Roman" w:eastAsia="Times New Roman" w:hAnsi="Times New Roman"/>
      <w:lang w:val="es-MX" w:eastAsia="es-MX"/>
    </w:rPr>
  </w:style>
  <w:style w:type="paragraph" w:customStyle="1" w:styleId="xl630">
    <w:name w:val="xl630"/>
    <w:basedOn w:val="Normal"/>
    <w:rsid w:val="001E3866"/>
    <w:pPr>
      <w:spacing w:before="100" w:beforeAutospacing="1" w:after="100" w:afterAutospacing="1"/>
      <w:jc w:val="center"/>
    </w:pPr>
    <w:rPr>
      <w:rFonts w:ascii="Futura Lt BT" w:eastAsia="Times New Roman" w:hAnsi="Futura Lt BT"/>
      <w:color w:val="A6A6A6"/>
      <w:lang w:val="es-MX" w:eastAsia="es-MX"/>
    </w:rPr>
  </w:style>
  <w:style w:type="character" w:customStyle="1" w:styleId="TtuloCar2">
    <w:name w:val="Título Car2"/>
    <w:uiPriority w:val="10"/>
    <w:rsid w:val="001E3866"/>
    <w:rPr>
      <w:rFonts w:ascii="Arial" w:eastAsia="MS PGothic" w:hAnsi="Arial" w:cs="Times New Roman"/>
      <w:color w:val="17365D"/>
      <w:spacing w:val="5"/>
      <w:kern w:val="28"/>
      <w:sz w:val="52"/>
      <w:szCs w:val="52"/>
    </w:rPr>
  </w:style>
  <w:style w:type="paragraph" w:styleId="Cita">
    <w:name w:val="Quote"/>
    <w:basedOn w:val="Normal"/>
    <w:next w:val="Normal"/>
    <w:link w:val="CitaCar"/>
    <w:uiPriority w:val="29"/>
    <w:qFormat/>
    <w:rsid w:val="001E3866"/>
    <w:pPr>
      <w:spacing w:before="120" w:after="120" w:line="360" w:lineRule="auto"/>
      <w:jc w:val="both"/>
    </w:pPr>
    <w:rPr>
      <w:i/>
      <w:iCs/>
      <w:color w:val="404040"/>
    </w:rPr>
  </w:style>
  <w:style w:type="character" w:customStyle="1" w:styleId="CitaCar1">
    <w:name w:val="Cita Car1"/>
    <w:uiPriority w:val="29"/>
    <w:rsid w:val="001E3866"/>
    <w:rPr>
      <w:i/>
      <w:iCs/>
      <w:color w:val="000000"/>
    </w:rPr>
  </w:style>
  <w:style w:type="paragraph" w:styleId="Citadestacada">
    <w:name w:val="Intense Quote"/>
    <w:basedOn w:val="Normal"/>
    <w:next w:val="Normal"/>
    <w:link w:val="CitadestacadaCar"/>
    <w:uiPriority w:val="30"/>
    <w:qFormat/>
    <w:rsid w:val="001E3866"/>
    <w:pPr>
      <w:pBdr>
        <w:bottom w:val="single" w:sz="4" w:space="4" w:color="4F81BD"/>
      </w:pBdr>
      <w:spacing w:before="200" w:after="280" w:line="360" w:lineRule="auto"/>
      <w:ind w:left="936" w:right="936"/>
      <w:jc w:val="both"/>
    </w:pPr>
    <w:rPr>
      <w:i/>
      <w:iCs/>
      <w:color w:val="404040"/>
    </w:rPr>
  </w:style>
  <w:style w:type="character" w:customStyle="1" w:styleId="CitadestacadaCar1">
    <w:name w:val="Cita destacada Car1"/>
    <w:uiPriority w:val="30"/>
    <w:rsid w:val="001E3866"/>
    <w:rPr>
      <w:b/>
      <w:bCs/>
      <w:i/>
      <w:iCs/>
      <w:color w:val="4F81BD"/>
    </w:rPr>
  </w:style>
  <w:style w:type="character" w:styleId="nfasissutil">
    <w:name w:val="Subtle Emphasis"/>
    <w:uiPriority w:val="19"/>
    <w:qFormat/>
    <w:rsid w:val="001E3866"/>
    <w:rPr>
      <w:i/>
      <w:iCs/>
      <w:color w:val="808080"/>
    </w:rPr>
  </w:style>
  <w:style w:type="character" w:styleId="Referenciasutil">
    <w:name w:val="Subtle Reference"/>
    <w:uiPriority w:val="31"/>
    <w:qFormat/>
    <w:rsid w:val="001E3866"/>
    <w:rPr>
      <w:smallCaps/>
      <w:color w:val="C0504D"/>
      <w:u w:val="single"/>
    </w:rPr>
  </w:style>
  <w:style w:type="character" w:styleId="Referenciaintensa">
    <w:name w:val="Intense Reference"/>
    <w:uiPriority w:val="32"/>
    <w:qFormat/>
    <w:rsid w:val="001E3866"/>
    <w:rPr>
      <w:b/>
      <w:bCs/>
      <w:smallCaps/>
      <w:color w:val="C0504D"/>
      <w:spacing w:val="5"/>
      <w:u w:val="single"/>
    </w:rPr>
  </w:style>
  <w:style w:type="numbering" w:customStyle="1" w:styleId="Sinlista2">
    <w:name w:val="Sin lista2"/>
    <w:next w:val="Sinlista"/>
    <w:uiPriority w:val="99"/>
    <w:semiHidden/>
    <w:unhideWhenUsed/>
    <w:rsid w:val="001E3866"/>
  </w:style>
  <w:style w:type="table" w:customStyle="1" w:styleId="Tablaconcuadrcula4">
    <w:name w:val="Tabla con cuadrícula4"/>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1E3866"/>
  </w:style>
  <w:style w:type="table" w:customStyle="1" w:styleId="Tablabsica11">
    <w:name w:val="Tabla básica 11"/>
    <w:basedOn w:val="Tablanormal"/>
    <w:next w:val="Tablabsica1"/>
    <w:rsid w:val="001E3866"/>
    <w:rPr>
      <w:rFonts w:ascii="Arial Narrow" w:eastAsia="Times New Roman" w:hAnsi="Arial Narrow" w:cs="Tahom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rsid w:val="001E3866"/>
    <w:rPr>
      <w:rFonts w:ascii="Arial Narrow" w:eastAsia="Times New Roman" w:hAnsi="Arial Narrow" w:cs="Tahom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rsid w:val="001E3866"/>
    <w:rPr>
      <w:rFonts w:ascii="Arial Narrow" w:eastAsia="Times New Roman" w:hAnsi="Arial Narrow" w:cs="Tahom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1">
    <w:name w:val="Sombreado claro11"/>
    <w:basedOn w:val="Tablanormal"/>
    <w:uiPriority w:val="60"/>
    <w:rsid w:val="001E3866"/>
    <w:rPr>
      <w:rFonts w:ascii="Arial Narrow" w:eastAsia="Times New Roman" w:hAnsi="Arial Narrow" w:cs="Tahoma"/>
      <w:color w:val="000000"/>
      <w:sz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1">
    <w:name w:val="Sombreado claro21"/>
    <w:basedOn w:val="Tablanormal"/>
    <w:uiPriority w:val="60"/>
    <w:rsid w:val="001E3866"/>
    <w:rPr>
      <w:rFonts w:ascii="Arial Narrow" w:eastAsia="Arial Narrow" w:hAnsi="Arial Narrow" w:cs="Tahoma"/>
      <w:color w:val="000000"/>
      <w:sz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1">
    <w:name w:val="Lista clara - Énfasis 41"/>
    <w:basedOn w:val="Tablanormal"/>
    <w:next w:val="Listaclara-nfasis4"/>
    <w:uiPriority w:val="61"/>
    <w:rsid w:val="001E3866"/>
    <w:rPr>
      <w:rFonts w:ascii="Arial Narrow" w:eastAsia="Arial Narrow" w:hAnsi="Arial Narrow" w:cs="Tahoma"/>
      <w:sz w:val="18"/>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2">
    <w:name w:val="Tabla con cuadrícula12"/>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1">
    <w:name w:val="Sombreado claro - Énfasis 41"/>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1">
    <w:name w:val="Cuadrícula de tabla clara11"/>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1">
    <w:name w:val="Tabla normal 411"/>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DC4">
    <w:name w:val="toc 4"/>
    <w:basedOn w:val="Normal"/>
    <w:next w:val="Normal"/>
    <w:autoRedefine/>
    <w:uiPriority w:val="39"/>
    <w:unhideWhenUsed/>
    <w:rsid w:val="001E3866"/>
    <w:pPr>
      <w:spacing w:after="100" w:line="259"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rsid w:val="001E3866"/>
    <w:pPr>
      <w:spacing w:after="100" w:line="259"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rsid w:val="001E3866"/>
    <w:pPr>
      <w:spacing w:after="100" w:line="259"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rsid w:val="001E3866"/>
    <w:pPr>
      <w:spacing w:after="100" w:line="259"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rsid w:val="001E3866"/>
    <w:pPr>
      <w:spacing w:after="100" w:line="259" w:lineRule="auto"/>
      <w:ind w:left="1540"/>
    </w:pPr>
    <w:rPr>
      <w:rFonts w:ascii="Calibri" w:eastAsia="Times New Roman" w:hAnsi="Calibri"/>
      <w:sz w:val="22"/>
      <w:szCs w:val="22"/>
      <w:lang w:val="es-MX" w:eastAsia="es-MX"/>
    </w:rPr>
  </w:style>
  <w:style w:type="paragraph" w:styleId="TDC9">
    <w:name w:val="toc 9"/>
    <w:basedOn w:val="Normal"/>
    <w:next w:val="Normal"/>
    <w:autoRedefine/>
    <w:uiPriority w:val="39"/>
    <w:unhideWhenUsed/>
    <w:rsid w:val="001E3866"/>
    <w:pPr>
      <w:spacing w:after="100" w:line="259" w:lineRule="auto"/>
      <w:ind w:left="1760"/>
    </w:pPr>
    <w:rPr>
      <w:rFonts w:ascii="Calibri" w:eastAsia="Times New Roman" w:hAnsi="Calibri"/>
      <w:sz w:val="22"/>
      <w:szCs w:val="22"/>
      <w:lang w:val="es-MX" w:eastAsia="es-MX"/>
    </w:rPr>
  </w:style>
  <w:style w:type="paragraph" w:customStyle="1" w:styleId="Textoctapb2012">
    <w:name w:val="Texto cta. púb. 2012"/>
    <w:basedOn w:val="Normal"/>
    <w:link w:val="Textoctapb2012Car"/>
    <w:qFormat/>
    <w:rsid w:val="001E3866"/>
    <w:pPr>
      <w:spacing w:line="360" w:lineRule="auto"/>
      <w:jc w:val="both"/>
    </w:pPr>
    <w:rPr>
      <w:rFonts w:ascii="Futura Lt BT" w:eastAsia="Times New Roman" w:hAnsi="Futura Lt BT"/>
      <w:lang w:val="es-MX" w:eastAsia="es-MX"/>
    </w:rPr>
  </w:style>
  <w:style w:type="character" w:customStyle="1" w:styleId="Textoctapb2012Car">
    <w:name w:val="Texto cta. púb. 2012 Car"/>
    <w:link w:val="Textoctapb2012"/>
    <w:rsid w:val="001E3866"/>
    <w:rPr>
      <w:rFonts w:ascii="Futura Lt BT" w:eastAsia="Times New Roman" w:hAnsi="Futura Lt BT" w:cs="Times New Roman"/>
      <w:lang w:val="es-MX" w:eastAsia="es-MX"/>
    </w:rPr>
  </w:style>
  <w:style w:type="paragraph" w:customStyle="1" w:styleId="Prrafodelista2">
    <w:name w:val="Párrafo de lista2"/>
    <w:basedOn w:val="Normal"/>
    <w:rsid w:val="001E3866"/>
    <w:pPr>
      <w:spacing w:line="360" w:lineRule="auto"/>
      <w:ind w:left="720"/>
      <w:jc w:val="both"/>
    </w:pPr>
    <w:rPr>
      <w:rFonts w:eastAsia="Times New Roman"/>
      <w:sz w:val="22"/>
      <w:szCs w:val="22"/>
      <w:lang w:val="es-MX" w:eastAsia="en-US"/>
    </w:rPr>
  </w:style>
  <w:style w:type="paragraph" w:customStyle="1" w:styleId="MMTopic1">
    <w:name w:val="MM Topic 1"/>
    <w:basedOn w:val="Ttulo1"/>
    <w:rsid w:val="001E3866"/>
    <w:pPr>
      <w:keepLines w:val="0"/>
      <w:numPr>
        <w:numId w:val="22"/>
      </w:numPr>
      <w:tabs>
        <w:tab w:val="clear" w:pos="360"/>
      </w:tabs>
      <w:spacing w:before="240" w:after="60" w:line="240" w:lineRule="auto"/>
      <w:jc w:val="left"/>
    </w:pPr>
    <w:rPr>
      <w:rFonts w:cs="Arial"/>
      <w:b w:val="0"/>
      <w:kern w:val="32"/>
      <w:sz w:val="32"/>
      <w:szCs w:val="32"/>
      <w:lang w:val="es-ES" w:eastAsia="es-MX"/>
    </w:rPr>
  </w:style>
  <w:style w:type="paragraph" w:customStyle="1" w:styleId="MMTopic2">
    <w:name w:val="MM Topic 2"/>
    <w:basedOn w:val="Ttulo2"/>
    <w:rsid w:val="001E3866"/>
    <w:pPr>
      <w:keepLines w:val="0"/>
      <w:numPr>
        <w:ilvl w:val="0"/>
        <w:numId w:val="0"/>
      </w:numPr>
      <w:tabs>
        <w:tab w:val="num" w:pos="360"/>
      </w:tabs>
      <w:spacing w:before="240" w:after="60" w:line="240" w:lineRule="auto"/>
      <w:jc w:val="left"/>
    </w:pPr>
    <w:rPr>
      <w:rFonts w:cs="Arial"/>
      <w:b w:val="0"/>
      <w:i/>
      <w:iCs/>
      <w:sz w:val="28"/>
      <w:szCs w:val="28"/>
      <w:lang w:val="es-ES" w:eastAsia="es-MX"/>
    </w:rPr>
  </w:style>
  <w:style w:type="paragraph" w:customStyle="1" w:styleId="MMTopic3">
    <w:name w:val="MM Topic 3"/>
    <w:basedOn w:val="Ttulo3"/>
    <w:rsid w:val="001E3866"/>
    <w:pPr>
      <w:keepLines w:val="0"/>
      <w:numPr>
        <w:ilvl w:val="0"/>
        <w:numId w:val="0"/>
      </w:numPr>
      <w:tabs>
        <w:tab w:val="num" w:pos="360"/>
      </w:tabs>
      <w:spacing w:before="240" w:after="60" w:line="240" w:lineRule="auto"/>
      <w:jc w:val="left"/>
    </w:pPr>
    <w:rPr>
      <w:rFonts w:cs="Arial"/>
      <w:color w:val="auto"/>
      <w:sz w:val="26"/>
      <w:szCs w:val="26"/>
      <w:lang w:val="es-ES" w:eastAsia="es-MX"/>
    </w:rPr>
  </w:style>
  <w:style w:type="character" w:customStyle="1" w:styleId="apple-style-span">
    <w:name w:val="apple-style-span"/>
    <w:rsid w:val="001E3866"/>
  </w:style>
  <w:style w:type="paragraph" w:customStyle="1" w:styleId="Cuenta">
    <w:name w:val="Cuenta"/>
    <w:basedOn w:val="Prrafodelista"/>
    <w:link w:val="CuentaCar"/>
    <w:qFormat/>
    <w:rsid w:val="001E3866"/>
    <w:pPr>
      <w:numPr>
        <w:ilvl w:val="1"/>
        <w:numId w:val="21"/>
      </w:numPr>
      <w:contextualSpacing w:val="0"/>
      <w:jc w:val="both"/>
    </w:pPr>
    <w:rPr>
      <w:rFonts w:ascii="Cambria" w:eastAsia="Times New Roman" w:hAnsi="Cambria"/>
      <w:b/>
      <w:szCs w:val="20"/>
      <w:lang w:val="es-MX" w:eastAsia="es-MX"/>
    </w:rPr>
  </w:style>
  <w:style w:type="character" w:customStyle="1" w:styleId="CuentaCar">
    <w:name w:val="Cuenta Car"/>
    <w:link w:val="Cuenta"/>
    <w:rsid w:val="001E3866"/>
    <w:rPr>
      <w:rFonts w:ascii="Cambria" w:eastAsia="Times New Roman" w:hAnsi="Cambria"/>
      <w:b/>
      <w:sz w:val="24"/>
    </w:rPr>
  </w:style>
  <w:style w:type="paragraph" w:customStyle="1" w:styleId="Normal2">
    <w:name w:val="Normal2"/>
    <w:next w:val="Normal"/>
    <w:qFormat/>
    <w:rsid w:val="001E3866"/>
    <w:pPr>
      <w:jc w:val="both"/>
    </w:pPr>
    <w:rPr>
      <w:rFonts w:ascii="Calibri" w:eastAsia="Times New Roman" w:hAnsi="Calibri"/>
      <w:sz w:val="16"/>
      <w:szCs w:val="24"/>
    </w:rPr>
  </w:style>
  <w:style w:type="paragraph" w:customStyle="1" w:styleId="xl183">
    <w:name w:val="xl183"/>
    <w:basedOn w:val="Normal"/>
    <w:rsid w:val="001E3866"/>
    <w:pPr>
      <w:spacing w:before="100" w:beforeAutospacing="1" w:after="100" w:afterAutospacing="1"/>
    </w:pPr>
    <w:rPr>
      <w:rFonts w:ascii="Times New Roman" w:eastAsia="Times New Roman" w:hAnsi="Times New Roman"/>
      <w:b/>
      <w:bCs/>
      <w:lang w:val="es-MX" w:eastAsia="es-MX"/>
    </w:rPr>
  </w:style>
  <w:style w:type="paragraph" w:customStyle="1" w:styleId="xl184">
    <w:name w:val="xl184"/>
    <w:basedOn w:val="Normal"/>
    <w:rsid w:val="001E3866"/>
    <w:pPr>
      <w:spacing w:before="100" w:beforeAutospacing="1" w:after="100" w:afterAutospacing="1"/>
      <w:jc w:val="center"/>
      <w:textAlignment w:val="center"/>
    </w:pPr>
    <w:rPr>
      <w:rFonts w:ascii="Arial Narrow" w:eastAsia="Times New Roman" w:hAnsi="Arial Narrow"/>
      <w:sz w:val="20"/>
      <w:szCs w:val="20"/>
      <w:lang w:val="es-MX" w:eastAsia="es-MX"/>
    </w:rPr>
  </w:style>
  <w:style w:type="paragraph" w:customStyle="1" w:styleId="xl185">
    <w:name w:val="xl185"/>
    <w:basedOn w:val="Normal"/>
    <w:rsid w:val="001E3866"/>
    <w:pPr>
      <w:spacing w:before="100" w:beforeAutospacing="1" w:after="100" w:afterAutospacing="1"/>
    </w:pPr>
    <w:rPr>
      <w:rFonts w:ascii="Times New Roman" w:eastAsia="Times New Roman" w:hAnsi="Times New Roman"/>
      <w:b/>
      <w:bCs/>
      <w:color w:val="FFFFFF"/>
      <w:lang w:val="es-MX" w:eastAsia="es-MX"/>
    </w:rPr>
  </w:style>
  <w:style w:type="paragraph" w:customStyle="1" w:styleId="xl186">
    <w:name w:val="xl186"/>
    <w:basedOn w:val="Normal"/>
    <w:rsid w:val="001E3866"/>
    <w:pPr>
      <w:spacing w:before="100" w:beforeAutospacing="1" w:after="100" w:afterAutospacing="1"/>
    </w:pPr>
    <w:rPr>
      <w:rFonts w:ascii="Times New Roman" w:eastAsia="Times New Roman" w:hAnsi="Times New Roman"/>
      <w:sz w:val="19"/>
      <w:szCs w:val="19"/>
      <w:lang w:val="es-MX" w:eastAsia="es-MX"/>
    </w:rPr>
  </w:style>
  <w:style w:type="paragraph" w:customStyle="1" w:styleId="xl187">
    <w:name w:val="xl187"/>
    <w:basedOn w:val="Normal"/>
    <w:rsid w:val="001E3866"/>
    <w:pPr>
      <w:spacing w:before="100" w:beforeAutospacing="1" w:after="100" w:afterAutospacing="1"/>
      <w:textAlignment w:val="center"/>
    </w:pPr>
    <w:rPr>
      <w:rFonts w:ascii="Arial Narrow" w:eastAsia="Times New Roman" w:hAnsi="Arial Narrow"/>
      <w:b/>
      <w:bCs/>
      <w:sz w:val="20"/>
      <w:szCs w:val="20"/>
      <w:lang w:val="es-MX" w:eastAsia="es-MX"/>
    </w:rPr>
  </w:style>
  <w:style w:type="paragraph" w:customStyle="1" w:styleId="xl188">
    <w:name w:val="xl188"/>
    <w:basedOn w:val="Normal"/>
    <w:rsid w:val="001E3866"/>
    <w:pPr>
      <w:spacing w:before="100" w:beforeAutospacing="1" w:after="100" w:afterAutospacing="1"/>
    </w:pPr>
    <w:rPr>
      <w:rFonts w:ascii="Arial Narrow" w:eastAsia="Times New Roman" w:hAnsi="Arial Narrow"/>
      <w:sz w:val="20"/>
      <w:szCs w:val="20"/>
      <w:lang w:val="es-MX" w:eastAsia="es-MX"/>
    </w:rPr>
  </w:style>
  <w:style w:type="paragraph" w:customStyle="1" w:styleId="xl189">
    <w:name w:val="xl189"/>
    <w:basedOn w:val="Normal"/>
    <w:rsid w:val="001E3866"/>
    <w:pPr>
      <w:spacing w:before="100" w:beforeAutospacing="1" w:after="100" w:afterAutospacing="1"/>
    </w:pPr>
    <w:rPr>
      <w:rFonts w:ascii="Arial Narrow" w:eastAsia="Times New Roman" w:hAnsi="Arial Narrow"/>
      <w:sz w:val="20"/>
      <w:szCs w:val="20"/>
      <w:lang w:val="es-MX" w:eastAsia="es-MX"/>
    </w:rPr>
  </w:style>
  <w:style w:type="paragraph" w:customStyle="1" w:styleId="xl190">
    <w:name w:val="xl190"/>
    <w:basedOn w:val="Normal"/>
    <w:rsid w:val="001E3866"/>
    <w:pPr>
      <w:pBdr>
        <w:top w:val="single" w:sz="4" w:space="0" w:color="auto"/>
        <w:lef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1">
    <w:name w:val="xl191"/>
    <w:basedOn w:val="Normal"/>
    <w:rsid w:val="001E3866"/>
    <w:pPr>
      <w:pBdr>
        <w:top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2">
    <w:name w:val="xl192"/>
    <w:basedOn w:val="Normal"/>
    <w:rsid w:val="001E3866"/>
    <w:pPr>
      <w:pBdr>
        <w:top w:val="single" w:sz="4" w:space="0" w:color="auto"/>
        <w:righ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3">
    <w:name w:val="xl193"/>
    <w:basedOn w:val="Normal"/>
    <w:rsid w:val="001E3866"/>
    <w:pPr>
      <w:pBdr>
        <w:lef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4">
    <w:name w:val="xl194"/>
    <w:basedOn w:val="Normal"/>
    <w:rsid w:val="001E3866"/>
    <w:pP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5">
    <w:name w:val="xl195"/>
    <w:basedOn w:val="Normal"/>
    <w:rsid w:val="001E3866"/>
    <w:pPr>
      <w:pBdr>
        <w:righ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6">
    <w:name w:val="xl196"/>
    <w:basedOn w:val="Normal"/>
    <w:rsid w:val="001E3866"/>
    <w:pPr>
      <w:pBdr>
        <w:left w:val="single" w:sz="4" w:space="0" w:color="auto"/>
      </w:pBd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7">
    <w:name w:val="xl197"/>
    <w:basedOn w:val="Normal"/>
    <w:rsid w:val="001E3866"/>
    <w:pP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8">
    <w:name w:val="xl198"/>
    <w:basedOn w:val="Normal"/>
    <w:rsid w:val="001E3866"/>
    <w:pPr>
      <w:pBdr>
        <w:right w:val="single" w:sz="4" w:space="0" w:color="auto"/>
      </w:pBd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9">
    <w:name w:val="xl199"/>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16"/>
      <w:szCs w:val="16"/>
      <w:lang w:val="es-MX" w:eastAsia="es-MX"/>
    </w:rPr>
  </w:style>
  <w:style w:type="paragraph" w:customStyle="1" w:styleId="xl200">
    <w:name w:val="xl200"/>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16"/>
      <w:szCs w:val="16"/>
      <w:lang w:val="es-MX" w:eastAsia="es-MX"/>
    </w:rPr>
  </w:style>
  <w:style w:type="paragraph" w:customStyle="1" w:styleId="xl201">
    <w:name w:val="xl201"/>
    <w:basedOn w:val="Normal"/>
    <w:rsid w:val="001E3866"/>
    <w:pPr>
      <w:pBdr>
        <w:left w:val="single" w:sz="4" w:space="0" w:color="auto"/>
        <w:bottom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2">
    <w:name w:val="xl202"/>
    <w:basedOn w:val="Normal"/>
    <w:rsid w:val="001E3866"/>
    <w:pPr>
      <w:pBdr>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3">
    <w:name w:val="xl203"/>
    <w:basedOn w:val="Normal"/>
    <w:rsid w:val="001E3866"/>
    <w:pPr>
      <w:pBdr>
        <w:left w:val="single" w:sz="4" w:space="0" w:color="FFFFFF"/>
        <w:bottom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4">
    <w:name w:val="xl204"/>
    <w:basedOn w:val="Normal"/>
    <w:rsid w:val="001E3866"/>
    <w:pPr>
      <w:pBdr>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05">
    <w:name w:val="xl205"/>
    <w:basedOn w:val="Normal"/>
    <w:rsid w:val="001E3866"/>
    <w:pPr>
      <w:pBdr>
        <w:top w:val="single" w:sz="4" w:space="0" w:color="FFFFFF"/>
        <w:left w:val="single" w:sz="4" w:space="9" w:color="auto"/>
        <w:bottom w:val="single" w:sz="4" w:space="0" w:color="FFFFFF"/>
      </w:pBdr>
      <w:spacing w:before="100" w:beforeAutospacing="1" w:after="100" w:afterAutospacing="1"/>
      <w:ind w:firstLineChars="100" w:firstLine="100"/>
    </w:pPr>
    <w:rPr>
      <w:rFonts w:ascii="Arial Narrow" w:eastAsia="Times New Roman" w:hAnsi="Arial Narrow"/>
      <w:b/>
      <w:bCs/>
      <w:sz w:val="16"/>
      <w:szCs w:val="16"/>
      <w:lang w:val="es-MX" w:eastAsia="es-MX"/>
    </w:rPr>
  </w:style>
  <w:style w:type="paragraph" w:customStyle="1" w:styleId="xl206">
    <w:name w:val="xl206"/>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7">
    <w:name w:val="xl207"/>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08">
    <w:name w:val="xl208"/>
    <w:basedOn w:val="Normal"/>
    <w:rsid w:val="001E3866"/>
    <w:pPr>
      <w:pBdr>
        <w:top w:val="single" w:sz="4" w:space="0" w:color="FFFFFF"/>
        <w:left w:val="single" w:sz="4" w:space="18" w:color="auto"/>
        <w:bottom w:val="single" w:sz="4" w:space="0" w:color="FFFFFF"/>
      </w:pBdr>
      <w:spacing w:before="100" w:beforeAutospacing="1" w:after="100" w:afterAutospacing="1"/>
      <w:ind w:firstLineChars="200" w:firstLine="200"/>
    </w:pPr>
    <w:rPr>
      <w:rFonts w:ascii="Arial Narrow" w:eastAsia="Times New Roman" w:hAnsi="Arial Narrow"/>
      <w:b/>
      <w:bCs/>
      <w:sz w:val="16"/>
      <w:szCs w:val="16"/>
      <w:lang w:val="es-MX" w:eastAsia="es-MX"/>
    </w:rPr>
  </w:style>
  <w:style w:type="paragraph" w:customStyle="1" w:styleId="xl209">
    <w:name w:val="xl209"/>
    <w:basedOn w:val="Normal"/>
    <w:rsid w:val="001E3866"/>
    <w:pPr>
      <w:pBdr>
        <w:left w:val="single" w:sz="4" w:space="27" w:color="auto"/>
      </w:pBdr>
      <w:spacing w:before="100" w:beforeAutospacing="1" w:after="100" w:afterAutospacing="1"/>
      <w:ind w:firstLineChars="300" w:firstLine="300"/>
    </w:pPr>
    <w:rPr>
      <w:rFonts w:ascii="Arial Narrow" w:eastAsia="Times New Roman" w:hAnsi="Arial Narrow"/>
      <w:color w:val="595959"/>
      <w:sz w:val="16"/>
      <w:szCs w:val="16"/>
      <w:lang w:val="es-MX" w:eastAsia="es-MX"/>
    </w:rPr>
  </w:style>
  <w:style w:type="paragraph" w:customStyle="1" w:styleId="xl210">
    <w:name w:val="xl21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1">
    <w:name w:val="xl211"/>
    <w:basedOn w:val="Normal"/>
    <w:rsid w:val="001E3866"/>
    <w:pPr>
      <w:pBdr>
        <w:top w:val="single" w:sz="4" w:space="0" w:color="FFFFFF"/>
        <w:left w:val="single" w:sz="4" w:space="0" w:color="FFFFFF"/>
        <w:bottom w:val="single" w:sz="4" w:space="0" w:color="FFFFFF"/>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2">
    <w:name w:val="xl212"/>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3">
    <w:name w:val="xl213"/>
    <w:basedOn w:val="Normal"/>
    <w:rsid w:val="001E3866"/>
    <w:pPr>
      <w:pBdr>
        <w:left w:val="single" w:sz="4" w:space="0" w:color="auto"/>
      </w:pBdr>
      <w:spacing w:before="100" w:beforeAutospacing="1" w:after="100" w:afterAutospacing="1"/>
    </w:pPr>
    <w:rPr>
      <w:rFonts w:ascii="Arial Narrow" w:eastAsia="Times New Roman" w:hAnsi="Arial Narrow"/>
      <w:color w:val="000000"/>
      <w:sz w:val="16"/>
      <w:szCs w:val="16"/>
      <w:lang w:val="es-MX" w:eastAsia="es-MX"/>
    </w:rPr>
  </w:style>
  <w:style w:type="paragraph" w:customStyle="1" w:styleId="xl214">
    <w:name w:val="xl214"/>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5">
    <w:name w:val="xl215"/>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16">
    <w:name w:val="xl216"/>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7">
    <w:name w:val="xl217"/>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18">
    <w:name w:val="xl218"/>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9">
    <w:name w:val="xl219"/>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20">
    <w:name w:val="xl22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21">
    <w:name w:val="xl221"/>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22">
    <w:name w:val="xl222"/>
    <w:basedOn w:val="Normal"/>
    <w:rsid w:val="001E3866"/>
    <w:pPr>
      <w:pBdr>
        <w:top w:val="single" w:sz="4" w:space="0" w:color="FFFFFF"/>
        <w:left w:val="single" w:sz="4" w:space="0" w:color="FFFFFF"/>
        <w:bottom w:val="single" w:sz="4" w:space="0" w:color="FFFFFF"/>
        <w:right w:val="single" w:sz="4" w:space="0" w:color="000000"/>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23">
    <w:name w:val="xl223"/>
    <w:basedOn w:val="Normal"/>
    <w:rsid w:val="001E3866"/>
    <w:pPr>
      <w:spacing w:before="100" w:beforeAutospacing="1" w:after="100" w:afterAutospacing="1"/>
    </w:pPr>
    <w:rPr>
      <w:rFonts w:ascii="Arial Narrow" w:eastAsia="Times New Roman" w:hAnsi="Arial Narrow"/>
      <w:color w:val="000000"/>
      <w:sz w:val="16"/>
      <w:szCs w:val="16"/>
      <w:lang w:val="es-MX" w:eastAsia="es-MX"/>
    </w:rPr>
  </w:style>
  <w:style w:type="paragraph" w:customStyle="1" w:styleId="xl224">
    <w:name w:val="xl224"/>
    <w:basedOn w:val="Normal"/>
    <w:rsid w:val="001E3866"/>
    <w:pPr>
      <w:pBdr>
        <w:top w:val="single" w:sz="4" w:space="0" w:color="FFFFFF"/>
        <w:left w:val="single" w:sz="4" w:space="0" w:color="FFFFFF"/>
        <w:bottom w:val="single" w:sz="4" w:space="0" w:color="FFFFFF"/>
        <w:right w:val="single" w:sz="4" w:space="0" w:color="000000"/>
      </w:pBdr>
      <w:spacing w:before="100" w:beforeAutospacing="1" w:after="100" w:afterAutospacing="1"/>
    </w:pPr>
    <w:rPr>
      <w:rFonts w:ascii="Arial Narrow" w:eastAsia="Times New Roman" w:hAnsi="Arial Narrow"/>
      <w:b/>
      <w:bCs/>
      <w:sz w:val="16"/>
      <w:szCs w:val="16"/>
      <w:lang w:val="es-MX" w:eastAsia="es-MX"/>
    </w:rPr>
  </w:style>
  <w:style w:type="paragraph" w:customStyle="1" w:styleId="xl225">
    <w:name w:val="xl225"/>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26">
    <w:name w:val="xl226"/>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27">
    <w:name w:val="xl227"/>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Narrow" w:eastAsia="Times New Roman" w:hAnsi="Arial Narrow"/>
      <w:sz w:val="16"/>
      <w:szCs w:val="16"/>
      <w:lang w:val="es-MX" w:eastAsia="es-MX"/>
    </w:rPr>
  </w:style>
  <w:style w:type="paragraph" w:customStyle="1" w:styleId="xl228">
    <w:name w:val="xl228"/>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Narrow" w:eastAsia="Times New Roman" w:hAnsi="Arial Narrow"/>
      <w:sz w:val="16"/>
      <w:szCs w:val="16"/>
      <w:lang w:val="es-MX" w:eastAsia="es-MX"/>
    </w:rPr>
  </w:style>
  <w:style w:type="paragraph" w:customStyle="1" w:styleId="xl229">
    <w:name w:val="xl229"/>
    <w:basedOn w:val="Normal"/>
    <w:rsid w:val="001E3866"/>
    <w:pPr>
      <w:spacing w:before="100" w:beforeAutospacing="1" w:after="100" w:afterAutospacing="1"/>
    </w:pPr>
    <w:rPr>
      <w:rFonts w:ascii="Arial Narrow" w:eastAsia="Times New Roman" w:hAnsi="Arial Narrow"/>
      <w:sz w:val="16"/>
      <w:szCs w:val="16"/>
      <w:lang w:val="es-MX" w:eastAsia="es-MX"/>
    </w:rPr>
  </w:style>
  <w:style w:type="character" w:styleId="Textodelmarcadordeposicin">
    <w:name w:val="Placeholder Text"/>
    <w:uiPriority w:val="99"/>
    <w:semiHidden/>
    <w:rsid w:val="001E3866"/>
    <w:rPr>
      <w:color w:val="808080"/>
    </w:rPr>
  </w:style>
  <w:style w:type="paragraph" w:customStyle="1" w:styleId="ANOTACION">
    <w:name w:val="ANOTACION"/>
    <w:basedOn w:val="Normal"/>
    <w:link w:val="ANOTACIONCar"/>
    <w:rsid w:val="001E3866"/>
    <w:pPr>
      <w:spacing w:before="101" w:after="101" w:line="216" w:lineRule="atLeast"/>
      <w:jc w:val="center"/>
    </w:pPr>
    <w:rPr>
      <w:rFonts w:ascii="Times New Roman" w:eastAsia="Times New Roman" w:hAnsi="Times New Roman"/>
      <w:b/>
      <w:sz w:val="18"/>
      <w:szCs w:val="20"/>
    </w:rPr>
  </w:style>
  <w:style w:type="character" w:customStyle="1" w:styleId="ANOTACIONCar">
    <w:name w:val="ANOTACION Car"/>
    <w:link w:val="ANOTACION"/>
    <w:locked/>
    <w:rsid w:val="001E3866"/>
    <w:rPr>
      <w:rFonts w:ascii="Times New Roman" w:eastAsia="Times New Roman" w:hAnsi="Times New Roman" w:cs="Times New Roman"/>
      <w:b/>
      <w:sz w:val="18"/>
      <w:szCs w:val="20"/>
    </w:rPr>
  </w:style>
  <w:style w:type="numbering" w:customStyle="1" w:styleId="Sinlista3">
    <w:name w:val="Sin lista3"/>
    <w:next w:val="Sinlista"/>
    <w:uiPriority w:val="99"/>
    <w:semiHidden/>
    <w:unhideWhenUsed/>
    <w:rsid w:val="001E3866"/>
  </w:style>
  <w:style w:type="table" w:customStyle="1" w:styleId="Tablaconcuadrcula5">
    <w:name w:val="Tabla con cuadrícula5"/>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1E3866"/>
  </w:style>
  <w:style w:type="table" w:customStyle="1" w:styleId="Tablabsica12">
    <w:name w:val="Tabla básica 12"/>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2">
    <w:name w:val="Sombreado claro12"/>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2">
    <w:name w:val="Sombreado claro22"/>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2">
    <w:name w:val="Lista clara - Énfasis 42"/>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3">
    <w:name w:val="Tabla con cuadrícula1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2">
    <w:name w:val="Sombreado claro - Énfasis 42"/>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2">
    <w:name w:val="Cuadrícula de tabla clara12"/>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2">
    <w:name w:val="Tabla normal 412"/>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ont5">
    <w:name w:val="font5"/>
    <w:basedOn w:val="Normal"/>
    <w:rsid w:val="001E3866"/>
    <w:pPr>
      <w:spacing w:before="100" w:beforeAutospacing="1" w:after="100" w:afterAutospacing="1"/>
    </w:pPr>
    <w:rPr>
      <w:rFonts w:ascii="Calibri" w:eastAsia="Times New Roman" w:hAnsi="Calibri" w:cs="Calibri"/>
      <w:b/>
      <w:bCs/>
      <w:sz w:val="18"/>
      <w:szCs w:val="18"/>
      <w:lang w:val="es-MX" w:eastAsia="es-MX"/>
    </w:rPr>
  </w:style>
  <w:style w:type="paragraph" w:customStyle="1" w:styleId="font6">
    <w:name w:val="font6"/>
    <w:basedOn w:val="Normal"/>
    <w:rsid w:val="001E3866"/>
    <w:pPr>
      <w:spacing w:before="100" w:beforeAutospacing="1" w:after="100" w:afterAutospacing="1"/>
    </w:pPr>
    <w:rPr>
      <w:rFonts w:ascii="Calibri" w:eastAsia="Times New Roman" w:hAnsi="Calibri" w:cs="Calibri"/>
      <w:b/>
      <w:bCs/>
      <w:color w:val="FF0000"/>
      <w:sz w:val="18"/>
      <w:szCs w:val="18"/>
      <w:lang w:val="es-MX" w:eastAsia="es-MX"/>
    </w:rPr>
  </w:style>
  <w:style w:type="paragraph" w:customStyle="1" w:styleId="xmsonormal">
    <w:name w:val="x_msonormal"/>
    <w:basedOn w:val="Normal"/>
    <w:rsid w:val="001E3866"/>
    <w:pPr>
      <w:spacing w:before="100" w:beforeAutospacing="1" w:after="100" w:afterAutospacing="1"/>
    </w:pPr>
    <w:rPr>
      <w:rFonts w:ascii="Times New Roman" w:eastAsia="Times New Roman" w:hAnsi="Times New Roman"/>
      <w:lang w:val="es-MX" w:eastAsia="es-MX"/>
    </w:rPr>
  </w:style>
  <w:style w:type="character" w:customStyle="1" w:styleId="st">
    <w:name w:val="st"/>
    <w:basedOn w:val="Fuentedeprrafopredeter"/>
    <w:rsid w:val="001E3866"/>
  </w:style>
  <w:style w:type="paragraph" w:customStyle="1" w:styleId="ParaAttribute0">
    <w:name w:val="ParaAttribute0"/>
    <w:rsid w:val="001E3866"/>
    <w:pPr>
      <w:widowControl w:val="0"/>
      <w:wordWrap w:val="0"/>
      <w:jc w:val="both"/>
    </w:pPr>
    <w:rPr>
      <w:rFonts w:ascii="Times New Roman" w:eastAsia="¹Å" w:hAnsi="Times New Roman"/>
    </w:rPr>
  </w:style>
  <w:style w:type="character" w:customStyle="1" w:styleId="CharAttribute0">
    <w:name w:val="CharAttribute0"/>
    <w:rsid w:val="001E3866"/>
    <w:rPr>
      <w:rFonts w:ascii="Times New Roman" w:eastAsia="Times New Roman"/>
      <w:sz w:val="22"/>
    </w:rPr>
  </w:style>
  <w:style w:type="paragraph" w:customStyle="1" w:styleId="ParaAttribute1">
    <w:name w:val="ParaAttribute1"/>
    <w:rsid w:val="001E3866"/>
    <w:pPr>
      <w:widowControl w:val="0"/>
      <w:wordWrap w:val="0"/>
      <w:jc w:val="both"/>
    </w:pPr>
    <w:rPr>
      <w:rFonts w:ascii="Times New Roman" w:eastAsia="¹Å" w:hAnsi="Times New Roman"/>
    </w:rPr>
  </w:style>
  <w:style w:type="numbering" w:customStyle="1" w:styleId="Sinlista4">
    <w:name w:val="Sin lista4"/>
    <w:next w:val="Sinlista"/>
    <w:uiPriority w:val="99"/>
    <w:semiHidden/>
    <w:unhideWhenUsed/>
    <w:rsid w:val="001E3866"/>
  </w:style>
  <w:style w:type="table" w:customStyle="1" w:styleId="Tablaconcuadrcula6">
    <w:name w:val="Tabla con cuadrícula6"/>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1E3866"/>
  </w:style>
  <w:style w:type="table" w:customStyle="1" w:styleId="Tablabsica13">
    <w:name w:val="Tabla básica 13"/>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3">
    <w:name w:val="Tabla básica 23"/>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3">
    <w:name w:val="Tabla básica 33"/>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3">
    <w:name w:val="Sombreado claro13"/>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3">
    <w:name w:val="Sombreado claro23"/>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3">
    <w:name w:val="Lista clara - Énfasis 43"/>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4">
    <w:name w:val="Tabla con cuadrícula1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3">
    <w:name w:val="Sombreado claro - Énfasis 43"/>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3">
    <w:name w:val="Cuadrícula de tabla clara13"/>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3">
    <w:name w:val="Tabla normal 413"/>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5">
    <w:name w:val="Sin lista5"/>
    <w:next w:val="Sinlista"/>
    <w:uiPriority w:val="99"/>
    <w:semiHidden/>
    <w:unhideWhenUsed/>
    <w:rsid w:val="001E3866"/>
  </w:style>
  <w:style w:type="numbering" w:customStyle="1" w:styleId="Sinlista6">
    <w:name w:val="Sin lista6"/>
    <w:next w:val="Sinlista"/>
    <w:uiPriority w:val="99"/>
    <w:semiHidden/>
    <w:unhideWhenUsed/>
    <w:rsid w:val="001E3866"/>
  </w:style>
  <w:style w:type="table" w:customStyle="1" w:styleId="Tablaconcuadrcula7">
    <w:name w:val="Tabla con cuadrícula7"/>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1E3866"/>
  </w:style>
  <w:style w:type="table" w:customStyle="1" w:styleId="Tablabsica14">
    <w:name w:val="Tabla básica 14"/>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4">
    <w:name w:val="Tabla básica 24"/>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4">
    <w:name w:val="Tabla básica 34"/>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4">
    <w:name w:val="Sombreado claro14"/>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4">
    <w:name w:val="Sombreado claro24"/>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4">
    <w:name w:val="Lista clara - Énfasis 44"/>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5">
    <w:name w:val="Tabla con cuadrícula15"/>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4">
    <w:name w:val="Sombreado claro - Énfasis 44"/>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4">
    <w:name w:val="Cuadrícula de tabla clara14"/>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4">
    <w:name w:val="Tabla normal 414"/>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gc">
    <w:name w:val="_tgc"/>
    <w:basedOn w:val="Fuentedeprrafopredeter"/>
    <w:rsid w:val="001E3866"/>
  </w:style>
  <w:style w:type="paragraph" w:customStyle="1" w:styleId="text-align-justify">
    <w:name w:val="text-align-justify"/>
    <w:basedOn w:val="Normal"/>
    <w:rsid w:val="001E3866"/>
    <w:pPr>
      <w:spacing w:before="100" w:beforeAutospacing="1" w:after="100" w:afterAutospacing="1"/>
    </w:pPr>
    <w:rPr>
      <w:rFonts w:ascii="Times New Roman" w:eastAsia="Times New Roman" w:hAnsi="Times New Roman"/>
      <w:lang w:val="es-MX" w:eastAsia="es-MX"/>
    </w:rPr>
  </w:style>
  <w:style w:type="table" w:customStyle="1" w:styleId="Tablaconcuadrcula8">
    <w:name w:val="Tabla con cuadrícula8"/>
    <w:basedOn w:val="Tablanormal"/>
    <w:next w:val="Tablaconcuadrcula"/>
    <w:uiPriority w:val="39"/>
    <w:rsid w:val="001E3866"/>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1E3866"/>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cc4146027-d33a-44e3-826a-9b54dcebc724-5">
    <w:name w:val="fcc4146027-d33a-44e3-826a-9b54dcebc724-5"/>
    <w:basedOn w:val="Fuentedeprrafopredeter"/>
    <w:rsid w:val="00D866D7"/>
  </w:style>
  <w:style w:type="paragraph" w:customStyle="1" w:styleId="textosimple">
    <w:name w:val="texto_simple"/>
    <w:basedOn w:val="Normal"/>
    <w:rsid w:val="00B67928"/>
    <w:pPr>
      <w:spacing w:before="100" w:beforeAutospacing="1" w:after="100" w:afterAutospacing="1"/>
    </w:pPr>
    <w:rPr>
      <w:rFonts w:ascii="Times New Roman" w:eastAsia="Times New Roman" w:hAnsi="Times New Roman"/>
      <w:lang w:val="es-MX" w:eastAsia="es-MX"/>
    </w:rPr>
  </w:style>
  <w:style w:type="table" w:styleId="Cuadrculaclara-nfasis5">
    <w:name w:val="Light Grid Accent 5"/>
    <w:basedOn w:val="Tablanormal"/>
    <w:uiPriority w:val="62"/>
    <w:rsid w:val="00F34974"/>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TextonotapieCar2">
    <w:name w:val="Texto nota pie Car2"/>
    <w:basedOn w:val="Fuentedeprrafopredeter"/>
    <w:uiPriority w:val="99"/>
    <w:semiHidden/>
    <w:rsid w:val="009F2FB2"/>
    <w:rPr>
      <w:position w:val="-1"/>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867">
      <w:bodyDiv w:val="1"/>
      <w:marLeft w:val="0"/>
      <w:marRight w:val="0"/>
      <w:marTop w:val="0"/>
      <w:marBottom w:val="0"/>
      <w:divBdr>
        <w:top w:val="none" w:sz="0" w:space="0" w:color="auto"/>
        <w:left w:val="none" w:sz="0" w:space="0" w:color="auto"/>
        <w:bottom w:val="none" w:sz="0" w:space="0" w:color="auto"/>
        <w:right w:val="none" w:sz="0" w:space="0" w:color="auto"/>
      </w:divBdr>
    </w:div>
    <w:div w:id="1931703">
      <w:bodyDiv w:val="1"/>
      <w:marLeft w:val="0"/>
      <w:marRight w:val="0"/>
      <w:marTop w:val="0"/>
      <w:marBottom w:val="0"/>
      <w:divBdr>
        <w:top w:val="none" w:sz="0" w:space="0" w:color="auto"/>
        <w:left w:val="none" w:sz="0" w:space="0" w:color="auto"/>
        <w:bottom w:val="none" w:sz="0" w:space="0" w:color="auto"/>
        <w:right w:val="none" w:sz="0" w:space="0" w:color="auto"/>
      </w:divBdr>
    </w:div>
    <w:div w:id="1978032">
      <w:bodyDiv w:val="1"/>
      <w:marLeft w:val="0"/>
      <w:marRight w:val="0"/>
      <w:marTop w:val="0"/>
      <w:marBottom w:val="0"/>
      <w:divBdr>
        <w:top w:val="none" w:sz="0" w:space="0" w:color="auto"/>
        <w:left w:val="none" w:sz="0" w:space="0" w:color="auto"/>
        <w:bottom w:val="none" w:sz="0" w:space="0" w:color="auto"/>
        <w:right w:val="none" w:sz="0" w:space="0" w:color="auto"/>
      </w:divBdr>
    </w:div>
    <w:div w:id="8871456">
      <w:bodyDiv w:val="1"/>
      <w:marLeft w:val="0"/>
      <w:marRight w:val="0"/>
      <w:marTop w:val="0"/>
      <w:marBottom w:val="0"/>
      <w:divBdr>
        <w:top w:val="none" w:sz="0" w:space="0" w:color="auto"/>
        <w:left w:val="none" w:sz="0" w:space="0" w:color="auto"/>
        <w:bottom w:val="none" w:sz="0" w:space="0" w:color="auto"/>
        <w:right w:val="none" w:sz="0" w:space="0" w:color="auto"/>
      </w:divBdr>
    </w:div>
    <w:div w:id="10374280">
      <w:bodyDiv w:val="1"/>
      <w:marLeft w:val="0"/>
      <w:marRight w:val="0"/>
      <w:marTop w:val="0"/>
      <w:marBottom w:val="0"/>
      <w:divBdr>
        <w:top w:val="none" w:sz="0" w:space="0" w:color="auto"/>
        <w:left w:val="none" w:sz="0" w:space="0" w:color="auto"/>
        <w:bottom w:val="none" w:sz="0" w:space="0" w:color="auto"/>
        <w:right w:val="none" w:sz="0" w:space="0" w:color="auto"/>
      </w:divBdr>
    </w:div>
    <w:div w:id="12078423">
      <w:bodyDiv w:val="1"/>
      <w:marLeft w:val="0"/>
      <w:marRight w:val="0"/>
      <w:marTop w:val="0"/>
      <w:marBottom w:val="0"/>
      <w:divBdr>
        <w:top w:val="none" w:sz="0" w:space="0" w:color="auto"/>
        <w:left w:val="none" w:sz="0" w:space="0" w:color="auto"/>
        <w:bottom w:val="none" w:sz="0" w:space="0" w:color="auto"/>
        <w:right w:val="none" w:sz="0" w:space="0" w:color="auto"/>
      </w:divBdr>
    </w:div>
    <w:div w:id="13578585">
      <w:bodyDiv w:val="1"/>
      <w:marLeft w:val="0"/>
      <w:marRight w:val="0"/>
      <w:marTop w:val="0"/>
      <w:marBottom w:val="0"/>
      <w:divBdr>
        <w:top w:val="none" w:sz="0" w:space="0" w:color="auto"/>
        <w:left w:val="none" w:sz="0" w:space="0" w:color="auto"/>
        <w:bottom w:val="none" w:sz="0" w:space="0" w:color="auto"/>
        <w:right w:val="none" w:sz="0" w:space="0" w:color="auto"/>
      </w:divBdr>
    </w:div>
    <w:div w:id="14813764">
      <w:bodyDiv w:val="1"/>
      <w:marLeft w:val="0"/>
      <w:marRight w:val="0"/>
      <w:marTop w:val="0"/>
      <w:marBottom w:val="0"/>
      <w:divBdr>
        <w:top w:val="none" w:sz="0" w:space="0" w:color="auto"/>
        <w:left w:val="none" w:sz="0" w:space="0" w:color="auto"/>
        <w:bottom w:val="none" w:sz="0" w:space="0" w:color="auto"/>
        <w:right w:val="none" w:sz="0" w:space="0" w:color="auto"/>
      </w:divBdr>
    </w:div>
    <w:div w:id="15926728">
      <w:bodyDiv w:val="1"/>
      <w:marLeft w:val="0"/>
      <w:marRight w:val="0"/>
      <w:marTop w:val="0"/>
      <w:marBottom w:val="0"/>
      <w:divBdr>
        <w:top w:val="none" w:sz="0" w:space="0" w:color="auto"/>
        <w:left w:val="none" w:sz="0" w:space="0" w:color="auto"/>
        <w:bottom w:val="none" w:sz="0" w:space="0" w:color="auto"/>
        <w:right w:val="none" w:sz="0" w:space="0" w:color="auto"/>
      </w:divBdr>
    </w:div>
    <w:div w:id="19355076">
      <w:bodyDiv w:val="1"/>
      <w:marLeft w:val="0"/>
      <w:marRight w:val="0"/>
      <w:marTop w:val="0"/>
      <w:marBottom w:val="0"/>
      <w:divBdr>
        <w:top w:val="none" w:sz="0" w:space="0" w:color="auto"/>
        <w:left w:val="none" w:sz="0" w:space="0" w:color="auto"/>
        <w:bottom w:val="none" w:sz="0" w:space="0" w:color="auto"/>
        <w:right w:val="none" w:sz="0" w:space="0" w:color="auto"/>
      </w:divBdr>
    </w:div>
    <w:div w:id="35860669">
      <w:bodyDiv w:val="1"/>
      <w:marLeft w:val="0"/>
      <w:marRight w:val="0"/>
      <w:marTop w:val="0"/>
      <w:marBottom w:val="0"/>
      <w:divBdr>
        <w:top w:val="none" w:sz="0" w:space="0" w:color="auto"/>
        <w:left w:val="none" w:sz="0" w:space="0" w:color="auto"/>
        <w:bottom w:val="none" w:sz="0" w:space="0" w:color="auto"/>
        <w:right w:val="none" w:sz="0" w:space="0" w:color="auto"/>
      </w:divBdr>
    </w:div>
    <w:div w:id="36980376">
      <w:bodyDiv w:val="1"/>
      <w:marLeft w:val="0"/>
      <w:marRight w:val="0"/>
      <w:marTop w:val="0"/>
      <w:marBottom w:val="0"/>
      <w:divBdr>
        <w:top w:val="none" w:sz="0" w:space="0" w:color="auto"/>
        <w:left w:val="none" w:sz="0" w:space="0" w:color="auto"/>
        <w:bottom w:val="none" w:sz="0" w:space="0" w:color="auto"/>
        <w:right w:val="none" w:sz="0" w:space="0" w:color="auto"/>
      </w:divBdr>
    </w:div>
    <w:div w:id="43874929">
      <w:bodyDiv w:val="1"/>
      <w:marLeft w:val="0"/>
      <w:marRight w:val="0"/>
      <w:marTop w:val="0"/>
      <w:marBottom w:val="0"/>
      <w:divBdr>
        <w:top w:val="none" w:sz="0" w:space="0" w:color="auto"/>
        <w:left w:val="none" w:sz="0" w:space="0" w:color="auto"/>
        <w:bottom w:val="none" w:sz="0" w:space="0" w:color="auto"/>
        <w:right w:val="none" w:sz="0" w:space="0" w:color="auto"/>
      </w:divBdr>
    </w:div>
    <w:div w:id="44641994">
      <w:bodyDiv w:val="1"/>
      <w:marLeft w:val="0"/>
      <w:marRight w:val="0"/>
      <w:marTop w:val="0"/>
      <w:marBottom w:val="0"/>
      <w:divBdr>
        <w:top w:val="none" w:sz="0" w:space="0" w:color="auto"/>
        <w:left w:val="none" w:sz="0" w:space="0" w:color="auto"/>
        <w:bottom w:val="none" w:sz="0" w:space="0" w:color="auto"/>
        <w:right w:val="none" w:sz="0" w:space="0" w:color="auto"/>
      </w:divBdr>
    </w:div>
    <w:div w:id="47579663">
      <w:bodyDiv w:val="1"/>
      <w:marLeft w:val="0"/>
      <w:marRight w:val="0"/>
      <w:marTop w:val="0"/>
      <w:marBottom w:val="0"/>
      <w:divBdr>
        <w:top w:val="none" w:sz="0" w:space="0" w:color="auto"/>
        <w:left w:val="none" w:sz="0" w:space="0" w:color="auto"/>
        <w:bottom w:val="none" w:sz="0" w:space="0" w:color="auto"/>
        <w:right w:val="none" w:sz="0" w:space="0" w:color="auto"/>
      </w:divBdr>
    </w:div>
    <w:div w:id="50545026">
      <w:bodyDiv w:val="1"/>
      <w:marLeft w:val="0"/>
      <w:marRight w:val="0"/>
      <w:marTop w:val="0"/>
      <w:marBottom w:val="0"/>
      <w:divBdr>
        <w:top w:val="none" w:sz="0" w:space="0" w:color="auto"/>
        <w:left w:val="none" w:sz="0" w:space="0" w:color="auto"/>
        <w:bottom w:val="none" w:sz="0" w:space="0" w:color="auto"/>
        <w:right w:val="none" w:sz="0" w:space="0" w:color="auto"/>
      </w:divBdr>
    </w:div>
    <w:div w:id="58596260">
      <w:bodyDiv w:val="1"/>
      <w:marLeft w:val="0"/>
      <w:marRight w:val="0"/>
      <w:marTop w:val="0"/>
      <w:marBottom w:val="0"/>
      <w:divBdr>
        <w:top w:val="none" w:sz="0" w:space="0" w:color="auto"/>
        <w:left w:val="none" w:sz="0" w:space="0" w:color="auto"/>
        <w:bottom w:val="none" w:sz="0" w:space="0" w:color="auto"/>
        <w:right w:val="none" w:sz="0" w:space="0" w:color="auto"/>
      </w:divBdr>
    </w:div>
    <w:div w:id="59713537">
      <w:bodyDiv w:val="1"/>
      <w:marLeft w:val="0"/>
      <w:marRight w:val="0"/>
      <w:marTop w:val="0"/>
      <w:marBottom w:val="0"/>
      <w:divBdr>
        <w:top w:val="none" w:sz="0" w:space="0" w:color="auto"/>
        <w:left w:val="none" w:sz="0" w:space="0" w:color="auto"/>
        <w:bottom w:val="none" w:sz="0" w:space="0" w:color="auto"/>
        <w:right w:val="none" w:sz="0" w:space="0" w:color="auto"/>
      </w:divBdr>
    </w:div>
    <w:div w:id="63526867">
      <w:bodyDiv w:val="1"/>
      <w:marLeft w:val="0"/>
      <w:marRight w:val="0"/>
      <w:marTop w:val="0"/>
      <w:marBottom w:val="0"/>
      <w:divBdr>
        <w:top w:val="none" w:sz="0" w:space="0" w:color="auto"/>
        <w:left w:val="none" w:sz="0" w:space="0" w:color="auto"/>
        <w:bottom w:val="none" w:sz="0" w:space="0" w:color="auto"/>
        <w:right w:val="none" w:sz="0" w:space="0" w:color="auto"/>
      </w:divBdr>
    </w:div>
    <w:div w:id="70153574">
      <w:bodyDiv w:val="1"/>
      <w:marLeft w:val="0"/>
      <w:marRight w:val="0"/>
      <w:marTop w:val="0"/>
      <w:marBottom w:val="0"/>
      <w:divBdr>
        <w:top w:val="none" w:sz="0" w:space="0" w:color="auto"/>
        <w:left w:val="none" w:sz="0" w:space="0" w:color="auto"/>
        <w:bottom w:val="none" w:sz="0" w:space="0" w:color="auto"/>
        <w:right w:val="none" w:sz="0" w:space="0" w:color="auto"/>
      </w:divBdr>
    </w:div>
    <w:div w:id="71516267">
      <w:bodyDiv w:val="1"/>
      <w:marLeft w:val="0"/>
      <w:marRight w:val="0"/>
      <w:marTop w:val="0"/>
      <w:marBottom w:val="0"/>
      <w:divBdr>
        <w:top w:val="none" w:sz="0" w:space="0" w:color="auto"/>
        <w:left w:val="none" w:sz="0" w:space="0" w:color="auto"/>
        <w:bottom w:val="none" w:sz="0" w:space="0" w:color="auto"/>
        <w:right w:val="none" w:sz="0" w:space="0" w:color="auto"/>
      </w:divBdr>
    </w:div>
    <w:div w:id="78334955">
      <w:bodyDiv w:val="1"/>
      <w:marLeft w:val="0"/>
      <w:marRight w:val="0"/>
      <w:marTop w:val="0"/>
      <w:marBottom w:val="0"/>
      <w:divBdr>
        <w:top w:val="none" w:sz="0" w:space="0" w:color="auto"/>
        <w:left w:val="none" w:sz="0" w:space="0" w:color="auto"/>
        <w:bottom w:val="none" w:sz="0" w:space="0" w:color="auto"/>
        <w:right w:val="none" w:sz="0" w:space="0" w:color="auto"/>
      </w:divBdr>
    </w:div>
    <w:div w:id="78597141">
      <w:bodyDiv w:val="1"/>
      <w:marLeft w:val="0"/>
      <w:marRight w:val="0"/>
      <w:marTop w:val="0"/>
      <w:marBottom w:val="0"/>
      <w:divBdr>
        <w:top w:val="none" w:sz="0" w:space="0" w:color="auto"/>
        <w:left w:val="none" w:sz="0" w:space="0" w:color="auto"/>
        <w:bottom w:val="none" w:sz="0" w:space="0" w:color="auto"/>
        <w:right w:val="none" w:sz="0" w:space="0" w:color="auto"/>
      </w:divBdr>
    </w:div>
    <w:div w:id="87194106">
      <w:bodyDiv w:val="1"/>
      <w:marLeft w:val="0"/>
      <w:marRight w:val="0"/>
      <w:marTop w:val="0"/>
      <w:marBottom w:val="0"/>
      <w:divBdr>
        <w:top w:val="none" w:sz="0" w:space="0" w:color="auto"/>
        <w:left w:val="none" w:sz="0" w:space="0" w:color="auto"/>
        <w:bottom w:val="none" w:sz="0" w:space="0" w:color="auto"/>
        <w:right w:val="none" w:sz="0" w:space="0" w:color="auto"/>
      </w:divBdr>
    </w:div>
    <w:div w:id="109983000">
      <w:bodyDiv w:val="1"/>
      <w:marLeft w:val="0"/>
      <w:marRight w:val="0"/>
      <w:marTop w:val="0"/>
      <w:marBottom w:val="0"/>
      <w:divBdr>
        <w:top w:val="none" w:sz="0" w:space="0" w:color="auto"/>
        <w:left w:val="none" w:sz="0" w:space="0" w:color="auto"/>
        <w:bottom w:val="none" w:sz="0" w:space="0" w:color="auto"/>
        <w:right w:val="none" w:sz="0" w:space="0" w:color="auto"/>
      </w:divBdr>
    </w:div>
    <w:div w:id="122039472">
      <w:bodyDiv w:val="1"/>
      <w:marLeft w:val="0"/>
      <w:marRight w:val="0"/>
      <w:marTop w:val="0"/>
      <w:marBottom w:val="0"/>
      <w:divBdr>
        <w:top w:val="none" w:sz="0" w:space="0" w:color="auto"/>
        <w:left w:val="none" w:sz="0" w:space="0" w:color="auto"/>
        <w:bottom w:val="none" w:sz="0" w:space="0" w:color="auto"/>
        <w:right w:val="none" w:sz="0" w:space="0" w:color="auto"/>
      </w:divBdr>
    </w:div>
    <w:div w:id="124394497">
      <w:bodyDiv w:val="1"/>
      <w:marLeft w:val="0"/>
      <w:marRight w:val="0"/>
      <w:marTop w:val="0"/>
      <w:marBottom w:val="0"/>
      <w:divBdr>
        <w:top w:val="none" w:sz="0" w:space="0" w:color="auto"/>
        <w:left w:val="none" w:sz="0" w:space="0" w:color="auto"/>
        <w:bottom w:val="none" w:sz="0" w:space="0" w:color="auto"/>
        <w:right w:val="none" w:sz="0" w:space="0" w:color="auto"/>
      </w:divBdr>
    </w:div>
    <w:div w:id="125437434">
      <w:bodyDiv w:val="1"/>
      <w:marLeft w:val="0"/>
      <w:marRight w:val="0"/>
      <w:marTop w:val="0"/>
      <w:marBottom w:val="0"/>
      <w:divBdr>
        <w:top w:val="none" w:sz="0" w:space="0" w:color="auto"/>
        <w:left w:val="none" w:sz="0" w:space="0" w:color="auto"/>
        <w:bottom w:val="none" w:sz="0" w:space="0" w:color="auto"/>
        <w:right w:val="none" w:sz="0" w:space="0" w:color="auto"/>
      </w:divBdr>
    </w:div>
    <w:div w:id="126897055">
      <w:bodyDiv w:val="1"/>
      <w:marLeft w:val="0"/>
      <w:marRight w:val="0"/>
      <w:marTop w:val="0"/>
      <w:marBottom w:val="0"/>
      <w:divBdr>
        <w:top w:val="none" w:sz="0" w:space="0" w:color="auto"/>
        <w:left w:val="none" w:sz="0" w:space="0" w:color="auto"/>
        <w:bottom w:val="none" w:sz="0" w:space="0" w:color="auto"/>
        <w:right w:val="none" w:sz="0" w:space="0" w:color="auto"/>
      </w:divBdr>
    </w:div>
    <w:div w:id="131094165">
      <w:bodyDiv w:val="1"/>
      <w:marLeft w:val="0"/>
      <w:marRight w:val="0"/>
      <w:marTop w:val="0"/>
      <w:marBottom w:val="0"/>
      <w:divBdr>
        <w:top w:val="none" w:sz="0" w:space="0" w:color="auto"/>
        <w:left w:val="none" w:sz="0" w:space="0" w:color="auto"/>
        <w:bottom w:val="none" w:sz="0" w:space="0" w:color="auto"/>
        <w:right w:val="none" w:sz="0" w:space="0" w:color="auto"/>
      </w:divBdr>
    </w:div>
    <w:div w:id="132529971">
      <w:bodyDiv w:val="1"/>
      <w:marLeft w:val="0"/>
      <w:marRight w:val="0"/>
      <w:marTop w:val="0"/>
      <w:marBottom w:val="0"/>
      <w:divBdr>
        <w:top w:val="none" w:sz="0" w:space="0" w:color="auto"/>
        <w:left w:val="none" w:sz="0" w:space="0" w:color="auto"/>
        <w:bottom w:val="none" w:sz="0" w:space="0" w:color="auto"/>
        <w:right w:val="none" w:sz="0" w:space="0" w:color="auto"/>
      </w:divBdr>
    </w:div>
    <w:div w:id="133646910">
      <w:bodyDiv w:val="1"/>
      <w:marLeft w:val="0"/>
      <w:marRight w:val="0"/>
      <w:marTop w:val="0"/>
      <w:marBottom w:val="0"/>
      <w:divBdr>
        <w:top w:val="none" w:sz="0" w:space="0" w:color="auto"/>
        <w:left w:val="none" w:sz="0" w:space="0" w:color="auto"/>
        <w:bottom w:val="none" w:sz="0" w:space="0" w:color="auto"/>
        <w:right w:val="none" w:sz="0" w:space="0" w:color="auto"/>
      </w:divBdr>
    </w:div>
    <w:div w:id="141388458">
      <w:bodyDiv w:val="1"/>
      <w:marLeft w:val="0"/>
      <w:marRight w:val="0"/>
      <w:marTop w:val="0"/>
      <w:marBottom w:val="0"/>
      <w:divBdr>
        <w:top w:val="none" w:sz="0" w:space="0" w:color="auto"/>
        <w:left w:val="none" w:sz="0" w:space="0" w:color="auto"/>
        <w:bottom w:val="none" w:sz="0" w:space="0" w:color="auto"/>
        <w:right w:val="none" w:sz="0" w:space="0" w:color="auto"/>
      </w:divBdr>
    </w:div>
    <w:div w:id="144396324">
      <w:bodyDiv w:val="1"/>
      <w:marLeft w:val="0"/>
      <w:marRight w:val="0"/>
      <w:marTop w:val="0"/>
      <w:marBottom w:val="0"/>
      <w:divBdr>
        <w:top w:val="none" w:sz="0" w:space="0" w:color="auto"/>
        <w:left w:val="none" w:sz="0" w:space="0" w:color="auto"/>
        <w:bottom w:val="none" w:sz="0" w:space="0" w:color="auto"/>
        <w:right w:val="none" w:sz="0" w:space="0" w:color="auto"/>
      </w:divBdr>
    </w:div>
    <w:div w:id="144587331">
      <w:bodyDiv w:val="1"/>
      <w:marLeft w:val="0"/>
      <w:marRight w:val="0"/>
      <w:marTop w:val="0"/>
      <w:marBottom w:val="0"/>
      <w:divBdr>
        <w:top w:val="none" w:sz="0" w:space="0" w:color="auto"/>
        <w:left w:val="none" w:sz="0" w:space="0" w:color="auto"/>
        <w:bottom w:val="none" w:sz="0" w:space="0" w:color="auto"/>
        <w:right w:val="none" w:sz="0" w:space="0" w:color="auto"/>
      </w:divBdr>
    </w:div>
    <w:div w:id="145435109">
      <w:bodyDiv w:val="1"/>
      <w:marLeft w:val="0"/>
      <w:marRight w:val="0"/>
      <w:marTop w:val="0"/>
      <w:marBottom w:val="0"/>
      <w:divBdr>
        <w:top w:val="none" w:sz="0" w:space="0" w:color="auto"/>
        <w:left w:val="none" w:sz="0" w:space="0" w:color="auto"/>
        <w:bottom w:val="none" w:sz="0" w:space="0" w:color="auto"/>
        <w:right w:val="none" w:sz="0" w:space="0" w:color="auto"/>
      </w:divBdr>
    </w:div>
    <w:div w:id="146482608">
      <w:bodyDiv w:val="1"/>
      <w:marLeft w:val="0"/>
      <w:marRight w:val="0"/>
      <w:marTop w:val="0"/>
      <w:marBottom w:val="0"/>
      <w:divBdr>
        <w:top w:val="none" w:sz="0" w:space="0" w:color="auto"/>
        <w:left w:val="none" w:sz="0" w:space="0" w:color="auto"/>
        <w:bottom w:val="none" w:sz="0" w:space="0" w:color="auto"/>
        <w:right w:val="none" w:sz="0" w:space="0" w:color="auto"/>
      </w:divBdr>
    </w:div>
    <w:div w:id="147089767">
      <w:bodyDiv w:val="1"/>
      <w:marLeft w:val="0"/>
      <w:marRight w:val="0"/>
      <w:marTop w:val="0"/>
      <w:marBottom w:val="0"/>
      <w:divBdr>
        <w:top w:val="none" w:sz="0" w:space="0" w:color="auto"/>
        <w:left w:val="none" w:sz="0" w:space="0" w:color="auto"/>
        <w:bottom w:val="none" w:sz="0" w:space="0" w:color="auto"/>
        <w:right w:val="none" w:sz="0" w:space="0" w:color="auto"/>
      </w:divBdr>
    </w:div>
    <w:div w:id="147944938">
      <w:bodyDiv w:val="1"/>
      <w:marLeft w:val="0"/>
      <w:marRight w:val="0"/>
      <w:marTop w:val="0"/>
      <w:marBottom w:val="0"/>
      <w:divBdr>
        <w:top w:val="none" w:sz="0" w:space="0" w:color="auto"/>
        <w:left w:val="none" w:sz="0" w:space="0" w:color="auto"/>
        <w:bottom w:val="none" w:sz="0" w:space="0" w:color="auto"/>
        <w:right w:val="none" w:sz="0" w:space="0" w:color="auto"/>
      </w:divBdr>
    </w:div>
    <w:div w:id="150025071">
      <w:bodyDiv w:val="1"/>
      <w:marLeft w:val="0"/>
      <w:marRight w:val="0"/>
      <w:marTop w:val="0"/>
      <w:marBottom w:val="0"/>
      <w:divBdr>
        <w:top w:val="none" w:sz="0" w:space="0" w:color="auto"/>
        <w:left w:val="none" w:sz="0" w:space="0" w:color="auto"/>
        <w:bottom w:val="none" w:sz="0" w:space="0" w:color="auto"/>
        <w:right w:val="none" w:sz="0" w:space="0" w:color="auto"/>
      </w:divBdr>
    </w:div>
    <w:div w:id="155654363">
      <w:bodyDiv w:val="1"/>
      <w:marLeft w:val="0"/>
      <w:marRight w:val="0"/>
      <w:marTop w:val="0"/>
      <w:marBottom w:val="0"/>
      <w:divBdr>
        <w:top w:val="none" w:sz="0" w:space="0" w:color="auto"/>
        <w:left w:val="none" w:sz="0" w:space="0" w:color="auto"/>
        <w:bottom w:val="none" w:sz="0" w:space="0" w:color="auto"/>
        <w:right w:val="none" w:sz="0" w:space="0" w:color="auto"/>
      </w:divBdr>
    </w:div>
    <w:div w:id="165025772">
      <w:bodyDiv w:val="1"/>
      <w:marLeft w:val="0"/>
      <w:marRight w:val="0"/>
      <w:marTop w:val="0"/>
      <w:marBottom w:val="0"/>
      <w:divBdr>
        <w:top w:val="none" w:sz="0" w:space="0" w:color="auto"/>
        <w:left w:val="none" w:sz="0" w:space="0" w:color="auto"/>
        <w:bottom w:val="none" w:sz="0" w:space="0" w:color="auto"/>
        <w:right w:val="none" w:sz="0" w:space="0" w:color="auto"/>
      </w:divBdr>
    </w:div>
    <w:div w:id="165559072">
      <w:bodyDiv w:val="1"/>
      <w:marLeft w:val="0"/>
      <w:marRight w:val="0"/>
      <w:marTop w:val="0"/>
      <w:marBottom w:val="0"/>
      <w:divBdr>
        <w:top w:val="none" w:sz="0" w:space="0" w:color="auto"/>
        <w:left w:val="none" w:sz="0" w:space="0" w:color="auto"/>
        <w:bottom w:val="none" w:sz="0" w:space="0" w:color="auto"/>
        <w:right w:val="none" w:sz="0" w:space="0" w:color="auto"/>
      </w:divBdr>
    </w:div>
    <w:div w:id="171380813">
      <w:bodyDiv w:val="1"/>
      <w:marLeft w:val="0"/>
      <w:marRight w:val="0"/>
      <w:marTop w:val="0"/>
      <w:marBottom w:val="0"/>
      <w:divBdr>
        <w:top w:val="none" w:sz="0" w:space="0" w:color="auto"/>
        <w:left w:val="none" w:sz="0" w:space="0" w:color="auto"/>
        <w:bottom w:val="none" w:sz="0" w:space="0" w:color="auto"/>
        <w:right w:val="none" w:sz="0" w:space="0" w:color="auto"/>
      </w:divBdr>
    </w:div>
    <w:div w:id="172109812">
      <w:bodyDiv w:val="1"/>
      <w:marLeft w:val="0"/>
      <w:marRight w:val="0"/>
      <w:marTop w:val="0"/>
      <w:marBottom w:val="0"/>
      <w:divBdr>
        <w:top w:val="none" w:sz="0" w:space="0" w:color="auto"/>
        <w:left w:val="none" w:sz="0" w:space="0" w:color="auto"/>
        <w:bottom w:val="none" w:sz="0" w:space="0" w:color="auto"/>
        <w:right w:val="none" w:sz="0" w:space="0" w:color="auto"/>
      </w:divBdr>
    </w:div>
    <w:div w:id="172845281">
      <w:bodyDiv w:val="1"/>
      <w:marLeft w:val="0"/>
      <w:marRight w:val="0"/>
      <w:marTop w:val="0"/>
      <w:marBottom w:val="0"/>
      <w:divBdr>
        <w:top w:val="none" w:sz="0" w:space="0" w:color="auto"/>
        <w:left w:val="none" w:sz="0" w:space="0" w:color="auto"/>
        <w:bottom w:val="none" w:sz="0" w:space="0" w:color="auto"/>
        <w:right w:val="none" w:sz="0" w:space="0" w:color="auto"/>
      </w:divBdr>
    </w:div>
    <w:div w:id="179440381">
      <w:bodyDiv w:val="1"/>
      <w:marLeft w:val="0"/>
      <w:marRight w:val="0"/>
      <w:marTop w:val="0"/>
      <w:marBottom w:val="0"/>
      <w:divBdr>
        <w:top w:val="none" w:sz="0" w:space="0" w:color="auto"/>
        <w:left w:val="none" w:sz="0" w:space="0" w:color="auto"/>
        <w:bottom w:val="none" w:sz="0" w:space="0" w:color="auto"/>
        <w:right w:val="none" w:sz="0" w:space="0" w:color="auto"/>
      </w:divBdr>
    </w:div>
    <w:div w:id="179903252">
      <w:bodyDiv w:val="1"/>
      <w:marLeft w:val="0"/>
      <w:marRight w:val="0"/>
      <w:marTop w:val="0"/>
      <w:marBottom w:val="0"/>
      <w:divBdr>
        <w:top w:val="none" w:sz="0" w:space="0" w:color="auto"/>
        <w:left w:val="none" w:sz="0" w:space="0" w:color="auto"/>
        <w:bottom w:val="none" w:sz="0" w:space="0" w:color="auto"/>
        <w:right w:val="none" w:sz="0" w:space="0" w:color="auto"/>
      </w:divBdr>
    </w:div>
    <w:div w:id="181632762">
      <w:bodyDiv w:val="1"/>
      <w:marLeft w:val="0"/>
      <w:marRight w:val="0"/>
      <w:marTop w:val="0"/>
      <w:marBottom w:val="0"/>
      <w:divBdr>
        <w:top w:val="none" w:sz="0" w:space="0" w:color="auto"/>
        <w:left w:val="none" w:sz="0" w:space="0" w:color="auto"/>
        <w:bottom w:val="none" w:sz="0" w:space="0" w:color="auto"/>
        <w:right w:val="none" w:sz="0" w:space="0" w:color="auto"/>
      </w:divBdr>
    </w:div>
    <w:div w:id="189413171">
      <w:bodyDiv w:val="1"/>
      <w:marLeft w:val="0"/>
      <w:marRight w:val="0"/>
      <w:marTop w:val="0"/>
      <w:marBottom w:val="0"/>
      <w:divBdr>
        <w:top w:val="none" w:sz="0" w:space="0" w:color="auto"/>
        <w:left w:val="none" w:sz="0" w:space="0" w:color="auto"/>
        <w:bottom w:val="none" w:sz="0" w:space="0" w:color="auto"/>
        <w:right w:val="none" w:sz="0" w:space="0" w:color="auto"/>
      </w:divBdr>
    </w:div>
    <w:div w:id="202641633">
      <w:bodyDiv w:val="1"/>
      <w:marLeft w:val="0"/>
      <w:marRight w:val="0"/>
      <w:marTop w:val="0"/>
      <w:marBottom w:val="0"/>
      <w:divBdr>
        <w:top w:val="none" w:sz="0" w:space="0" w:color="auto"/>
        <w:left w:val="none" w:sz="0" w:space="0" w:color="auto"/>
        <w:bottom w:val="none" w:sz="0" w:space="0" w:color="auto"/>
        <w:right w:val="none" w:sz="0" w:space="0" w:color="auto"/>
      </w:divBdr>
    </w:div>
    <w:div w:id="208610294">
      <w:bodyDiv w:val="1"/>
      <w:marLeft w:val="0"/>
      <w:marRight w:val="0"/>
      <w:marTop w:val="0"/>
      <w:marBottom w:val="0"/>
      <w:divBdr>
        <w:top w:val="none" w:sz="0" w:space="0" w:color="auto"/>
        <w:left w:val="none" w:sz="0" w:space="0" w:color="auto"/>
        <w:bottom w:val="none" w:sz="0" w:space="0" w:color="auto"/>
        <w:right w:val="none" w:sz="0" w:space="0" w:color="auto"/>
      </w:divBdr>
    </w:div>
    <w:div w:id="210189912">
      <w:bodyDiv w:val="1"/>
      <w:marLeft w:val="0"/>
      <w:marRight w:val="0"/>
      <w:marTop w:val="0"/>
      <w:marBottom w:val="0"/>
      <w:divBdr>
        <w:top w:val="none" w:sz="0" w:space="0" w:color="auto"/>
        <w:left w:val="none" w:sz="0" w:space="0" w:color="auto"/>
        <w:bottom w:val="none" w:sz="0" w:space="0" w:color="auto"/>
        <w:right w:val="none" w:sz="0" w:space="0" w:color="auto"/>
      </w:divBdr>
    </w:div>
    <w:div w:id="213583390">
      <w:bodyDiv w:val="1"/>
      <w:marLeft w:val="0"/>
      <w:marRight w:val="0"/>
      <w:marTop w:val="0"/>
      <w:marBottom w:val="0"/>
      <w:divBdr>
        <w:top w:val="none" w:sz="0" w:space="0" w:color="auto"/>
        <w:left w:val="none" w:sz="0" w:space="0" w:color="auto"/>
        <w:bottom w:val="none" w:sz="0" w:space="0" w:color="auto"/>
        <w:right w:val="none" w:sz="0" w:space="0" w:color="auto"/>
      </w:divBdr>
    </w:div>
    <w:div w:id="217671393">
      <w:bodyDiv w:val="1"/>
      <w:marLeft w:val="0"/>
      <w:marRight w:val="0"/>
      <w:marTop w:val="0"/>
      <w:marBottom w:val="0"/>
      <w:divBdr>
        <w:top w:val="none" w:sz="0" w:space="0" w:color="auto"/>
        <w:left w:val="none" w:sz="0" w:space="0" w:color="auto"/>
        <w:bottom w:val="none" w:sz="0" w:space="0" w:color="auto"/>
        <w:right w:val="none" w:sz="0" w:space="0" w:color="auto"/>
      </w:divBdr>
    </w:div>
    <w:div w:id="218442516">
      <w:bodyDiv w:val="1"/>
      <w:marLeft w:val="0"/>
      <w:marRight w:val="0"/>
      <w:marTop w:val="0"/>
      <w:marBottom w:val="0"/>
      <w:divBdr>
        <w:top w:val="none" w:sz="0" w:space="0" w:color="auto"/>
        <w:left w:val="none" w:sz="0" w:space="0" w:color="auto"/>
        <w:bottom w:val="none" w:sz="0" w:space="0" w:color="auto"/>
        <w:right w:val="none" w:sz="0" w:space="0" w:color="auto"/>
      </w:divBdr>
    </w:div>
    <w:div w:id="219368042">
      <w:bodyDiv w:val="1"/>
      <w:marLeft w:val="0"/>
      <w:marRight w:val="0"/>
      <w:marTop w:val="0"/>
      <w:marBottom w:val="0"/>
      <w:divBdr>
        <w:top w:val="none" w:sz="0" w:space="0" w:color="auto"/>
        <w:left w:val="none" w:sz="0" w:space="0" w:color="auto"/>
        <w:bottom w:val="none" w:sz="0" w:space="0" w:color="auto"/>
        <w:right w:val="none" w:sz="0" w:space="0" w:color="auto"/>
      </w:divBdr>
    </w:div>
    <w:div w:id="221524430">
      <w:bodyDiv w:val="1"/>
      <w:marLeft w:val="0"/>
      <w:marRight w:val="0"/>
      <w:marTop w:val="0"/>
      <w:marBottom w:val="0"/>
      <w:divBdr>
        <w:top w:val="none" w:sz="0" w:space="0" w:color="auto"/>
        <w:left w:val="none" w:sz="0" w:space="0" w:color="auto"/>
        <w:bottom w:val="none" w:sz="0" w:space="0" w:color="auto"/>
        <w:right w:val="none" w:sz="0" w:space="0" w:color="auto"/>
      </w:divBdr>
    </w:div>
    <w:div w:id="225185790">
      <w:bodyDiv w:val="1"/>
      <w:marLeft w:val="0"/>
      <w:marRight w:val="0"/>
      <w:marTop w:val="0"/>
      <w:marBottom w:val="0"/>
      <w:divBdr>
        <w:top w:val="none" w:sz="0" w:space="0" w:color="auto"/>
        <w:left w:val="none" w:sz="0" w:space="0" w:color="auto"/>
        <w:bottom w:val="none" w:sz="0" w:space="0" w:color="auto"/>
        <w:right w:val="none" w:sz="0" w:space="0" w:color="auto"/>
      </w:divBdr>
    </w:div>
    <w:div w:id="244843479">
      <w:bodyDiv w:val="1"/>
      <w:marLeft w:val="0"/>
      <w:marRight w:val="0"/>
      <w:marTop w:val="0"/>
      <w:marBottom w:val="0"/>
      <w:divBdr>
        <w:top w:val="none" w:sz="0" w:space="0" w:color="auto"/>
        <w:left w:val="none" w:sz="0" w:space="0" w:color="auto"/>
        <w:bottom w:val="none" w:sz="0" w:space="0" w:color="auto"/>
        <w:right w:val="none" w:sz="0" w:space="0" w:color="auto"/>
      </w:divBdr>
    </w:div>
    <w:div w:id="248394273">
      <w:bodyDiv w:val="1"/>
      <w:marLeft w:val="0"/>
      <w:marRight w:val="0"/>
      <w:marTop w:val="0"/>
      <w:marBottom w:val="0"/>
      <w:divBdr>
        <w:top w:val="none" w:sz="0" w:space="0" w:color="auto"/>
        <w:left w:val="none" w:sz="0" w:space="0" w:color="auto"/>
        <w:bottom w:val="none" w:sz="0" w:space="0" w:color="auto"/>
        <w:right w:val="none" w:sz="0" w:space="0" w:color="auto"/>
      </w:divBdr>
    </w:div>
    <w:div w:id="249434671">
      <w:bodyDiv w:val="1"/>
      <w:marLeft w:val="0"/>
      <w:marRight w:val="0"/>
      <w:marTop w:val="0"/>
      <w:marBottom w:val="0"/>
      <w:divBdr>
        <w:top w:val="none" w:sz="0" w:space="0" w:color="auto"/>
        <w:left w:val="none" w:sz="0" w:space="0" w:color="auto"/>
        <w:bottom w:val="none" w:sz="0" w:space="0" w:color="auto"/>
        <w:right w:val="none" w:sz="0" w:space="0" w:color="auto"/>
      </w:divBdr>
    </w:div>
    <w:div w:id="256983743">
      <w:bodyDiv w:val="1"/>
      <w:marLeft w:val="0"/>
      <w:marRight w:val="0"/>
      <w:marTop w:val="0"/>
      <w:marBottom w:val="0"/>
      <w:divBdr>
        <w:top w:val="none" w:sz="0" w:space="0" w:color="auto"/>
        <w:left w:val="none" w:sz="0" w:space="0" w:color="auto"/>
        <w:bottom w:val="none" w:sz="0" w:space="0" w:color="auto"/>
        <w:right w:val="none" w:sz="0" w:space="0" w:color="auto"/>
      </w:divBdr>
    </w:div>
    <w:div w:id="257911393">
      <w:bodyDiv w:val="1"/>
      <w:marLeft w:val="0"/>
      <w:marRight w:val="0"/>
      <w:marTop w:val="0"/>
      <w:marBottom w:val="0"/>
      <w:divBdr>
        <w:top w:val="none" w:sz="0" w:space="0" w:color="auto"/>
        <w:left w:val="none" w:sz="0" w:space="0" w:color="auto"/>
        <w:bottom w:val="none" w:sz="0" w:space="0" w:color="auto"/>
        <w:right w:val="none" w:sz="0" w:space="0" w:color="auto"/>
      </w:divBdr>
    </w:div>
    <w:div w:id="264651949">
      <w:bodyDiv w:val="1"/>
      <w:marLeft w:val="0"/>
      <w:marRight w:val="0"/>
      <w:marTop w:val="0"/>
      <w:marBottom w:val="0"/>
      <w:divBdr>
        <w:top w:val="none" w:sz="0" w:space="0" w:color="auto"/>
        <w:left w:val="none" w:sz="0" w:space="0" w:color="auto"/>
        <w:bottom w:val="none" w:sz="0" w:space="0" w:color="auto"/>
        <w:right w:val="none" w:sz="0" w:space="0" w:color="auto"/>
      </w:divBdr>
    </w:div>
    <w:div w:id="266355605">
      <w:bodyDiv w:val="1"/>
      <w:marLeft w:val="0"/>
      <w:marRight w:val="0"/>
      <w:marTop w:val="0"/>
      <w:marBottom w:val="0"/>
      <w:divBdr>
        <w:top w:val="none" w:sz="0" w:space="0" w:color="auto"/>
        <w:left w:val="none" w:sz="0" w:space="0" w:color="auto"/>
        <w:bottom w:val="none" w:sz="0" w:space="0" w:color="auto"/>
        <w:right w:val="none" w:sz="0" w:space="0" w:color="auto"/>
      </w:divBdr>
    </w:div>
    <w:div w:id="270406032">
      <w:bodyDiv w:val="1"/>
      <w:marLeft w:val="0"/>
      <w:marRight w:val="0"/>
      <w:marTop w:val="0"/>
      <w:marBottom w:val="0"/>
      <w:divBdr>
        <w:top w:val="none" w:sz="0" w:space="0" w:color="auto"/>
        <w:left w:val="none" w:sz="0" w:space="0" w:color="auto"/>
        <w:bottom w:val="none" w:sz="0" w:space="0" w:color="auto"/>
        <w:right w:val="none" w:sz="0" w:space="0" w:color="auto"/>
      </w:divBdr>
    </w:div>
    <w:div w:id="270674045">
      <w:bodyDiv w:val="1"/>
      <w:marLeft w:val="0"/>
      <w:marRight w:val="0"/>
      <w:marTop w:val="0"/>
      <w:marBottom w:val="0"/>
      <w:divBdr>
        <w:top w:val="none" w:sz="0" w:space="0" w:color="auto"/>
        <w:left w:val="none" w:sz="0" w:space="0" w:color="auto"/>
        <w:bottom w:val="none" w:sz="0" w:space="0" w:color="auto"/>
        <w:right w:val="none" w:sz="0" w:space="0" w:color="auto"/>
      </w:divBdr>
    </w:div>
    <w:div w:id="271667296">
      <w:bodyDiv w:val="1"/>
      <w:marLeft w:val="0"/>
      <w:marRight w:val="0"/>
      <w:marTop w:val="0"/>
      <w:marBottom w:val="0"/>
      <w:divBdr>
        <w:top w:val="none" w:sz="0" w:space="0" w:color="auto"/>
        <w:left w:val="none" w:sz="0" w:space="0" w:color="auto"/>
        <w:bottom w:val="none" w:sz="0" w:space="0" w:color="auto"/>
        <w:right w:val="none" w:sz="0" w:space="0" w:color="auto"/>
      </w:divBdr>
    </w:div>
    <w:div w:id="272564677">
      <w:bodyDiv w:val="1"/>
      <w:marLeft w:val="0"/>
      <w:marRight w:val="0"/>
      <w:marTop w:val="0"/>
      <w:marBottom w:val="0"/>
      <w:divBdr>
        <w:top w:val="none" w:sz="0" w:space="0" w:color="auto"/>
        <w:left w:val="none" w:sz="0" w:space="0" w:color="auto"/>
        <w:bottom w:val="none" w:sz="0" w:space="0" w:color="auto"/>
        <w:right w:val="none" w:sz="0" w:space="0" w:color="auto"/>
      </w:divBdr>
    </w:div>
    <w:div w:id="273096362">
      <w:bodyDiv w:val="1"/>
      <w:marLeft w:val="0"/>
      <w:marRight w:val="0"/>
      <w:marTop w:val="0"/>
      <w:marBottom w:val="0"/>
      <w:divBdr>
        <w:top w:val="none" w:sz="0" w:space="0" w:color="auto"/>
        <w:left w:val="none" w:sz="0" w:space="0" w:color="auto"/>
        <w:bottom w:val="none" w:sz="0" w:space="0" w:color="auto"/>
        <w:right w:val="none" w:sz="0" w:space="0" w:color="auto"/>
      </w:divBdr>
    </w:div>
    <w:div w:id="276567046">
      <w:bodyDiv w:val="1"/>
      <w:marLeft w:val="0"/>
      <w:marRight w:val="0"/>
      <w:marTop w:val="0"/>
      <w:marBottom w:val="0"/>
      <w:divBdr>
        <w:top w:val="none" w:sz="0" w:space="0" w:color="auto"/>
        <w:left w:val="none" w:sz="0" w:space="0" w:color="auto"/>
        <w:bottom w:val="none" w:sz="0" w:space="0" w:color="auto"/>
        <w:right w:val="none" w:sz="0" w:space="0" w:color="auto"/>
      </w:divBdr>
    </w:div>
    <w:div w:id="277640114">
      <w:bodyDiv w:val="1"/>
      <w:marLeft w:val="0"/>
      <w:marRight w:val="0"/>
      <w:marTop w:val="0"/>
      <w:marBottom w:val="0"/>
      <w:divBdr>
        <w:top w:val="none" w:sz="0" w:space="0" w:color="auto"/>
        <w:left w:val="none" w:sz="0" w:space="0" w:color="auto"/>
        <w:bottom w:val="none" w:sz="0" w:space="0" w:color="auto"/>
        <w:right w:val="none" w:sz="0" w:space="0" w:color="auto"/>
      </w:divBdr>
    </w:div>
    <w:div w:id="278338855">
      <w:bodyDiv w:val="1"/>
      <w:marLeft w:val="0"/>
      <w:marRight w:val="0"/>
      <w:marTop w:val="0"/>
      <w:marBottom w:val="0"/>
      <w:divBdr>
        <w:top w:val="none" w:sz="0" w:space="0" w:color="auto"/>
        <w:left w:val="none" w:sz="0" w:space="0" w:color="auto"/>
        <w:bottom w:val="none" w:sz="0" w:space="0" w:color="auto"/>
        <w:right w:val="none" w:sz="0" w:space="0" w:color="auto"/>
      </w:divBdr>
    </w:div>
    <w:div w:id="280498197">
      <w:bodyDiv w:val="1"/>
      <w:marLeft w:val="0"/>
      <w:marRight w:val="0"/>
      <w:marTop w:val="0"/>
      <w:marBottom w:val="0"/>
      <w:divBdr>
        <w:top w:val="none" w:sz="0" w:space="0" w:color="auto"/>
        <w:left w:val="none" w:sz="0" w:space="0" w:color="auto"/>
        <w:bottom w:val="none" w:sz="0" w:space="0" w:color="auto"/>
        <w:right w:val="none" w:sz="0" w:space="0" w:color="auto"/>
      </w:divBdr>
    </w:div>
    <w:div w:id="285087103">
      <w:bodyDiv w:val="1"/>
      <w:marLeft w:val="0"/>
      <w:marRight w:val="0"/>
      <w:marTop w:val="0"/>
      <w:marBottom w:val="0"/>
      <w:divBdr>
        <w:top w:val="none" w:sz="0" w:space="0" w:color="auto"/>
        <w:left w:val="none" w:sz="0" w:space="0" w:color="auto"/>
        <w:bottom w:val="none" w:sz="0" w:space="0" w:color="auto"/>
        <w:right w:val="none" w:sz="0" w:space="0" w:color="auto"/>
      </w:divBdr>
    </w:div>
    <w:div w:id="293877226">
      <w:bodyDiv w:val="1"/>
      <w:marLeft w:val="0"/>
      <w:marRight w:val="0"/>
      <w:marTop w:val="0"/>
      <w:marBottom w:val="0"/>
      <w:divBdr>
        <w:top w:val="none" w:sz="0" w:space="0" w:color="auto"/>
        <w:left w:val="none" w:sz="0" w:space="0" w:color="auto"/>
        <w:bottom w:val="none" w:sz="0" w:space="0" w:color="auto"/>
        <w:right w:val="none" w:sz="0" w:space="0" w:color="auto"/>
      </w:divBdr>
    </w:div>
    <w:div w:id="297104817">
      <w:bodyDiv w:val="1"/>
      <w:marLeft w:val="0"/>
      <w:marRight w:val="0"/>
      <w:marTop w:val="0"/>
      <w:marBottom w:val="0"/>
      <w:divBdr>
        <w:top w:val="none" w:sz="0" w:space="0" w:color="auto"/>
        <w:left w:val="none" w:sz="0" w:space="0" w:color="auto"/>
        <w:bottom w:val="none" w:sz="0" w:space="0" w:color="auto"/>
        <w:right w:val="none" w:sz="0" w:space="0" w:color="auto"/>
      </w:divBdr>
    </w:div>
    <w:div w:id="304051142">
      <w:bodyDiv w:val="1"/>
      <w:marLeft w:val="0"/>
      <w:marRight w:val="0"/>
      <w:marTop w:val="0"/>
      <w:marBottom w:val="0"/>
      <w:divBdr>
        <w:top w:val="none" w:sz="0" w:space="0" w:color="auto"/>
        <w:left w:val="none" w:sz="0" w:space="0" w:color="auto"/>
        <w:bottom w:val="none" w:sz="0" w:space="0" w:color="auto"/>
        <w:right w:val="none" w:sz="0" w:space="0" w:color="auto"/>
      </w:divBdr>
    </w:div>
    <w:div w:id="306013782">
      <w:bodyDiv w:val="1"/>
      <w:marLeft w:val="0"/>
      <w:marRight w:val="0"/>
      <w:marTop w:val="0"/>
      <w:marBottom w:val="0"/>
      <w:divBdr>
        <w:top w:val="none" w:sz="0" w:space="0" w:color="auto"/>
        <w:left w:val="none" w:sz="0" w:space="0" w:color="auto"/>
        <w:bottom w:val="none" w:sz="0" w:space="0" w:color="auto"/>
        <w:right w:val="none" w:sz="0" w:space="0" w:color="auto"/>
      </w:divBdr>
    </w:div>
    <w:div w:id="309097704">
      <w:bodyDiv w:val="1"/>
      <w:marLeft w:val="0"/>
      <w:marRight w:val="0"/>
      <w:marTop w:val="0"/>
      <w:marBottom w:val="0"/>
      <w:divBdr>
        <w:top w:val="none" w:sz="0" w:space="0" w:color="auto"/>
        <w:left w:val="none" w:sz="0" w:space="0" w:color="auto"/>
        <w:bottom w:val="none" w:sz="0" w:space="0" w:color="auto"/>
        <w:right w:val="none" w:sz="0" w:space="0" w:color="auto"/>
      </w:divBdr>
    </w:div>
    <w:div w:id="313218895">
      <w:bodyDiv w:val="1"/>
      <w:marLeft w:val="0"/>
      <w:marRight w:val="0"/>
      <w:marTop w:val="0"/>
      <w:marBottom w:val="0"/>
      <w:divBdr>
        <w:top w:val="none" w:sz="0" w:space="0" w:color="auto"/>
        <w:left w:val="none" w:sz="0" w:space="0" w:color="auto"/>
        <w:bottom w:val="none" w:sz="0" w:space="0" w:color="auto"/>
        <w:right w:val="none" w:sz="0" w:space="0" w:color="auto"/>
      </w:divBdr>
    </w:div>
    <w:div w:id="313878137">
      <w:bodyDiv w:val="1"/>
      <w:marLeft w:val="0"/>
      <w:marRight w:val="0"/>
      <w:marTop w:val="0"/>
      <w:marBottom w:val="0"/>
      <w:divBdr>
        <w:top w:val="none" w:sz="0" w:space="0" w:color="auto"/>
        <w:left w:val="none" w:sz="0" w:space="0" w:color="auto"/>
        <w:bottom w:val="none" w:sz="0" w:space="0" w:color="auto"/>
        <w:right w:val="none" w:sz="0" w:space="0" w:color="auto"/>
      </w:divBdr>
    </w:div>
    <w:div w:id="315381643">
      <w:bodyDiv w:val="1"/>
      <w:marLeft w:val="0"/>
      <w:marRight w:val="0"/>
      <w:marTop w:val="0"/>
      <w:marBottom w:val="0"/>
      <w:divBdr>
        <w:top w:val="none" w:sz="0" w:space="0" w:color="auto"/>
        <w:left w:val="none" w:sz="0" w:space="0" w:color="auto"/>
        <w:bottom w:val="none" w:sz="0" w:space="0" w:color="auto"/>
        <w:right w:val="none" w:sz="0" w:space="0" w:color="auto"/>
      </w:divBdr>
    </w:div>
    <w:div w:id="320887246">
      <w:bodyDiv w:val="1"/>
      <w:marLeft w:val="0"/>
      <w:marRight w:val="0"/>
      <w:marTop w:val="0"/>
      <w:marBottom w:val="0"/>
      <w:divBdr>
        <w:top w:val="none" w:sz="0" w:space="0" w:color="auto"/>
        <w:left w:val="none" w:sz="0" w:space="0" w:color="auto"/>
        <w:bottom w:val="none" w:sz="0" w:space="0" w:color="auto"/>
        <w:right w:val="none" w:sz="0" w:space="0" w:color="auto"/>
      </w:divBdr>
    </w:div>
    <w:div w:id="321199979">
      <w:bodyDiv w:val="1"/>
      <w:marLeft w:val="0"/>
      <w:marRight w:val="0"/>
      <w:marTop w:val="0"/>
      <w:marBottom w:val="0"/>
      <w:divBdr>
        <w:top w:val="none" w:sz="0" w:space="0" w:color="auto"/>
        <w:left w:val="none" w:sz="0" w:space="0" w:color="auto"/>
        <w:bottom w:val="none" w:sz="0" w:space="0" w:color="auto"/>
        <w:right w:val="none" w:sz="0" w:space="0" w:color="auto"/>
      </w:divBdr>
    </w:div>
    <w:div w:id="325672277">
      <w:bodyDiv w:val="1"/>
      <w:marLeft w:val="0"/>
      <w:marRight w:val="0"/>
      <w:marTop w:val="0"/>
      <w:marBottom w:val="0"/>
      <w:divBdr>
        <w:top w:val="none" w:sz="0" w:space="0" w:color="auto"/>
        <w:left w:val="none" w:sz="0" w:space="0" w:color="auto"/>
        <w:bottom w:val="none" w:sz="0" w:space="0" w:color="auto"/>
        <w:right w:val="none" w:sz="0" w:space="0" w:color="auto"/>
      </w:divBdr>
    </w:div>
    <w:div w:id="328677036">
      <w:bodyDiv w:val="1"/>
      <w:marLeft w:val="0"/>
      <w:marRight w:val="0"/>
      <w:marTop w:val="0"/>
      <w:marBottom w:val="0"/>
      <w:divBdr>
        <w:top w:val="none" w:sz="0" w:space="0" w:color="auto"/>
        <w:left w:val="none" w:sz="0" w:space="0" w:color="auto"/>
        <w:bottom w:val="none" w:sz="0" w:space="0" w:color="auto"/>
        <w:right w:val="none" w:sz="0" w:space="0" w:color="auto"/>
      </w:divBdr>
    </w:div>
    <w:div w:id="330718075">
      <w:bodyDiv w:val="1"/>
      <w:marLeft w:val="0"/>
      <w:marRight w:val="0"/>
      <w:marTop w:val="0"/>
      <w:marBottom w:val="0"/>
      <w:divBdr>
        <w:top w:val="none" w:sz="0" w:space="0" w:color="auto"/>
        <w:left w:val="none" w:sz="0" w:space="0" w:color="auto"/>
        <w:bottom w:val="none" w:sz="0" w:space="0" w:color="auto"/>
        <w:right w:val="none" w:sz="0" w:space="0" w:color="auto"/>
      </w:divBdr>
    </w:div>
    <w:div w:id="331686896">
      <w:bodyDiv w:val="1"/>
      <w:marLeft w:val="0"/>
      <w:marRight w:val="0"/>
      <w:marTop w:val="0"/>
      <w:marBottom w:val="0"/>
      <w:divBdr>
        <w:top w:val="none" w:sz="0" w:space="0" w:color="auto"/>
        <w:left w:val="none" w:sz="0" w:space="0" w:color="auto"/>
        <w:bottom w:val="none" w:sz="0" w:space="0" w:color="auto"/>
        <w:right w:val="none" w:sz="0" w:space="0" w:color="auto"/>
      </w:divBdr>
    </w:div>
    <w:div w:id="332755947">
      <w:bodyDiv w:val="1"/>
      <w:marLeft w:val="0"/>
      <w:marRight w:val="0"/>
      <w:marTop w:val="0"/>
      <w:marBottom w:val="0"/>
      <w:divBdr>
        <w:top w:val="none" w:sz="0" w:space="0" w:color="auto"/>
        <w:left w:val="none" w:sz="0" w:space="0" w:color="auto"/>
        <w:bottom w:val="none" w:sz="0" w:space="0" w:color="auto"/>
        <w:right w:val="none" w:sz="0" w:space="0" w:color="auto"/>
      </w:divBdr>
    </w:div>
    <w:div w:id="338968526">
      <w:bodyDiv w:val="1"/>
      <w:marLeft w:val="0"/>
      <w:marRight w:val="0"/>
      <w:marTop w:val="0"/>
      <w:marBottom w:val="0"/>
      <w:divBdr>
        <w:top w:val="none" w:sz="0" w:space="0" w:color="auto"/>
        <w:left w:val="none" w:sz="0" w:space="0" w:color="auto"/>
        <w:bottom w:val="none" w:sz="0" w:space="0" w:color="auto"/>
        <w:right w:val="none" w:sz="0" w:space="0" w:color="auto"/>
      </w:divBdr>
    </w:div>
    <w:div w:id="339043515">
      <w:bodyDiv w:val="1"/>
      <w:marLeft w:val="0"/>
      <w:marRight w:val="0"/>
      <w:marTop w:val="0"/>
      <w:marBottom w:val="0"/>
      <w:divBdr>
        <w:top w:val="none" w:sz="0" w:space="0" w:color="auto"/>
        <w:left w:val="none" w:sz="0" w:space="0" w:color="auto"/>
        <w:bottom w:val="none" w:sz="0" w:space="0" w:color="auto"/>
        <w:right w:val="none" w:sz="0" w:space="0" w:color="auto"/>
      </w:divBdr>
    </w:div>
    <w:div w:id="345519109">
      <w:bodyDiv w:val="1"/>
      <w:marLeft w:val="0"/>
      <w:marRight w:val="0"/>
      <w:marTop w:val="0"/>
      <w:marBottom w:val="0"/>
      <w:divBdr>
        <w:top w:val="none" w:sz="0" w:space="0" w:color="auto"/>
        <w:left w:val="none" w:sz="0" w:space="0" w:color="auto"/>
        <w:bottom w:val="none" w:sz="0" w:space="0" w:color="auto"/>
        <w:right w:val="none" w:sz="0" w:space="0" w:color="auto"/>
      </w:divBdr>
    </w:div>
    <w:div w:id="349259356">
      <w:bodyDiv w:val="1"/>
      <w:marLeft w:val="0"/>
      <w:marRight w:val="0"/>
      <w:marTop w:val="0"/>
      <w:marBottom w:val="0"/>
      <w:divBdr>
        <w:top w:val="none" w:sz="0" w:space="0" w:color="auto"/>
        <w:left w:val="none" w:sz="0" w:space="0" w:color="auto"/>
        <w:bottom w:val="none" w:sz="0" w:space="0" w:color="auto"/>
        <w:right w:val="none" w:sz="0" w:space="0" w:color="auto"/>
      </w:divBdr>
    </w:div>
    <w:div w:id="351997644">
      <w:bodyDiv w:val="1"/>
      <w:marLeft w:val="0"/>
      <w:marRight w:val="0"/>
      <w:marTop w:val="0"/>
      <w:marBottom w:val="0"/>
      <w:divBdr>
        <w:top w:val="none" w:sz="0" w:space="0" w:color="auto"/>
        <w:left w:val="none" w:sz="0" w:space="0" w:color="auto"/>
        <w:bottom w:val="none" w:sz="0" w:space="0" w:color="auto"/>
        <w:right w:val="none" w:sz="0" w:space="0" w:color="auto"/>
      </w:divBdr>
    </w:div>
    <w:div w:id="356470314">
      <w:bodyDiv w:val="1"/>
      <w:marLeft w:val="0"/>
      <w:marRight w:val="0"/>
      <w:marTop w:val="0"/>
      <w:marBottom w:val="0"/>
      <w:divBdr>
        <w:top w:val="none" w:sz="0" w:space="0" w:color="auto"/>
        <w:left w:val="none" w:sz="0" w:space="0" w:color="auto"/>
        <w:bottom w:val="none" w:sz="0" w:space="0" w:color="auto"/>
        <w:right w:val="none" w:sz="0" w:space="0" w:color="auto"/>
      </w:divBdr>
    </w:div>
    <w:div w:id="360861064">
      <w:bodyDiv w:val="1"/>
      <w:marLeft w:val="0"/>
      <w:marRight w:val="0"/>
      <w:marTop w:val="0"/>
      <w:marBottom w:val="0"/>
      <w:divBdr>
        <w:top w:val="none" w:sz="0" w:space="0" w:color="auto"/>
        <w:left w:val="none" w:sz="0" w:space="0" w:color="auto"/>
        <w:bottom w:val="none" w:sz="0" w:space="0" w:color="auto"/>
        <w:right w:val="none" w:sz="0" w:space="0" w:color="auto"/>
      </w:divBdr>
    </w:div>
    <w:div w:id="363215454">
      <w:bodyDiv w:val="1"/>
      <w:marLeft w:val="0"/>
      <w:marRight w:val="0"/>
      <w:marTop w:val="0"/>
      <w:marBottom w:val="0"/>
      <w:divBdr>
        <w:top w:val="none" w:sz="0" w:space="0" w:color="auto"/>
        <w:left w:val="none" w:sz="0" w:space="0" w:color="auto"/>
        <w:bottom w:val="none" w:sz="0" w:space="0" w:color="auto"/>
        <w:right w:val="none" w:sz="0" w:space="0" w:color="auto"/>
      </w:divBdr>
    </w:div>
    <w:div w:id="367725479">
      <w:bodyDiv w:val="1"/>
      <w:marLeft w:val="0"/>
      <w:marRight w:val="0"/>
      <w:marTop w:val="0"/>
      <w:marBottom w:val="0"/>
      <w:divBdr>
        <w:top w:val="none" w:sz="0" w:space="0" w:color="auto"/>
        <w:left w:val="none" w:sz="0" w:space="0" w:color="auto"/>
        <w:bottom w:val="none" w:sz="0" w:space="0" w:color="auto"/>
        <w:right w:val="none" w:sz="0" w:space="0" w:color="auto"/>
      </w:divBdr>
      <w:divsChild>
        <w:div w:id="389157055">
          <w:marLeft w:val="547"/>
          <w:marRight w:val="0"/>
          <w:marTop w:val="0"/>
          <w:marBottom w:val="0"/>
          <w:divBdr>
            <w:top w:val="none" w:sz="0" w:space="0" w:color="auto"/>
            <w:left w:val="none" w:sz="0" w:space="0" w:color="auto"/>
            <w:bottom w:val="none" w:sz="0" w:space="0" w:color="auto"/>
            <w:right w:val="none" w:sz="0" w:space="0" w:color="auto"/>
          </w:divBdr>
        </w:div>
        <w:div w:id="987518043">
          <w:marLeft w:val="547"/>
          <w:marRight w:val="0"/>
          <w:marTop w:val="0"/>
          <w:marBottom w:val="0"/>
          <w:divBdr>
            <w:top w:val="none" w:sz="0" w:space="0" w:color="auto"/>
            <w:left w:val="none" w:sz="0" w:space="0" w:color="auto"/>
            <w:bottom w:val="none" w:sz="0" w:space="0" w:color="auto"/>
            <w:right w:val="none" w:sz="0" w:space="0" w:color="auto"/>
          </w:divBdr>
        </w:div>
        <w:div w:id="1058629342">
          <w:marLeft w:val="547"/>
          <w:marRight w:val="0"/>
          <w:marTop w:val="0"/>
          <w:marBottom w:val="0"/>
          <w:divBdr>
            <w:top w:val="none" w:sz="0" w:space="0" w:color="auto"/>
            <w:left w:val="none" w:sz="0" w:space="0" w:color="auto"/>
            <w:bottom w:val="none" w:sz="0" w:space="0" w:color="auto"/>
            <w:right w:val="none" w:sz="0" w:space="0" w:color="auto"/>
          </w:divBdr>
        </w:div>
        <w:div w:id="1151171258">
          <w:marLeft w:val="547"/>
          <w:marRight w:val="0"/>
          <w:marTop w:val="0"/>
          <w:marBottom w:val="0"/>
          <w:divBdr>
            <w:top w:val="none" w:sz="0" w:space="0" w:color="auto"/>
            <w:left w:val="none" w:sz="0" w:space="0" w:color="auto"/>
            <w:bottom w:val="none" w:sz="0" w:space="0" w:color="auto"/>
            <w:right w:val="none" w:sz="0" w:space="0" w:color="auto"/>
          </w:divBdr>
        </w:div>
        <w:div w:id="1324358004">
          <w:marLeft w:val="547"/>
          <w:marRight w:val="0"/>
          <w:marTop w:val="0"/>
          <w:marBottom w:val="0"/>
          <w:divBdr>
            <w:top w:val="none" w:sz="0" w:space="0" w:color="auto"/>
            <w:left w:val="none" w:sz="0" w:space="0" w:color="auto"/>
            <w:bottom w:val="none" w:sz="0" w:space="0" w:color="auto"/>
            <w:right w:val="none" w:sz="0" w:space="0" w:color="auto"/>
          </w:divBdr>
        </w:div>
        <w:div w:id="1560441284">
          <w:marLeft w:val="994"/>
          <w:marRight w:val="0"/>
          <w:marTop w:val="0"/>
          <w:marBottom w:val="0"/>
          <w:divBdr>
            <w:top w:val="none" w:sz="0" w:space="0" w:color="auto"/>
            <w:left w:val="none" w:sz="0" w:space="0" w:color="auto"/>
            <w:bottom w:val="none" w:sz="0" w:space="0" w:color="auto"/>
            <w:right w:val="none" w:sz="0" w:space="0" w:color="auto"/>
          </w:divBdr>
        </w:div>
      </w:divsChild>
    </w:div>
    <w:div w:id="370686186">
      <w:bodyDiv w:val="1"/>
      <w:marLeft w:val="0"/>
      <w:marRight w:val="0"/>
      <w:marTop w:val="0"/>
      <w:marBottom w:val="0"/>
      <w:divBdr>
        <w:top w:val="none" w:sz="0" w:space="0" w:color="auto"/>
        <w:left w:val="none" w:sz="0" w:space="0" w:color="auto"/>
        <w:bottom w:val="none" w:sz="0" w:space="0" w:color="auto"/>
        <w:right w:val="none" w:sz="0" w:space="0" w:color="auto"/>
      </w:divBdr>
    </w:div>
    <w:div w:id="375009013">
      <w:bodyDiv w:val="1"/>
      <w:marLeft w:val="0"/>
      <w:marRight w:val="0"/>
      <w:marTop w:val="0"/>
      <w:marBottom w:val="0"/>
      <w:divBdr>
        <w:top w:val="none" w:sz="0" w:space="0" w:color="auto"/>
        <w:left w:val="none" w:sz="0" w:space="0" w:color="auto"/>
        <w:bottom w:val="none" w:sz="0" w:space="0" w:color="auto"/>
        <w:right w:val="none" w:sz="0" w:space="0" w:color="auto"/>
      </w:divBdr>
    </w:div>
    <w:div w:id="376248407">
      <w:bodyDiv w:val="1"/>
      <w:marLeft w:val="0"/>
      <w:marRight w:val="0"/>
      <w:marTop w:val="0"/>
      <w:marBottom w:val="0"/>
      <w:divBdr>
        <w:top w:val="none" w:sz="0" w:space="0" w:color="auto"/>
        <w:left w:val="none" w:sz="0" w:space="0" w:color="auto"/>
        <w:bottom w:val="none" w:sz="0" w:space="0" w:color="auto"/>
        <w:right w:val="none" w:sz="0" w:space="0" w:color="auto"/>
      </w:divBdr>
    </w:div>
    <w:div w:id="379480251">
      <w:bodyDiv w:val="1"/>
      <w:marLeft w:val="0"/>
      <w:marRight w:val="0"/>
      <w:marTop w:val="0"/>
      <w:marBottom w:val="0"/>
      <w:divBdr>
        <w:top w:val="none" w:sz="0" w:space="0" w:color="auto"/>
        <w:left w:val="none" w:sz="0" w:space="0" w:color="auto"/>
        <w:bottom w:val="none" w:sz="0" w:space="0" w:color="auto"/>
        <w:right w:val="none" w:sz="0" w:space="0" w:color="auto"/>
      </w:divBdr>
    </w:div>
    <w:div w:id="381709787">
      <w:bodyDiv w:val="1"/>
      <w:marLeft w:val="0"/>
      <w:marRight w:val="0"/>
      <w:marTop w:val="0"/>
      <w:marBottom w:val="0"/>
      <w:divBdr>
        <w:top w:val="none" w:sz="0" w:space="0" w:color="auto"/>
        <w:left w:val="none" w:sz="0" w:space="0" w:color="auto"/>
        <w:bottom w:val="none" w:sz="0" w:space="0" w:color="auto"/>
        <w:right w:val="none" w:sz="0" w:space="0" w:color="auto"/>
      </w:divBdr>
    </w:div>
    <w:div w:id="386494640">
      <w:bodyDiv w:val="1"/>
      <w:marLeft w:val="0"/>
      <w:marRight w:val="0"/>
      <w:marTop w:val="0"/>
      <w:marBottom w:val="0"/>
      <w:divBdr>
        <w:top w:val="none" w:sz="0" w:space="0" w:color="auto"/>
        <w:left w:val="none" w:sz="0" w:space="0" w:color="auto"/>
        <w:bottom w:val="none" w:sz="0" w:space="0" w:color="auto"/>
        <w:right w:val="none" w:sz="0" w:space="0" w:color="auto"/>
      </w:divBdr>
    </w:div>
    <w:div w:id="388844706">
      <w:bodyDiv w:val="1"/>
      <w:marLeft w:val="0"/>
      <w:marRight w:val="0"/>
      <w:marTop w:val="0"/>
      <w:marBottom w:val="0"/>
      <w:divBdr>
        <w:top w:val="none" w:sz="0" w:space="0" w:color="auto"/>
        <w:left w:val="none" w:sz="0" w:space="0" w:color="auto"/>
        <w:bottom w:val="none" w:sz="0" w:space="0" w:color="auto"/>
        <w:right w:val="none" w:sz="0" w:space="0" w:color="auto"/>
      </w:divBdr>
    </w:div>
    <w:div w:id="393898308">
      <w:bodyDiv w:val="1"/>
      <w:marLeft w:val="0"/>
      <w:marRight w:val="0"/>
      <w:marTop w:val="0"/>
      <w:marBottom w:val="0"/>
      <w:divBdr>
        <w:top w:val="none" w:sz="0" w:space="0" w:color="auto"/>
        <w:left w:val="none" w:sz="0" w:space="0" w:color="auto"/>
        <w:bottom w:val="none" w:sz="0" w:space="0" w:color="auto"/>
        <w:right w:val="none" w:sz="0" w:space="0" w:color="auto"/>
      </w:divBdr>
    </w:div>
    <w:div w:id="405693191">
      <w:bodyDiv w:val="1"/>
      <w:marLeft w:val="0"/>
      <w:marRight w:val="0"/>
      <w:marTop w:val="0"/>
      <w:marBottom w:val="0"/>
      <w:divBdr>
        <w:top w:val="none" w:sz="0" w:space="0" w:color="auto"/>
        <w:left w:val="none" w:sz="0" w:space="0" w:color="auto"/>
        <w:bottom w:val="none" w:sz="0" w:space="0" w:color="auto"/>
        <w:right w:val="none" w:sz="0" w:space="0" w:color="auto"/>
      </w:divBdr>
    </w:div>
    <w:div w:id="407263809">
      <w:bodyDiv w:val="1"/>
      <w:marLeft w:val="0"/>
      <w:marRight w:val="0"/>
      <w:marTop w:val="0"/>
      <w:marBottom w:val="0"/>
      <w:divBdr>
        <w:top w:val="none" w:sz="0" w:space="0" w:color="auto"/>
        <w:left w:val="none" w:sz="0" w:space="0" w:color="auto"/>
        <w:bottom w:val="none" w:sz="0" w:space="0" w:color="auto"/>
        <w:right w:val="none" w:sz="0" w:space="0" w:color="auto"/>
      </w:divBdr>
    </w:div>
    <w:div w:id="414939262">
      <w:bodyDiv w:val="1"/>
      <w:marLeft w:val="0"/>
      <w:marRight w:val="0"/>
      <w:marTop w:val="0"/>
      <w:marBottom w:val="0"/>
      <w:divBdr>
        <w:top w:val="none" w:sz="0" w:space="0" w:color="auto"/>
        <w:left w:val="none" w:sz="0" w:space="0" w:color="auto"/>
        <w:bottom w:val="none" w:sz="0" w:space="0" w:color="auto"/>
        <w:right w:val="none" w:sz="0" w:space="0" w:color="auto"/>
      </w:divBdr>
    </w:div>
    <w:div w:id="416364767">
      <w:bodyDiv w:val="1"/>
      <w:marLeft w:val="0"/>
      <w:marRight w:val="0"/>
      <w:marTop w:val="0"/>
      <w:marBottom w:val="0"/>
      <w:divBdr>
        <w:top w:val="none" w:sz="0" w:space="0" w:color="auto"/>
        <w:left w:val="none" w:sz="0" w:space="0" w:color="auto"/>
        <w:bottom w:val="none" w:sz="0" w:space="0" w:color="auto"/>
        <w:right w:val="none" w:sz="0" w:space="0" w:color="auto"/>
      </w:divBdr>
    </w:div>
    <w:div w:id="420105726">
      <w:bodyDiv w:val="1"/>
      <w:marLeft w:val="0"/>
      <w:marRight w:val="0"/>
      <w:marTop w:val="0"/>
      <w:marBottom w:val="0"/>
      <w:divBdr>
        <w:top w:val="none" w:sz="0" w:space="0" w:color="auto"/>
        <w:left w:val="none" w:sz="0" w:space="0" w:color="auto"/>
        <w:bottom w:val="none" w:sz="0" w:space="0" w:color="auto"/>
        <w:right w:val="none" w:sz="0" w:space="0" w:color="auto"/>
      </w:divBdr>
    </w:div>
    <w:div w:id="427193001">
      <w:bodyDiv w:val="1"/>
      <w:marLeft w:val="0"/>
      <w:marRight w:val="0"/>
      <w:marTop w:val="0"/>
      <w:marBottom w:val="0"/>
      <w:divBdr>
        <w:top w:val="none" w:sz="0" w:space="0" w:color="auto"/>
        <w:left w:val="none" w:sz="0" w:space="0" w:color="auto"/>
        <w:bottom w:val="none" w:sz="0" w:space="0" w:color="auto"/>
        <w:right w:val="none" w:sz="0" w:space="0" w:color="auto"/>
      </w:divBdr>
    </w:div>
    <w:div w:id="428308119">
      <w:bodyDiv w:val="1"/>
      <w:marLeft w:val="0"/>
      <w:marRight w:val="0"/>
      <w:marTop w:val="0"/>
      <w:marBottom w:val="0"/>
      <w:divBdr>
        <w:top w:val="none" w:sz="0" w:space="0" w:color="auto"/>
        <w:left w:val="none" w:sz="0" w:space="0" w:color="auto"/>
        <w:bottom w:val="none" w:sz="0" w:space="0" w:color="auto"/>
        <w:right w:val="none" w:sz="0" w:space="0" w:color="auto"/>
      </w:divBdr>
    </w:div>
    <w:div w:id="445462967">
      <w:bodyDiv w:val="1"/>
      <w:marLeft w:val="0"/>
      <w:marRight w:val="0"/>
      <w:marTop w:val="0"/>
      <w:marBottom w:val="0"/>
      <w:divBdr>
        <w:top w:val="none" w:sz="0" w:space="0" w:color="auto"/>
        <w:left w:val="none" w:sz="0" w:space="0" w:color="auto"/>
        <w:bottom w:val="none" w:sz="0" w:space="0" w:color="auto"/>
        <w:right w:val="none" w:sz="0" w:space="0" w:color="auto"/>
      </w:divBdr>
    </w:div>
    <w:div w:id="445467690">
      <w:bodyDiv w:val="1"/>
      <w:marLeft w:val="0"/>
      <w:marRight w:val="0"/>
      <w:marTop w:val="0"/>
      <w:marBottom w:val="0"/>
      <w:divBdr>
        <w:top w:val="none" w:sz="0" w:space="0" w:color="auto"/>
        <w:left w:val="none" w:sz="0" w:space="0" w:color="auto"/>
        <w:bottom w:val="none" w:sz="0" w:space="0" w:color="auto"/>
        <w:right w:val="none" w:sz="0" w:space="0" w:color="auto"/>
      </w:divBdr>
    </w:div>
    <w:div w:id="457408454">
      <w:bodyDiv w:val="1"/>
      <w:marLeft w:val="0"/>
      <w:marRight w:val="0"/>
      <w:marTop w:val="0"/>
      <w:marBottom w:val="0"/>
      <w:divBdr>
        <w:top w:val="none" w:sz="0" w:space="0" w:color="auto"/>
        <w:left w:val="none" w:sz="0" w:space="0" w:color="auto"/>
        <w:bottom w:val="none" w:sz="0" w:space="0" w:color="auto"/>
        <w:right w:val="none" w:sz="0" w:space="0" w:color="auto"/>
      </w:divBdr>
    </w:div>
    <w:div w:id="460349086">
      <w:bodyDiv w:val="1"/>
      <w:marLeft w:val="0"/>
      <w:marRight w:val="0"/>
      <w:marTop w:val="0"/>
      <w:marBottom w:val="0"/>
      <w:divBdr>
        <w:top w:val="none" w:sz="0" w:space="0" w:color="auto"/>
        <w:left w:val="none" w:sz="0" w:space="0" w:color="auto"/>
        <w:bottom w:val="none" w:sz="0" w:space="0" w:color="auto"/>
        <w:right w:val="none" w:sz="0" w:space="0" w:color="auto"/>
      </w:divBdr>
    </w:div>
    <w:div w:id="460537808">
      <w:bodyDiv w:val="1"/>
      <w:marLeft w:val="0"/>
      <w:marRight w:val="0"/>
      <w:marTop w:val="0"/>
      <w:marBottom w:val="0"/>
      <w:divBdr>
        <w:top w:val="none" w:sz="0" w:space="0" w:color="auto"/>
        <w:left w:val="none" w:sz="0" w:space="0" w:color="auto"/>
        <w:bottom w:val="none" w:sz="0" w:space="0" w:color="auto"/>
        <w:right w:val="none" w:sz="0" w:space="0" w:color="auto"/>
      </w:divBdr>
    </w:div>
    <w:div w:id="461122467">
      <w:bodyDiv w:val="1"/>
      <w:marLeft w:val="0"/>
      <w:marRight w:val="0"/>
      <w:marTop w:val="0"/>
      <w:marBottom w:val="0"/>
      <w:divBdr>
        <w:top w:val="none" w:sz="0" w:space="0" w:color="auto"/>
        <w:left w:val="none" w:sz="0" w:space="0" w:color="auto"/>
        <w:bottom w:val="none" w:sz="0" w:space="0" w:color="auto"/>
        <w:right w:val="none" w:sz="0" w:space="0" w:color="auto"/>
      </w:divBdr>
    </w:div>
    <w:div w:id="461965690">
      <w:bodyDiv w:val="1"/>
      <w:marLeft w:val="0"/>
      <w:marRight w:val="0"/>
      <w:marTop w:val="0"/>
      <w:marBottom w:val="0"/>
      <w:divBdr>
        <w:top w:val="none" w:sz="0" w:space="0" w:color="auto"/>
        <w:left w:val="none" w:sz="0" w:space="0" w:color="auto"/>
        <w:bottom w:val="none" w:sz="0" w:space="0" w:color="auto"/>
        <w:right w:val="none" w:sz="0" w:space="0" w:color="auto"/>
      </w:divBdr>
    </w:div>
    <w:div w:id="476847532">
      <w:bodyDiv w:val="1"/>
      <w:marLeft w:val="0"/>
      <w:marRight w:val="0"/>
      <w:marTop w:val="0"/>
      <w:marBottom w:val="0"/>
      <w:divBdr>
        <w:top w:val="none" w:sz="0" w:space="0" w:color="auto"/>
        <w:left w:val="none" w:sz="0" w:space="0" w:color="auto"/>
        <w:bottom w:val="none" w:sz="0" w:space="0" w:color="auto"/>
        <w:right w:val="none" w:sz="0" w:space="0" w:color="auto"/>
      </w:divBdr>
    </w:div>
    <w:div w:id="478426354">
      <w:bodyDiv w:val="1"/>
      <w:marLeft w:val="0"/>
      <w:marRight w:val="0"/>
      <w:marTop w:val="0"/>
      <w:marBottom w:val="0"/>
      <w:divBdr>
        <w:top w:val="none" w:sz="0" w:space="0" w:color="auto"/>
        <w:left w:val="none" w:sz="0" w:space="0" w:color="auto"/>
        <w:bottom w:val="none" w:sz="0" w:space="0" w:color="auto"/>
        <w:right w:val="none" w:sz="0" w:space="0" w:color="auto"/>
      </w:divBdr>
    </w:div>
    <w:div w:id="480847862">
      <w:bodyDiv w:val="1"/>
      <w:marLeft w:val="0"/>
      <w:marRight w:val="0"/>
      <w:marTop w:val="0"/>
      <w:marBottom w:val="0"/>
      <w:divBdr>
        <w:top w:val="none" w:sz="0" w:space="0" w:color="auto"/>
        <w:left w:val="none" w:sz="0" w:space="0" w:color="auto"/>
        <w:bottom w:val="none" w:sz="0" w:space="0" w:color="auto"/>
        <w:right w:val="none" w:sz="0" w:space="0" w:color="auto"/>
      </w:divBdr>
    </w:div>
    <w:div w:id="486018717">
      <w:bodyDiv w:val="1"/>
      <w:marLeft w:val="0"/>
      <w:marRight w:val="0"/>
      <w:marTop w:val="0"/>
      <w:marBottom w:val="0"/>
      <w:divBdr>
        <w:top w:val="none" w:sz="0" w:space="0" w:color="auto"/>
        <w:left w:val="none" w:sz="0" w:space="0" w:color="auto"/>
        <w:bottom w:val="none" w:sz="0" w:space="0" w:color="auto"/>
        <w:right w:val="none" w:sz="0" w:space="0" w:color="auto"/>
      </w:divBdr>
    </w:div>
    <w:div w:id="486435039">
      <w:bodyDiv w:val="1"/>
      <w:marLeft w:val="0"/>
      <w:marRight w:val="0"/>
      <w:marTop w:val="0"/>
      <w:marBottom w:val="0"/>
      <w:divBdr>
        <w:top w:val="none" w:sz="0" w:space="0" w:color="auto"/>
        <w:left w:val="none" w:sz="0" w:space="0" w:color="auto"/>
        <w:bottom w:val="none" w:sz="0" w:space="0" w:color="auto"/>
        <w:right w:val="none" w:sz="0" w:space="0" w:color="auto"/>
      </w:divBdr>
    </w:div>
    <w:div w:id="488792527">
      <w:bodyDiv w:val="1"/>
      <w:marLeft w:val="0"/>
      <w:marRight w:val="0"/>
      <w:marTop w:val="0"/>
      <w:marBottom w:val="0"/>
      <w:divBdr>
        <w:top w:val="none" w:sz="0" w:space="0" w:color="auto"/>
        <w:left w:val="none" w:sz="0" w:space="0" w:color="auto"/>
        <w:bottom w:val="none" w:sz="0" w:space="0" w:color="auto"/>
        <w:right w:val="none" w:sz="0" w:space="0" w:color="auto"/>
      </w:divBdr>
    </w:div>
    <w:div w:id="496307645">
      <w:bodyDiv w:val="1"/>
      <w:marLeft w:val="0"/>
      <w:marRight w:val="0"/>
      <w:marTop w:val="0"/>
      <w:marBottom w:val="0"/>
      <w:divBdr>
        <w:top w:val="none" w:sz="0" w:space="0" w:color="auto"/>
        <w:left w:val="none" w:sz="0" w:space="0" w:color="auto"/>
        <w:bottom w:val="none" w:sz="0" w:space="0" w:color="auto"/>
        <w:right w:val="none" w:sz="0" w:space="0" w:color="auto"/>
      </w:divBdr>
    </w:div>
    <w:div w:id="496311233">
      <w:bodyDiv w:val="1"/>
      <w:marLeft w:val="0"/>
      <w:marRight w:val="0"/>
      <w:marTop w:val="0"/>
      <w:marBottom w:val="0"/>
      <w:divBdr>
        <w:top w:val="none" w:sz="0" w:space="0" w:color="auto"/>
        <w:left w:val="none" w:sz="0" w:space="0" w:color="auto"/>
        <w:bottom w:val="none" w:sz="0" w:space="0" w:color="auto"/>
        <w:right w:val="none" w:sz="0" w:space="0" w:color="auto"/>
      </w:divBdr>
    </w:div>
    <w:div w:id="499202167">
      <w:bodyDiv w:val="1"/>
      <w:marLeft w:val="0"/>
      <w:marRight w:val="0"/>
      <w:marTop w:val="0"/>
      <w:marBottom w:val="0"/>
      <w:divBdr>
        <w:top w:val="none" w:sz="0" w:space="0" w:color="auto"/>
        <w:left w:val="none" w:sz="0" w:space="0" w:color="auto"/>
        <w:bottom w:val="none" w:sz="0" w:space="0" w:color="auto"/>
        <w:right w:val="none" w:sz="0" w:space="0" w:color="auto"/>
      </w:divBdr>
    </w:div>
    <w:div w:id="502550019">
      <w:bodyDiv w:val="1"/>
      <w:marLeft w:val="0"/>
      <w:marRight w:val="0"/>
      <w:marTop w:val="0"/>
      <w:marBottom w:val="0"/>
      <w:divBdr>
        <w:top w:val="none" w:sz="0" w:space="0" w:color="auto"/>
        <w:left w:val="none" w:sz="0" w:space="0" w:color="auto"/>
        <w:bottom w:val="none" w:sz="0" w:space="0" w:color="auto"/>
        <w:right w:val="none" w:sz="0" w:space="0" w:color="auto"/>
      </w:divBdr>
    </w:div>
    <w:div w:id="504052182">
      <w:bodyDiv w:val="1"/>
      <w:marLeft w:val="0"/>
      <w:marRight w:val="0"/>
      <w:marTop w:val="0"/>
      <w:marBottom w:val="0"/>
      <w:divBdr>
        <w:top w:val="none" w:sz="0" w:space="0" w:color="auto"/>
        <w:left w:val="none" w:sz="0" w:space="0" w:color="auto"/>
        <w:bottom w:val="none" w:sz="0" w:space="0" w:color="auto"/>
        <w:right w:val="none" w:sz="0" w:space="0" w:color="auto"/>
      </w:divBdr>
    </w:div>
    <w:div w:id="513761225">
      <w:bodyDiv w:val="1"/>
      <w:marLeft w:val="0"/>
      <w:marRight w:val="0"/>
      <w:marTop w:val="0"/>
      <w:marBottom w:val="0"/>
      <w:divBdr>
        <w:top w:val="none" w:sz="0" w:space="0" w:color="auto"/>
        <w:left w:val="none" w:sz="0" w:space="0" w:color="auto"/>
        <w:bottom w:val="none" w:sz="0" w:space="0" w:color="auto"/>
        <w:right w:val="none" w:sz="0" w:space="0" w:color="auto"/>
      </w:divBdr>
    </w:div>
    <w:div w:id="521552668">
      <w:bodyDiv w:val="1"/>
      <w:marLeft w:val="0"/>
      <w:marRight w:val="0"/>
      <w:marTop w:val="0"/>
      <w:marBottom w:val="0"/>
      <w:divBdr>
        <w:top w:val="none" w:sz="0" w:space="0" w:color="auto"/>
        <w:left w:val="none" w:sz="0" w:space="0" w:color="auto"/>
        <w:bottom w:val="none" w:sz="0" w:space="0" w:color="auto"/>
        <w:right w:val="none" w:sz="0" w:space="0" w:color="auto"/>
      </w:divBdr>
    </w:div>
    <w:div w:id="523253727">
      <w:bodyDiv w:val="1"/>
      <w:marLeft w:val="0"/>
      <w:marRight w:val="0"/>
      <w:marTop w:val="0"/>
      <w:marBottom w:val="0"/>
      <w:divBdr>
        <w:top w:val="none" w:sz="0" w:space="0" w:color="auto"/>
        <w:left w:val="none" w:sz="0" w:space="0" w:color="auto"/>
        <w:bottom w:val="none" w:sz="0" w:space="0" w:color="auto"/>
        <w:right w:val="none" w:sz="0" w:space="0" w:color="auto"/>
      </w:divBdr>
    </w:div>
    <w:div w:id="526605120">
      <w:bodyDiv w:val="1"/>
      <w:marLeft w:val="0"/>
      <w:marRight w:val="0"/>
      <w:marTop w:val="0"/>
      <w:marBottom w:val="0"/>
      <w:divBdr>
        <w:top w:val="none" w:sz="0" w:space="0" w:color="auto"/>
        <w:left w:val="none" w:sz="0" w:space="0" w:color="auto"/>
        <w:bottom w:val="none" w:sz="0" w:space="0" w:color="auto"/>
        <w:right w:val="none" w:sz="0" w:space="0" w:color="auto"/>
      </w:divBdr>
    </w:div>
    <w:div w:id="534317544">
      <w:bodyDiv w:val="1"/>
      <w:marLeft w:val="0"/>
      <w:marRight w:val="0"/>
      <w:marTop w:val="0"/>
      <w:marBottom w:val="0"/>
      <w:divBdr>
        <w:top w:val="none" w:sz="0" w:space="0" w:color="auto"/>
        <w:left w:val="none" w:sz="0" w:space="0" w:color="auto"/>
        <w:bottom w:val="none" w:sz="0" w:space="0" w:color="auto"/>
        <w:right w:val="none" w:sz="0" w:space="0" w:color="auto"/>
      </w:divBdr>
    </w:div>
    <w:div w:id="534654496">
      <w:bodyDiv w:val="1"/>
      <w:marLeft w:val="0"/>
      <w:marRight w:val="0"/>
      <w:marTop w:val="0"/>
      <w:marBottom w:val="0"/>
      <w:divBdr>
        <w:top w:val="none" w:sz="0" w:space="0" w:color="auto"/>
        <w:left w:val="none" w:sz="0" w:space="0" w:color="auto"/>
        <w:bottom w:val="none" w:sz="0" w:space="0" w:color="auto"/>
        <w:right w:val="none" w:sz="0" w:space="0" w:color="auto"/>
      </w:divBdr>
    </w:div>
    <w:div w:id="544757257">
      <w:bodyDiv w:val="1"/>
      <w:marLeft w:val="0"/>
      <w:marRight w:val="0"/>
      <w:marTop w:val="0"/>
      <w:marBottom w:val="0"/>
      <w:divBdr>
        <w:top w:val="none" w:sz="0" w:space="0" w:color="auto"/>
        <w:left w:val="none" w:sz="0" w:space="0" w:color="auto"/>
        <w:bottom w:val="none" w:sz="0" w:space="0" w:color="auto"/>
        <w:right w:val="none" w:sz="0" w:space="0" w:color="auto"/>
      </w:divBdr>
    </w:div>
    <w:div w:id="546334430">
      <w:bodyDiv w:val="1"/>
      <w:marLeft w:val="0"/>
      <w:marRight w:val="0"/>
      <w:marTop w:val="0"/>
      <w:marBottom w:val="0"/>
      <w:divBdr>
        <w:top w:val="none" w:sz="0" w:space="0" w:color="auto"/>
        <w:left w:val="none" w:sz="0" w:space="0" w:color="auto"/>
        <w:bottom w:val="none" w:sz="0" w:space="0" w:color="auto"/>
        <w:right w:val="none" w:sz="0" w:space="0" w:color="auto"/>
      </w:divBdr>
    </w:div>
    <w:div w:id="549152570">
      <w:bodyDiv w:val="1"/>
      <w:marLeft w:val="0"/>
      <w:marRight w:val="0"/>
      <w:marTop w:val="0"/>
      <w:marBottom w:val="0"/>
      <w:divBdr>
        <w:top w:val="none" w:sz="0" w:space="0" w:color="auto"/>
        <w:left w:val="none" w:sz="0" w:space="0" w:color="auto"/>
        <w:bottom w:val="none" w:sz="0" w:space="0" w:color="auto"/>
        <w:right w:val="none" w:sz="0" w:space="0" w:color="auto"/>
      </w:divBdr>
    </w:div>
    <w:div w:id="551886971">
      <w:bodyDiv w:val="1"/>
      <w:marLeft w:val="0"/>
      <w:marRight w:val="0"/>
      <w:marTop w:val="0"/>
      <w:marBottom w:val="0"/>
      <w:divBdr>
        <w:top w:val="none" w:sz="0" w:space="0" w:color="auto"/>
        <w:left w:val="none" w:sz="0" w:space="0" w:color="auto"/>
        <w:bottom w:val="none" w:sz="0" w:space="0" w:color="auto"/>
        <w:right w:val="none" w:sz="0" w:space="0" w:color="auto"/>
      </w:divBdr>
    </w:div>
    <w:div w:id="556820311">
      <w:bodyDiv w:val="1"/>
      <w:marLeft w:val="0"/>
      <w:marRight w:val="0"/>
      <w:marTop w:val="0"/>
      <w:marBottom w:val="0"/>
      <w:divBdr>
        <w:top w:val="none" w:sz="0" w:space="0" w:color="auto"/>
        <w:left w:val="none" w:sz="0" w:space="0" w:color="auto"/>
        <w:bottom w:val="none" w:sz="0" w:space="0" w:color="auto"/>
        <w:right w:val="none" w:sz="0" w:space="0" w:color="auto"/>
      </w:divBdr>
    </w:div>
    <w:div w:id="563102408">
      <w:bodyDiv w:val="1"/>
      <w:marLeft w:val="0"/>
      <w:marRight w:val="0"/>
      <w:marTop w:val="0"/>
      <w:marBottom w:val="0"/>
      <w:divBdr>
        <w:top w:val="none" w:sz="0" w:space="0" w:color="auto"/>
        <w:left w:val="none" w:sz="0" w:space="0" w:color="auto"/>
        <w:bottom w:val="none" w:sz="0" w:space="0" w:color="auto"/>
        <w:right w:val="none" w:sz="0" w:space="0" w:color="auto"/>
      </w:divBdr>
    </w:div>
    <w:div w:id="565383012">
      <w:bodyDiv w:val="1"/>
      <w:marLeft w:val="0"/>
      <w:marRight w:val="0"/>
      <w:marTop w:val="0"/>
      <w:marBottom w:val="0"/>
      <w:divBdr>
        <w:top w:val="none" w:sz="0" w:space="0" w:color="auto"/>
        <w:left w:val="none" w:sz="0" w:space="0" w:color="auto"/>
        <w:bottom w:val="none" w:sz="0" w:space="0" w:color="auto"/>
        <w:right w:val="none" w:sz="0" w:space="0" w:color="auto"/>
      </w:divBdr>
    </w:div>
    <w:div w:id="572928754">
      <w:bodyDiv w:val="1"/>
      <w:marLeft w:val="0"/>
      <w:marRight w:val="0"/>
      <w:marTop w:val="0"/>
      <w:marBottom w:val="0"/>
      <w:divBdr>
        <w:top w:val="none" w:sz="0" w:space="0" w:color="auto"/>
        <w:left w:val="none" w:sz="0" w:space="0" w:color="auto"/>
        <w:bottom w:val="none" w:sz="0" w:space="0" w:color="auto"/>
        <w:right w:val="none" w:sz="0" w:space="0" w:color="auto"/>
      </w:divBdr>
    </w:div>
    <w:div w:id="575171682">
      <w:bodyDiv w:val="1"/>
      <w:marLeft w:val="0"/>
      <w:marRight w:val="0"/>
      <w:marTop w:val="0"/>
      <w:marBottom w:val="0"/>
      <w:divBdr>
        <w:top w:val="none" w:sz="0" w:space="0" w:color="auto"/>
        <w:left w:val="none" w:sz="0" w:space="0" w:color="auto"/>
        <w:bottom w:val="none" w:sz="0" w:space="0" w:color="auto"/>
        <w:right w:val="none" w:sz="0" w:space="0" w:color="auto"/>
      </w:divBdr>
    </w:div>
    <w:div w:id="585188127">
      <w:bodyDiv w:val="1"/>
      <w:marLeft w:val="0"/>
      <w:marRight w:val="0"/>
      <w:marTop w:val="0"/>
      <w:marBottom w:val="0"/>
      <w:divBdr>
        <w:top w:val="none" w:sz="0" w:space="0" w:color="auto"/>
        <w:left w:val="none" w:sz="0" w:space="0" w:color="auto"/>
        <w:bottom w:val="none" w:sz="0" w:space="0" w:color="auto"/>
        <w:right w:val="none" w:sz="0" w:space="0" w:color="auto"/>
      </w:divBdr>
    </w:div>
    <w:div w:id="591091994">
      <w:bodyDiv w:val="1"/>
      <w:marLeft w:val="0"/>
      <w:marRight w:val="0"/>
      <w:marTop w:val="0"/>
      <w:marBottom w:val="0"/>
      <w:divBdr>
        <w:top w:val="none" w:sz="0" w:space="0" w:color="auto"/>
        <w:left w:val="none" w:sz="0" w:space="0" w:color="auto"/>
        <w:bottom w:val="none" w:sz="0" w:space="0" w:color="auto"/>
        <w:right w:val="none" w:sz="0" w:space="0" w:color="auto"/>
      </w:divBdr>
    </w:div>
    <w:div w:id="593129561">
      <w:bodyDiv w:val="1"/>
      <w:marLeft w:val="0"/>
      <w:marRight w:val="0"/>
      <w:marTop w:val="0"/>
      <w:marBottom w:val="0"/>
      <w:divBdr>
        <w:top w:val="none" w:sz="0" w:space="0" w:color="auto"/>
        <w:left w:val="none" w:sz="0" w:space="0" w:color="auto"/>
        <w:bottom w:val="none" w:sz="0" w:space="0" w:color="auto"/>
        <w:right w:val="none" w:sz="0" w:space="0" w:color="auto"/>
      </w:divBdr>
    </w:div>
    <w:div w:id="600576548">
      <w:bodyDiv w:val="1"/>
      <w:marLeft w:val="0"/>
      <w:marRight w:val="0"/>
      <w:marTop w:val="0"/>
      <w:marBottom w:val="0"/>
      <w:divBdr>
        <w:top w:val="none" w:sz="0" w:space="0" w:color="auto"/>
        <w:left w:val="none" w:sz="0" w:space="0" w:color="auto"/>
        <w:bottom w:val="none" w:sz="0" w:space="0" w:color="auto"/>
        <w:right w:val="none" w:sz="0" w:space="0" w:color="auto"/>
      </w:divBdr>
    </w:div>
    <w:div w:id="601835854">
      <w:bodyDiv w:val="1"/>
      <w:marLeft w:val="0"/>
      <w:marRight w:val="0"/>
      <w:marTop w:val="0"/>
      <w:marBottom w:val="0"/>
      <w:divBdr>
        <w:top w:val="none" w:sz="0" w:space="0" w:color="auto"/>
        <w:left w:val="none" w:sz="0" w:space="0" w:color="auto"/>
        <w:bottom w:val="none" w:sz="0" w:space="0" w:color="auto"/>
        <w:right w:val="none" w:sz="0" w:space="0" w:color="auto"/>
      </w:divBdr>
    </w:div>
    <w:div w:id="608901200">
      <w:bodyDiv w:val="1"/>
      <w:marLeft w:val="0"/>
      <w:marRight w:val="0"/>
      <w:marTop w:val="0"/>
      <w:marBottom w:val="0"/>
      <w:divBdr>
        <w:top w:val="none" w:sz="0" w:space="0" w:color="auto"/>
        <w:left w:val="none" w:sz="0" w:space="0" w:color="auto"/>
        <w:bottom w:val="none" w:sz="0" w:space="0" w:color="auto"/>
        <w:right w:val="none" w:sz="0" w:space="0" w:color="auto"/>
      </w:divBdr>
    </w:div>
    <w:div w:id="611061274">
      <w:bodyDiv w:val="1"/>
      <w:marLeft w:val="0"/>
      <w:marRight w:val="0"/>
      <w:marTop w:val="0"/>
      <w:marBottom w:val="0"/>
      <w:divBdr>
        <w:top w:val="none" w:sz="0" w:space="0" w:color="auto"/>
        <w:left w:val="none" w:sz="0" w:space="0" w:color="auto"/>
        <w:bottom w:val="none" w:sz="0" w:space="0" w:color="auto"/>
        <w:right w:val="none" w:sz="0" w:space="0" w:color="auto"/>
      </w:divBdr>
    </w:div>
    <w:div w:id="613025744">
      <w:bodyDiv w:val="1"/>
      <w:marLeft w:val="0"/>
      <w:marRight w:val="0"/>
      <w:marTop w:val="0"/>
      <w:marBottom w:val="0"/>
      <w:divBdr>
        <w:top w:val="none" w:sz="0" w:space="0" w:color="auto"/>
        <w:left w:val="none" w:sz="0" w:space="0" w:color="auto"/>
        <w:bottom w:val="none" w:sz="0" w:space="0" w:color="auto"/>
        <w:right w:val="none" w:sz="0" w:space="0" w:color="auto"/>
      </w:divBdr>
    </w:div>
    <w:div w:id="616062242">
      <w:bodyDiv w:val="1"/>
      <w:marLeft w:val="0"/>
      <w:marRight w:val="0"/>
      <w:marTop w:val="0"/>
      <w:marBottom w:val="0"/>
      <w:divBdr>
        <w:top w:val="none" w:sz="0" w:space="0" w:color="auto"/>
        <w:left w:val="none" w:sz="0" w:space="0" w:color="auto"/>
        <w:bottom w:val="none" w:sz="0" w:space="0" w:color="auto"/>
        <w:right w:val="none" w:sz="0" w:space="0" w:color="auto"/>
      </w:divBdr>
    </w:div>
    <w:div w:id="617225329">
      <w:bodyDiv w:val="1"/>
      <w:marLeft w:val="0"/>
      <w:marRight w:val="0"/>
      <w:marTop w:val="0"/>
      <w:marBottom w:val="0"/>
      <w:divBdr>
        <w:top w:val="none" w:sz="0" w:space="0" w:color="auto"/>
        <w:left w:val="none" w:sz="0" w:space="0" w:color="auto"/>
        <w:bottom w:val="none" w:sz="0" w:space="0" w:color="auto"/>
        <w:right w:val="none" w:sz="0" w:space="0" w:color="auto"/>
      </w:divBdr>
    </w:div>
    <w:div w:id="620460882">
      <w:bodyDiv w:val="1"/>
      <w:marLeft w:val="0"/>
      <w:marRight w:val="0"/>
      <w:marTop w:val="0"/>
      <w:marBottom w:val="0"/>
      <w:divBdr>
        <w:top w:val="none" w:sz="0" w:space="0" w:color="auto"/>
        <w:left w:val="none" w:sz="0" w:space="0" w:color="auto"/>
        <w:bottom w:val="none" w:sz="0" w:space="0" w:color="auto"/>
        <w:right w:val="none" w:sz="0" w:space="0" w:color="auto"/>
      </w:divBdr>
    </w:div>
    <w:div w:id="625429355">
      <w:bodyDiv w:val="1"/>
      <w:marLeft w:val="0"/>
      <w:marRight w:val="0"/>
      <w:marTop w:val="0"/>
      <w:marBottom w:val="0"/>
      <w:divBdr>
        <w:top w:val="none" w:sz="0" w:space="0" w:color="auto"/>
        <w:left w:val="none" w:sz="0" w:space="0" w:color="auto"/>
        <w:bottom w:val="none" w:sz="0" w:space="0" w:color="auto"/>
        <w:right w:val="none" w:sz="0" w:space="0" w:color="auto"/>
      </w:divBdr>
    </w:div>
    <w:div w:id="626277860">
      <w:bodyDiv w:val="1"/>
      <w:marLeft w:val="0"/>
      <w:marRight w:val="0"/>
      <w:marTop w:val="0"/>
      <w:marBottom w:val="0"/>
      <w:divBdr>
        <w:top w:val="none" w:sz="0" w:space="0" w:color="auto"/>
        <w:left w:val="none" w:sz="0" w:space="0" w:color="auto"/>
        <w:bottom w:val="none" w:sz="0" w:space="0" w:color="auto"/>
        <w:right w:val="none" w:sz="0" w:space="0" w:color="auto"/>
      </w:divBdr>
    </w:div>
    <w:div w:id="628709482">
      <w:bodyDiv w:val="1"/>
      <w:marLeft w:val="0"/>
      <w:marRight w:val="0"/>
      <w:marTop w:val="0"/>
      <w:marBottom w:val="0"/>
      <w:divBdr>
        <w:top w:val="none" w:sz="0" w:space="0" w:color="auto"/>
        <w:left w:val="none" w:sz="0" w:space="0" w:color="auto"/>
        <w:bottom w:val="none" w:sz="0" w:space="0" w:color="auto"/>
        <w:right w:val="none" w:sz="0" w:space="0" w:color="auto"/>
      </w:divBdr>
    </w:div>
    <w:div w:id="631642521">
      <w:bodyDiv w:val="1"/>
      <w:marLeft w:val="0"/>
      <w:marRight w:val="0"/>
      <w:marTop w:val="0"/>
      <w:marBottom w:val="0"/>
      <w:divBdr>
        <w:top w:val="none" w:sz="0" w:space="0" w:color="auto"/>
        <w:left w:val="none" w:sz="0" w:space="0" w:color="auto"/>
        <w:bottom w:val="none" w:sz="0" w:space="0" w:color="auto"/>
        <w:right w:val="none" w:sz="0" w:space="0" w:color="auto"/>
      </w:divBdr>
    </w:div>
    <w:div w:id="634260306">
      <w:bodyDiv w:val="1"/>
      <w:marLeft w:val="0"/>
      <w:marRight w:val="0"/>
      <w:marTop w:val="0"/>
      <w:marBottom w:val="0"/>
      <w:divBdr>
        <w:top w:val="none" w:sz="0" w:space="0" w:color="auto"/>
        <w:left w:val="none" w:sz="0" w:space="0" w:color="auto"/>
        <w:bottom w:val="none" w:sz="0" w:space="0" w:color="auto"/>
        <w:right w:val="none" w:sz="0" w:space="0" w:color="auto"/>
      </w:divBdr>
    </w:div>
    <w:div w:id="642083765">
      <w:bodyDiv w:val="1"/>
      <w:marLeft w:val="0"/>
      <w:marRight w:val="0"/>
      <w:marTop w:val="0"/>
      <w:marBottom w:val="0"/>
      <w:divBdr>
        <w:top w:val="none" w:sz="0" w:space="0" w:color="auto"/>
        <w:left w:val="none" w:sz="0" w:space="0" w:color="auto"/>
        <w:bottom w:val="none" w:sz="0" w:space="0" w:color="auto"/>
        <w:right w:val="none" w:sz="0" w:space="0" w:color="auto"/>
      </w:divBdr>
    </w:div>
    <w:div w:id="651257945">
      <w:bodyDiv w:val="1"/>
      <w:marLeft w:val="0"/>
      <w:marRight w:val="0"/>
      <w:marTop w:val="0"/>
      <w:marBottom w:val="0"/>
      <w:divBdr>
        <w:top w:val="none" w:sz="0" w:space="0" w:color="auto"/>
        <w:left w:val="none" w:sz="0" w:space="0" w:color="auto"/>
        <w:bottom w:val="none" w:sz="0" w:space="0" w:color="auto"/>
        <w:right w:val="none" w:sz="0" w:space="0" w:color="auto"/>
      </w:divBdr>
    </w:div>
    <w:div w:id="653797359">
      <w:bodyDiv w:val="1"/>
      <w:marLeft w:val="0"/>
      <w:marRight w:val="0"/>
      <w:marTop w:val="0"/>
      <w:marBottom w:val="0"/>
      <w:divBdr>
        <w:top w:val="none" w:sz="0" w:space="0" w:color="auto"/>
        <w:left w:val="none" w:sz="0" w:space="0" w:color="auto"/>
        <w:bottom w:val="none" w:sz="0" w:space="0" w:color="auto"/>
        <w:right w:val="none" w:sz="0" w:space="0" w:color="auto"/>
      </w:divBdr>
    </w:div>
    <w:div w:id="658852657">
      <w:bodyDiv w:val="1"/>
      <w:marLeft w:val="0"/>
      <w:marRight w:val="0"/>
      <w:marTop w:val="0"/>
      <w:marBottom w:val="0"/>
      <w:divBdr>
        <w:top w:val="none" w:sz="0" w:space="0" w:color="auto"/>
        <w:left w:val="none" w:sz="0" w:space="0" w:color="auto"/>
        <w:bottom w:val="none" w:sz="0" w:space="0" w:color="auto"/>
        <w:right w:val="none" w:sz="0" w:space="0" w:color="auto"/>
      </w:divBdr>
    </w:div>
    <w:div w:id="666327251">
      <w:bodyDiv w:val="1"/>
      <w:marLeft w:val="0"/>
      <w:marRight w:val="0"/>
      <w:marTop w:val="0"/>
      <w:marBottom w:val="0"/>
      <w:divBdr>
        <w:top w:val="none" w:sz="0" w:space="0" w:color="auto"/>
        <w:left w:val="none" w:sz="0" w:space="0" w:color="auto"/>
        <w:bottom w:val="none" w:sz="0" w:space="0" w:color="auto"/>
        <w:right w:val="none" w:sz="0" w:space="0" w:color="auto"/>
      </w:divBdr>
    </w:div>
    <w:div w:id="668411483">
      <w:bodyDiv w:val="1"/>
      <w:marLeft w:val="0"/>
      <w:marRight w:val="0"/>
      <w:marTop w:val="0"/>
      <w:marBottom w:val="0"/>
      <w:divBdr>
        <w:top w:val="none" w:sz="0" w:space="0" w:color="auto"/>
        <w:left w:val="none" w:sz="0" w:space="0" w:color="auto"/>
        <w:bottom w:val="none" w:sz="0" w:space="0" w:color="auto"/>
        <w:right w:val="none" w:sz="0" w:space="0" w:color="auto"/>
      </w:divBdr>
    </w:div>
    <w:div w:id="669868335">
      <w:bodyDiv w:val="1"/>
      <w:marLeft w:val="0"/>
      <w:marRight w:val="0"/>
      <w:marTop w:val="0"/>
      <w:marBottom w:val="0"/>
      <w:divBdr>
        <w:top w:val="none" w:sz="0" w:space="0" w:color="auto"/>
        <w:left w:val="none" w:sz="0" w:space="0" w:color="auto"/>
        <w:bottom w:val="none" w:sz="0" w:space="0" w:color="auto"/>
        <w:right w:val="none" w:sz="0" w:space="0" w:color="auto"/>
      </w:divBdr>
    </w:div>
    <w:div w:id="670185822">
      <w:bodyDiv w:val="1"/>
      <w:marLeft w:val="0"/>
      <w:marRight w:val="0"/>
      <w:marTop w:val="0"/>
      <w:marBottom w:val="0"/>
      <w:divBdr>
        <w:top w:val="none" w:sz="0" w:space="0" w:color="auto"/>
        <w:left w:val="none" w:sz="0" w:space="0" w:color="auto"/>
        <w:bottom w:val="none" w:sz="0" w:space="0" w:color="auto"/>
        <w:right w:val="none" w:sz="0" w:space="0" w:color="auto"/>
      </w:divBdr>
    </w:div>
    <w:div w:id="672032014">
      <w:bodyDiv w:val="1"/>
      <w:marLeft w:val="0"/>
      <w:marRight w:val="0"/>
      <w:marTop w:val="0"/>
      <w:marBottom w:val="0"/>
      <w:divBdr>
        <w:top w:val="none" w:sz="0" w:space="0" w:color="auto"/>
        <w:left w:val="none" w:sz="0" w:space="0" w:color="auto"/>
        <w:bottom w:val="none" w:sz="0" w:space="0" w:color="auto"/>
        <w:right w:val="none" w:sz="0" w:space="0" w:color="auto"/>
      </w:divBdr>
    </w:div>
    <w:div w:id="673799001">
      <w:bodyDiv w:val="1"/>
      <w:marLeft w:val="0"/>
      <w:marRight w:val="0"/>
      <w:marTop w:val="0"/>
      <w:marBottom w:val="0"/>
      <w:divBdr>
        <w:top w:val="none" w:sz="0" w:space="0" w:color="auto"/>
        <w:left w:val="none" w:sz="0" w:space="0" w:color="auto"/>
        <w:bottom w:val="none" w:sz="0" w:space="0" w:color="auto"/>
        <w:right w:val="none" w:sz="0" w:space="0" w:color="auto"/>
      </w:divBdr>
    </w:div>
    <w:div w:id="684597362">
      <w:bodyDiv w:val="1"/>
      <w:marLeft w:val="0"/>
      <w:marRight w:val="0"/>
      <w:marTop w:val="0"/>
      <w:marBottom w:val="0"/>
      <w:divBdr>
        <w:top w:val="none" w:sz="0" w:space="0" w:color="auto"/>
        <w:left w:val="none" w:sz="0" w:space="0" w:color="auto"/>
        <w:bottom w:val="none" w:sz="0" w:space="0" w:color="auto"/>
        <w:right w:val="none" w:sz="0" w:space="0" w:color="auto"/>
      </w:divBdr>
    </w:div>
    <w:div w:id="689526846">
      <w:bodyDiv w:val="1"/>
      <w:marLeft w:val="0"/>
      <w:marRight w:val="0"/>
      <w:marTop w:val="0"/>
      <w:marBottom w:val="0"/>
      <w:divBdr>
        <w:top w:val="none" w:sz="0" w:space="0" w:color="auto"/>
        <w:left w:val="none" w:sz="0" w:space="0" w:color="auto"/>
        <w:bottom w:val="none" w:sz="0" w:space="0" w:color="auto"/>
        <w:right w:val="none" w:sz="0" w:space="0" w:color="auto"/>
      </w:divBdr>
    </w:div>
    <w:div w:id="692615724">
      <w:bodyDiv w:val="1"/>
      <w:marLeft w:val="0"/>
      <w:marRight w:val="0"/>
      <w:marTop w:val="0"/>
      <w:marBottom w:val="0"/>
      <w:divBdr>
        <w:top w:val="none" w:sz="0" w:space="0" w:color="auto"/>
        <w:left w:val="none" w:sz="0" w:space="0" w:color="auto"/>
        <w:bottom w:val="none" w:sz="0" w:space="0" w:color="auto"/>
        <w:right w:val="none" w:sz="0" w:space="0" w:color="auto"/>
      </w:divBdr>
    </w:div>
    <w:div w:id="692730260">
      <w:bodyDiv w:val="1"/>
      <w:marLeft w:val="0"/>
      <w:marRight w:val="0"/>
      <w:marTop w:val="0"/>
      <w:marBottom w:val="0"/>
      <w:divBdr>
        <w:top w:val="none" w:sz="0" w:space="0" w:color="auto"/>
        <w:left w:val="none" w:sz="0" w:space="0" w:color="auto"/>
        <w:bottom w:val="none" w:sz="0" w:space="0" w:color="auto"/>
        <w:right w:val="none" w:sz="0" w:space="0" w:color="auto"/>
      </w:divBdr>
    </w:div>
    <w:div w:id="693460429">
      <w:bodyDiv w:val="1"/>
      <w:marLeft w:val="0"/>
      <w:marRight w:val="0"/>
      <w:marTop w:val="0"/>
      <w:marBottom w:val="0"/>
      <w:divBdr>
        <w:top w:val="none" w:sz="0" w:space="0" w:color="auto"/>
        <w:left w:val="none" w:sz="0" w:space="0" w:color="auto"/>
        <w:bottom w:val="none" w:sz="0" w:space="0" w:color="auto"/>
        <w:right w:val="none" w:sz="0" w:space="0" w:color="auto"/>
      </w:divBdr>
    </w:div>
    <w:div w:id="705061580">
      <w:bodyDiv w:val="1"/>
      <w:marLeft w:val="0"/>
      <w:marRight w:val="0"/>
      <w:marTop w:val="0"/>
      <w:marBottom w:val="0"/>
      <w:divBdr>
        <w:top w:val="none" w:sz="0" w:space="0" w:color="auto"/>
        <w:left w:val="none" w:sz="0" w:space="0" w:color="auto"/>
        <w:bottom w:val="none" w:sz="0" w:space="0" w:color="auto"/>
        <w:right w:val="none" w:sz="0" w:space="0" w:color="auto"/>
      </w:divBdr>
    </w:div>
    <w:div w:id="705063262">
      <w:bodyDiv w:val="1"/>
      <w:marLeft w:val="0"/>
      <w:marRight w:val="0"/>
      <w:marTop w:val="0"/>
      <w:marBottom w:val="0"/>
      <w:divBdr>
        <w:top w:val="none" w:sz="0" w:space="0" w:color="auto"/>
        <w:left w:val="none" w:sz="0" w:space="0" w:color="auto"/>
        <w:bottom w:val="none" w:sz="0" w:space="0" w:color="auto"/>
        <w:right w:val="none" w:sz="0" w:space="0" w:color="auto"/>
      </w:divBdr>
    </w:div>
    <w:div w:id="706372058">
      <w:bodyDiv w:val="1"/>
      <w:marLeft w:val="0"/>
      <w:marRight w:val="0"/>
      <w:marTop w:val="0"/>
      <w:marBottom w:val="0"/>
      <w:divBdr>
        <w:top w:val="none" w:sz="0" w:space="0" w:color="auto"/>
        <w:left w:val="none" w:sz="0" w:space="0" w:color="auto"/>
        <w:bottom w:val="none" w:sz="0" w:space="0" w:color="auto"/>
        <w:right w:val="none" w:sz="0" w:space="0" w:color="auto"/>
      </w:divBdr>
    </w:div>
    <w:div w:id="706834756">
      <w:bodyDiv w:val="1"/>
      <w:marLeft w:val="0"/>
      <w:marRight w:val="0"/>
      <w:marTop w:val="0"/>
      <w:marBottom w:val="0"/>
      <w:divBdr>
        <w:top w:val="none" w:sz="0" w:space="0" w:color="auto"/>
        <w:left w:val="none" w:sz="0" w:space="0" w:color="auto"/>
        <w:bottom w:val="none" w:sz="0" w:space="0" w:color="auto"/>
        <w:right w:val="none" w:sz="0" w:space="0" w:color="auto"/>
      </w:divBdr>
    </w:div>
    <w:div w:id="711349874">
      <w:bodyDiv w:val="1"/>
      <w:marLeft w:val="0"/>
      <w:marRight w:val="0"/>
      <w:marTop w:val="0"/>
      <w:marBottom w:val="0"/>
      <w:divBdr>
        <w:top w:val="none" w:sz="0" w:space="0" w:color="auto"/>
        <w:left w:val="none" w:sz="0" w:space="0" w:color="auto"/>
        <w:bottom w:val="none" w:sz="0" w:space="0" w:color="auto"/>
        <w:right w:val="none" w:sz="0" w:space="0" w:color="auto"/>
      </w:divBdr>
    </w:div>
    <w:div w:id="715007695">
      <w:bodyDiv w:val="1"/>
      <w:marLeft w:val="0"/>
      <w:marRight w:val="0"/>
      <w:marTop w:val="0"/>
      <w:marBottom w:val="0"/>
      <w:divBdr>
        <w:top w:val="none" w:sz="0" w:space="0" w:color="auto"/>
        <w:left w:val="none" w:sz="0" w:space="0" w:color="auto"/>
        <w:bottom w:val="none" w:sz="0" w:space="0" w:color="auto"/>
        <w:right w:val="none" w:sz="0" w:space="0" w:color="auto"/>
      </w:divBdr>
    </w:div>
    <w:div w:id="715356296">
      <w:bodyDiv w:val="1"/>
      <w:marLeft w:val="0"/>
      <w:marRight w:val="0"/>
      <w:marTop w:val="0"/>
      <w:marBottom w:val="0"/>
      <w:divBdr>
        <w:top w:val="none" w:sz="0" w:space="0" w:color="auto"/>
        <w:left w:val="none" w:sz="0" w:space="0" w:color="auto"/>
        <w:bottom w:val="none" w:sz="0" w:space="0" w:color="auto"/>
        <w:right w:val="none" w:sz="0" w:space="0" w:color="auto"/>
      </w:divBdr>
    </w:div>
    <w:div w:id="722826358">
      <w:bodyDiv w:val="1"/>
      <w:marLeft w:val="0"/>
      <w:marRight w:val="0"/>
      <w:marTop w:val="0"/>
      <w:marBottom w:val="0"/>
      <w:divBdr>
        <w:top w:val="none" w:sz="0" w:space="0" w:color="auto"/>
        <w:left w:val="none" w:sz="0" w:space="0" w:color="auto"/>
        <w:bottom w:val="none" w:sz="0" w:space="0" w:color="auto"/>
        <w:right w:val="none" w:sz="0" w:space="0" w:color="auto"/>
      </w:divBdr>
    </w:div>
    <w:div w:id="727340062">
      <w:bodyDiv w:val="1"/>
      <w:marLeft w:val="0"/>
      <w:marRight w:val="0"/>
      <w:marTop w:val="0"/>
      <w:marBottom w:val="0"/>
      <w:divBdr>
        <w:top w:val="none" w:sz="0" w:space="0" w:color="auto"/>
        <w:left w:val="none" w:sz="0" w:space="0" w:color="auto"/>
        <w:bottom w:val="none" w:sz="0" w:space="0" w:color="auto"/>
        <w:right w:val="none" w:sz="0" w:space="0" w:color="auto"/>
      </w:divBdr>
    </w:div>
    <w:div w:id="729381946">
      <w:bodyDiv w:val="1"/>
      <w:marLeft w:val="0"/>
      <w:marRight w:val="0"/>
      <w:marTop w:val="0"/>
      <w:marBottom w:val="0"/>
      <w:divBdr>
        <w:top w:val="none" w:sz="0" w:space="0" w:color="auto"/>
        <w:left w:val="none" w:sz="0" w:space="0" w:color="auto"/>
        <w:bottom w:val="none" w:sz="0" w:space="0" w:color="auto"/>
        <w:right w:val="none" w:sz="0" w:space="0" w:color="auto"/>
      </w:divBdr>
    </w:div>
    <w:div w:id="730082428">
      <w:bodyDiv w:val="1"/>
      <w:marLeft w:val="0"/>
      <w:marRight w:val="0"/>
      <w:marTop w:val="0"/>
      <w:marBottom w:val="0"/>
      <w:divBdr>
        <w:top w:val="none" w:sz="0" w:space="0" w:color="auto"/>
        <w:left w:val="none" w:sz="0" w:space="0" w:color="auto"/>
        <w:bottom w:val="none" w:sz="0" w:space="0" w:color="auto"/>
        <w:right w:val="none" w:sz="0" w:space="0" w:color="auto"/>
      </w:divBdr>
    </w:div>
    <w:div w:id="734860502">
      <w:bodyDiv w:val="1"/>
      <w:marLeft w:val="0"/>
      <w:marRight w:val="0"/>
      <w:marTop w:val="0"/>
      <w:marBottom w:val="0"/>
      <w:divBdr>
        <w:top w:val="none" w:sz="0" w:space="0" w:color="auto"/>
        <w:left w:val="none" w:sz="0" w:space="0" w:color="auto"/>
        <w:bottom w:val="none" w:sz="0" w:space="0" w:color="auto"/>
        <w:right w:val="none" w:sz="0" w:space="0" w:color="auto"/>
      </w:divBdr>
    </w:div>
    <w:div w:id="735475272">
      <w:bodyDiv w:val="1"/>
      <w:marLeft w:val="0"/>
      <w:marRight w:val="0"/>
      <w:marTop w:val="0"/>
      <w:marBottom w:val="0"/>
      <w:divBdr>
        <w:top w:val="none" w:sz="0" w:space="0" w:color="auto"/>
        <w:left w:val="none" w:sz="0" w:space="0" w:color="auto"/>
        <w:bottom w:val="none" w:sz="0" w:space="0" w:color="auto"/>
        <w:right w:val="none" w:sz="0" w:space="0" w:color="auto"/>
      </w:divBdr>
    </w:div>
    <w:div w:id="737091951">
      <w:bodyDiv w:val="1"/>
      <w:marLeft w:val="0"/>
      <w:marRight w:val="0"/>
      <w:marTop w:val="0"/>
      <w:marBottom w:val="0"/>
      <w:divBdr>
        <w:top w:val="none" w:sz="0" w:space="0" w:color="auto"/>
        <w:left w:val="none" w:sz="0" w:space="0" w:color="auto"/>
        <w:bottom w:val="none" w:sz="0" w:space="0" w:color="auto"/>
        <w:right w:val="none" w:sz="0" w:space="0" w:color="auto"/>
      </w:divBdr>
    </w:div>
    <w:div w:id="738329292">
      <w:bodyDiv w:val="1"/>
      <w:marLeft w:val="0"/>
      <w:marRight w:val="0"/>
      <w:marTop w:val="0"/>
      <w:marBottom w:val="0"/>
      <w:divBdr>
        <w:top w:val="none" w:sz="0" w:space="0" w:color="auto"/>
        <w:left w:val="none" w:sz="0" w:space="0" w:color="auto"/>
        <w:bottom w:val="none" w:sz="0" w:space="0" w:color="auto"/>
        <w:right w:val="none" w:sz="0" w:space="0" w:color="auto"/>
      </w:divBdr>
    </w:div>
    <w:div w:id="746267839">
      <w:bodyDiv w:val="1"/>
      <w:marLeft w:val="0"/>
      <w:marRight w:val="0"/>
      <w:marTop w:val="0"/>
      <w:marBottom w:val="0"/>
      <w:divBdr>
        <w:top w:val="none" w:sz="0" w:space="0" w:color="auto"/>
        <w:left w:val="none" w:sz="0" w:space="0" w:color="auto"/>
        <w:bottom w:val="none" w:sz="0" w:space="0" w:color="auto"/>
        <w:right w:val="none" w:sz="0" w:space="0" w:color="auto"/>
      </w:divBdr>
    </w:div>
    <w:div w:id="760031856">
      <w:bodyDiv w:val="1"/>
      <w:marLeft w:val="0"/>
      <w:marRight w:val="0"/>
      <w:marTop w:val="0"/>
      <w:marBottom w:val="0"/>
      <w:divBdr>
        <w:top w:val="none" w:sz="0" w:space="0" w:color="auto"/>
        <w:left w:val="none" w:sz="0" w:space="0" w:color="auto"/>
        <w:bottom w:val="none" w:sz="0" w:space="0" w:color="auto"/>
        <w:right w:val="none" w:sz="0" w:space="0" w:color="auto"/>
      </w:divBdr>
    </w:div>
    <w:div w:id="765155463">
      <w:bodyDiv w:val="1"/>
      <w:marLeft w:val="0"/>
      <w:marRight w:val="0"/>
      <w:marTop w:val="0"/>
      <w:marBottom w:val="0"/>
      <w:divBdr>
        <w:top w:val="none" w:sz="0" w:space="0" w:color="auto"/>
        <w:left w:val="none" w:sz="0" w:space="0" w:color="auto"/>
        <w:bottom w:val="none" w:sz="0" w:space="0" w:color="auto"/>
        <w:right w:val="none" w:sz="0" w:space="0" w:color="auto"/>
      </w:divBdr>
    </w:div>
    <w:div w:id="767192065">
      <w:bodyDiv w:val="1"/>
      <w:marLeft w:val="0"/>
      <w:marRight w:val="0"/>
      <w:marTop w:val="0"/>
      <w:marBottom w:val="0"/>
      <w:divBdr>
        <w:top w:val="none" w:sz="0" w:space="0" w:color="auto"/>
        <w:left w:val="none" w:sz="0" w:space="0" w:color="auto"/>
        <w:bottom w:val="none" w:sz="0" w:space="0" w:color="auto"/>
        <w:right w:val="none" w:sz="0" w:space="0" w:color="auto"/>
      </w:divBdr>
    </w:div>
    <w:div w:id="778184411">
      <w:bodyDiv w:val="1"/>
      <w:marLeft w:val="0"/>
      <w:marRight w:val="0"/>
      <w:marTop w:val="0"/>
      <w:marBottom w:val="0"/>
      <w:divBdr>
        <w:top w:val="none" w:sz="0" w:space="0" w:color="auto"/>
        <w:left w:val="none" w:sz="0" w:space="0" w:color="auto"/>
        <w:bottom w:val="none" w:sz="0" w:space="0" w:color="auto"/>
        <w:right w:val="none" w:sz="0" w:space="0" w:color="auto"/>
      </w:divBdr>
    </w:div>
    <w:div w:id="779883685">
      <w:bodyDiv w:val="1"/>
      <w:marLeft w:val="0"/>
      <w:marRight w:val="0"/>
      <w:marTop w:val="0"/>
      <w:marBottom w:val="0"/>
      <w:divBdr>
        <w:top w:val="none" w:sz="0" w:space="0" w:color="auto"/>
        <w:left w:val="none" w:sz="0" w:space="0" w:color="auto"/>
        <w:bottom w:val="none" w:sz="0" w:space="0" w:color="auto"/>
        <w:right w:val="none" w:sz="0" w:space="0" w:color="auto"/>
      </w:divBdr>
    </w:div>
    <w:div w:id="783620211">
      <w:bodyDiv w:val="1"/>
      <w:marLeft w:val="0"/>
      <w:marRight w:val="0"/>
      <w:marTop w:val="0"/>
      <w:marBottom w:val="0"/>
      <w:divBdr>
        <w:top w:val="none" w:sz="0" w:space="0" w:color="auto"/>
        <w:left w:val="none" w:sz="0" w:space="0" w:color="auto"/>
        <w:bottom w:val="none" w:sz="0" w:space="0" w:color="auto"/>
        <w:right w:val="none" w:sz="0" w:space="0" w:color="auto"/>
      </w:divBdr>
    </w:div>
    <w:div w:id="784932264">
      <w:bodyDiv w:val="1"/>
      <w:marLeft w:val="0"/>
      <w:marRight w:val="0"/>
      <w:marTop w:val="0"/>
      <w:marBottom w:val="0"/>
      <w:divBdr>
        <w:top w:val="none" w:sz="0" w:space="0" w:color="auto"/>
        <w:left w:val="none" w:sz="0" w:space="0" w:color="auto"/>
        <w:bottom w:val="none" w:sz="0" w:space="0" w:color="auto"/>
        <w:right w:val="none" w:sz="0" w:space="0" w:color="auto"/>
      </w:divBdr>
    </w:div>
    <w:div w:id="785003026">
      <w:bodyDiv w:val="1"/>
      <w:marLeft w:val="0"/>
      <w:marRight w:val="0"/>
      <w:marTop w:val="0"/>
      <w:marBottom w:val="0"/>
      <w:divBdr>
        <w:top w:val="none" w:sz="0" w:space="0" w:color="auto"/>
        <w:left w:val="none" w:sz="0" w:space="0" w:color="auto"/>
        <w:bottom w:val="none" w:sz="0" w:space="0" w:color="auto"/>
        <w:right w:val="none" w:sz="0" w:space="0" w:color="auto"/>
      </w:divBdr>
    </w:div>
    <w:div w:id="785084509">
      <w:bodyDiv w:val="1"/>
      <w:marLeft w:val="0"/>
      <w:marRight w:val="0"/>
      <w:marTop w:val="0"/>
      <w:marBottom w:val="0"/>
      <w:divBdr>
        <w:top w:val="none" w:sz="0" w:space="0" w:color="auto"/>
        <w:left w:val="none" w:sz="0" w:space="0" w:color="auto"/>
        <w:bottom w:val="none" w:sz="0" w:space="0" w:color="auto"/>
        <w:right w:val="none" w:sz="0" w:space="0" w:color="auto"/>
      </w:divBdr>
    </w:div>
    <w:div w:id="785659473">
      <w:bodyDiv w:val="1"/>
      <w:marLeft w:val="0"/>
      <w:marRight w:val="0"/>
      <w:marTop w:val="0"/>
      <w:marBottom w:val="0"/>
      <w:divBdr>
        <w:top w:val="none" w:sz="0" w:space="0" w:color="auto"/>
        <w:left w:val="none" w:sz="0" w:space="0" w:color="auto"/>
        <w:bottom w:val="none" w:sz="0" w:space="0" w:color="auto"/>
        <w:right w:val="none" w:sz="0" w:space="0" w:color="auto"/>
      </w:divBdr>
    </w:div>
    <w:div w:id="791705510">
      <w:bodyDiv w:val="1"/>
      <w:marLeft w:val="0"/>
      <w:marRight w:val="0"/>
      <w:marTop w:val="0"/>
      <w:marBottom w:val="0"/>
      <w:divBdr>
        <w:top w:val="none" w:sz="0" w:space="0" w:color="auto"/>
        <w:left w:val="none" w:sz="0" w:space="0" w:color="auto"/>
        <w:bottom w:val="none" w:sz="0" w:space="0" w:color="auto"/>
        <w:right w:val="none" w:sz="0" w:space="0" w:color="auto"/>
      </w:divBdr>
    </w:div>
    <w:div w:id="804930644">
      <w:bodyDiv w:val="1"/>
      <w:marLeft w:val="0"/>
      <w:marRight w:val="0"/>
      <w:marTop w:val="0"/>
      <w:marBottom w:val="0"/>
      <w:divBdr>
        <w:top w:val="none" w:sz="0" w:space="0" w:color="auto"/>
        <w:left w:val="none" w:sz="0" w:space="0" w:color="auto"/>
        <w:bottom w:val="none" w:sz="0" w:space="0" w:color="auto"/>
        <w:right w:val="none" w:sz="0" w:space="0" w:color="auto"/>
      </w:divBdr>
    </w:div>
    <w:div w:id="805048050">
      <w:bodyDiv w:val="1"/>
      <w:marLeft w:val="0"/>
      <w:marRight w:val="0"/>
      <w:marTop w:val="0"/>
      <w:marBottom w:val="0"/>
      <w:divBdr>
        <w:top w:val="none" w:sz="0" w:space="0" w:color="auto"/>
        <w:left w:val="none" w:sz="0" w:space="0" w:color="auto"/>
        <w:bottom w:val="none" w:sz="0" w:space="0" w:color="auto"/>
        <w:right w:val="none" w:sz="0" w:space="0" w:color="auto"/>
      </w:divBdr>
    </w:div>
    <w:div w:id="814029004">
      <w:bodyDiv w:val="1"/>
      <w:marLeft w:val="0"/>
      <w:marRight w:val="0"/>
      <w:marTop w:val="0"/>
      <w:marBottom w:val="0"/>
      <w:divBdr>
        <w:top w:val="none" w:sz="0" w:space="0" w:color="auto"/>
        <w:left w:val="none" w:sz="0" w:space="0" w:color="auto"/>
        <w:bottom w:val="none" w:sz="0" w:space="0" w:color="auto"/>
        <w:right w:val="none" w:sz="0" w:space="0" w:color="auto"/>
      </w:divBdr>
    </w:div>
    <w:div w:id="827400575">
      <w:bodyDiv w:val="1"/>
      <w:marLeft w:val="0"/>
      <w:marRight w:val="0"/>
      <w:marTop w:val="0"/>
      <w:marBottom w:val="0"/>
      <w:divBdr>
        <w:top w:val="none" w:sz="0" w:space="0" w:color="auto"/>
        <w:left w:val="none" w:sz="0" w:space="0" w:color="auto"/>
        <w:bottom w:val="none" w:sz="0" w:space="0" w:color="auto"/>
        <w:right w:val="none" w:sz="0" w:space="0" w:color="auto"/>
      </w:divBdr>
      <w:divsChild>
        <w:div w:id="121852257">
          <w:marLeft w:val="994"/>
          <w:marRight w:val="0"/>
          <w:marTop w:val="0"/>
          <w:marBottom w:val="0"/>
          <w:divBdr>
            <w:top w:val="none" w:sz="0" w:space="0" w:color="auto"/>
            <w:left w:val="none" w:sz="0" w:space="0" w:color="auto"/>
            <w:bottom w:val="none" w:sz="0" w:space="0" w:color="auto"/>
            <w:right w:val="none" w:sz="0" w:space="0" w:color="auto"/>
          </w:divBdr>
        </w:div>
        <w:div w:id="270673277">
          <w:marLeft w:val="994"/>
          <w:marRight w:val="0"/>
          <w:marTop w:val="0"/>
          <w:marBottom w:val="0"/>
          <w:divBdr>
            <w:top w:val="none" w:sz="0" w:space="0" w:color="auto"/>
            <w:left w:val="none" w:sz="0" w:space="0" w:color="auto"/>
            <w:bottom w:val="none" w:sz="0" w:space="0" w:color="auto"/>
            <w:right w:val="none" w:sz="0" w:space="0" w:color="auto"/>
          </w:divBdr>
        </w:div>
        <w:div w:id="832450751">
          <w:marLeft w:val="994"/>
          <w:marRight w:val="0"/>
          <w:marTop w:val="0"/>
          <w:marBottom w:val="0"/>
          <w:divBdr>
            <w:top w:val="none" w:sz="0" w:space="0" w:color="auto"/>
            <w:left w:val="none" w:sz="0" w:space="0" w:color="auto"/>
            <w:bottom w:val="none" w:sz="0" w:space="0" w:color="auto"/>
            <w:right w:val="none" w:sz="0" w:space="0" w:color="auto"/>
          </w:divBdr>
        </w:div>
      </w:divsChild>
    </w:div>
    <w:div w:id="830291625">
      <w:bodyDiv w:val="1"/>
      <w:marLeft w:val="0"/>
      <w:marRight w:val="0"/>
      <w:marTop w:val="0"/>
      <w:marBottom w:val="0"/>
      <w:divBdr>
        <w:top w:val="none" w:sz="0" w:space="0" w:color="auto"/>
        <w:left w:val="none" w:sz="0" w:space="0" w:color="auto"/>
        <w:bottom w:val="none" w:sz="0" w:space="0" w:color="auto"/>
        <w:right w:val="none" w:sz="0" w:space="0" w:color="auto"/>
      </w:divBdr>
    </w:div>
    <w:div w:id="837618442">
      <w:bodyDiv w:val="1"/>
      <w:marLeft w:val="0"/>
      <w:marRight w:val="0"/>
      <w:marTop w:val="0"/>
      <w:marBottom w:val="0"/>
      <w:divBdr>
        <w:top w:val="none" w:sz="0" w:space="0" w:color="auto"/>
        <w:left w:val="none" w:sz="0" w:space="0" w:color="auto"/>
        <w:bottom w:val="none" w:sz="0" w:space="0" w:color="auto"/>
        <w:right w:val="none" w:sz="0" w:space="0" w:color="auto"/>
      </w:divBdr>
    </w:div>
    <w:div w:id="842282633">
      <w:bodyDiv w:val="1"/>
      <w:marLeft w:val="0"/>
      <w:marRight w:val="0"/>
      <w:marTop w:val="0"/>
      <w:marBottom w:val="0"/>
      <w:divBdr>
        <w:top w:val="none" w:sz="0" w:space="0" w:color="auto"/>
        <w:left w:val="none" w:sz="0" w:space="0" w:color="auto"/>
        <w:bottom w:val="none" w:sz="0" w:space="0" w:color="auto"/>
        <w:right w:val="none" w:sz="0" w:space="0" w:color="auto"/>
      </w:divBdr>
    </w:div>
    <w:div w:id="855924445">
      <w:bodyDiv w:val="1"/>
      <w:marLeft w:val="0"/>
      <w:marRight w:val="0"/>
      <w:marTop w:val="0"/>
      <w:marBottom w:val="0"/>
      <w:divBdr>
        <w:top w:val="none" w:sz="0" w:space="0" w:color="auto"/>
        <w:left w:val="none" w:sz="0" w:space="0" w:color="auto"/>
        <w:bottom w:val="none" w:sz="0" w:space="0" w:color="auto"/>
        <w:right w:val="none" w:sz="0" w:space="0" w:color="auto"/>
      </w:divBdr>
    </w:div>
    <w:div w:id="860554631">
      <w:bodyDiv w:val="1"/>
      <w:marLeft w:val="0"/>
      <w:marRight w:val="0"/>
      <w:marTop w:val="0"/>
      <w:marBottom w:val="0"/>
      <w:divBdr>
        <w:top w:val="none" w:sz="0" w:space="0" w:color="auto"/>
        <w:left w:val="none" w:sz="0" w:space="0" w:color="auto"/>
        <w:bottom w:val="none" w:sz="0" w:space="0" w:color="auto"/>
        <w:right w:val="none" w:sz="0" w:space="0" w:color="auto"/>
      </w:divBdr>
    </w:div>
    <w:div w:id="862861515">
      <w:bodyDiv w:val="1"/>
      <w:marLeft w:val="0"/>
      <w:marRight w:val="0"/>
      <w:marTop w:val="0"/>
      <w:marBottom w:val="0"/>
      <w:divBdr>
        <w:top w:val="none" w:sz="0" w:space="0" w:color="auto"/>
        <w:left w:val="none" w:sz="0" w:space="0" w:color="auto"/>
        <w:bottom w:val="none" w:sz="0" w:space="0" w:color="auto"/>
        <w:right w:val="none" w:sz="0" w:space="0" w:color="auto"/>
      </w:divBdr>
    </w:div>
    <w:div w:id="872500631">
      <w:bodyDiv w:val="1"/>
      <w:marLeft w:val="0"/>
      <w:marRight w:val="0"/>
      <w:marTop w:val="0"/>
      <w:marBottom w:val="0"/>
      <w:divBdr>
        <w:top w:val="none" w:sz="0" w:space="0" w:color="auto"/>
        <w:left w:val="none" w:sz="0" w:space="0" w:color="auto"/>
        <w:bottom w:val="none" w:sz="0" w:space="0" w:color="auto"/>
        <w:right w:val="none" w:sz="0" w:space="0" w:color="auto"/>
      </w:divBdr>
    </w:div>
    <w:div w:id="873808018">
      <w:bodyDiv w:val="1"/>
      <w:marLeft w:val="0"/>
      <w:marRight w:val="0"/>
      <w:marTop w:val="0"/>
      <w:marBottom w:val="0"/>
      <w:divBdr>
        <w:top w:val="none" w:sz="0" w:space="0" w:color="auto"/>
        <w:left w:val="none" w:sz="0" w:space="0" w:color="auto"/>
        <w:bottom w:val="none" w:sz="0" w:space="0" w:color="auto"/>
        <w:right w:val="none" w:sz="0" w:space="0" w:color="auto"/>
      </w:divBdr>
    </w:div>
    <w:div w:id="874541688">
      <w:bodyDiv w:val="1"/>
      <w:marLeft w:val="0"/>
      <w:marRight w:val="0"/>
      <w:marTop w:val="0"/>
      <w:marBottom w:val="0"/>
      <w:divBdr>
        <w:top w:val="none" w:sz="0" w:space="0" w:color="auto"/>
        <w:left w:val="none" w:sz="0" w:space="0" w:color="auto"/>
        <w:bottom w:val="none" w:sz="0" w:space="0" w:color="auto"/>
        <w:right w:val="none" w:sz="0" w:space="0" w:color="auto"/>
      </w:divBdr>
    </w:div>
    <w:div w:id="875115939">
      <w:bodyDiv w:val="1"/>
      <w:marLeft w:val="0"/>
      <w:marRight w:val="0"/>
      <w:marTop w:val="0"/>
      <w:marBottom w:val="0"/>
      <w:divBdr>
        <w:top w:val="none" w:sz="0" w:space="0" w:color="auto"/>
        <w:left w:val="none" w:sz="0" w:space="0" w:color="auto"/>
        <w:bottom w:val="none" w:sz="0" w:space="0" w:color="auto"/>
        <w:right w:val="none" w:sz="0" w:space="0" w:color="auto"/>
      </w:divBdr>
    </w:div>
    <w:div w:id="883063662">
      <w:bodyDiv w:val="1"/>
      <w:marLeft w:val="0"/>
      <w:marRight w:val="0"/>
      <w:marTop w:val="0"/>
      <w:marBottom w:val="0"/>
      <w:divBdr>
        <w:top w:val="none" w:sz="0" w:space="0" w:color="auto"/>
        <w:left w:val="none" w:sz="0" w:space="0" w:color="auto"/>
        <w:bottom w:val="none" w:sz="0" w:space="0" w:color="auto"/>
        <w:right w:val="none" w:sz="0" w:space="0" w:color="auto"/>
      </w:divBdr>
    </w:div>
    <w:div w:id="886137102">
      <w:bodyDiv w:val="1"/>
      <w:marLeft w:val="0"/>
      <w:marRight w:val="0"/>
      <w:marTop w:val="0"/>
      <w:marBottom w:val="0"/>
      <w:divBdr>
        <w:top w:val="none" w:sz="0" w:space="0" w:color="auto"/>
        <w:left w:val="none" w:sz="0" w:space="0" w:color="auto"/>
        <w:bottom w:val="none" w:sz="0" w:space="0" w:color="auto"/>
        <w:right w:val="none" w:sz="0" w:space="0" w:color="auto"/>
      </w:divBdr>
    </w:div>
    <w:div w:id="889801036">
      <w:bodyDiv w:val="1"/>
      <w:marLeft w:val="0"/>
      <w:marRight w:val="0"/>
      <w:marTop w:val="0"/>
      <w:marBottom w:val="0"/>
      <w:divBdr>
        <w:top w:val="none" w:sz="0" w:space="0" w:color="auto"/>
        <w:left w:val="none" w:sz="0" w:space="0" w:color="auto"/>
        <w:bottom w:val="none" w:sz="0" w:space="0" w:color="auto"/>
        <w:right w:val="none" w:sz="0" w:space="0" w:color="auto"/>
      </w:divBdr>
    </w:div>
    <w:div w:id="890186883">
      <w:bodyDiv w:val="1"/>
      <w:marLeft w:val="0"/>
      <w:marRight w:val="0"/>
      <w:marTop w:val="0"/>
      <w:marBottom w:val="0"/>
      <w:divBdr>
        <w:top w:val="none" w:sz="0" w:space="0" w:color="auto"/>
        <w:left w:val="none" w:sz="0" w:space="0" w:color="auto"/>
        <w:bottom w:val="none" w:sz="0" w:space="0" w:color="auto"/>
        <w:right w:val="none" w:sz="0" w:space="0" w:color="auto"/>
      </w:divBdr>
    </w:div>
    <w:div w:id="891505768">
      <w:bodyDiv w:val="1"/>
      <w:marLeft w:val="0"/>
      <w:marRight w:val="0"/>
      <w:marTop w:val="0"/>
      <w:marBottom w:val="0"/>
      <w:divBdr>
        <w:top w:val="none" w:sz="0" w:space="0" w:color="auto"/>
        <w:left w:val="none" w:sz="0" w:space="0" w:color="auto"/>
        <w:bottom w:val="none" w:sz="0" w:space="0" w:color="auto"/>
        <w:right w:val="none" w:sz="0" w:space="0" w:color="auto"/>
      </w:divBdr>
    </w:div>
    <w:div w:id="893080347">
      <w:bodyDiv w:val="1"/>
      <w:marLeft w:val="0"/>
      <w:marRight w:val="0"/>
      <w:marTop w:val="0"/>
      <w:marBottom w:val="0"/>
      <w:divBdr>
        <w:top w:val="none" w:sz="0" w:space="0" w:color="auto"/>
        <w:left w:val="none" w:sz="0" w:space="0" w:color="auto"/>
        <w:bottom w:val="none" w:sz="0" w:space="0" w:color="auto"/>
        <w:right w:val="none" w:sz="0" w:space="0" w:color="auto"/>
      </w:divBdr>
    </w:div>
    <w:div w:id="897128528">
      <w:bodyDiv w:val="1"/>
      <w:marLeft w:val="0"/>
      <w:marRight w:val="0"/>
      <w:marTop w:val="0"/>
      <w:marBottom w:val="0"/>
      <w:divBdr>
        <w:top w:val="none" w:sz="0" w:space="0" w:color="auto"/>
        <w:left w:val="none" w:sz="0" w:space="0" w:color="auto"/>
        <w:bottom w:val="none" w:sz="0" w:space="0" w:color="auto"/>
        <w:right w:val="none" w:sz="0" w:space="0" w:color="auto"/>
      </w:divBdr>
    </w:div>
    <w:div w:id="900021350">
      <w:bodyDiv w:val="1"/>
      <w:marLeft w:val="0"/>
      <w:marRight w:val="0"/>
      <w:marTop w:val="0"/>
      <w:marBottom w:val="0"/>
      <w:divBdr>
        <w:top w:val="none" w:sz="0" w:space="0" w:color="auto"/>
        <w:left w:val="none" w:sz="0" w:space="0" w:color="auto"/>
        <w:bottom w:val="none" w:sz="0" w:space="0" w:color="auto"/>
        <w:right w:val="none" w:sz="0" w:space="0" w:color="auto"/>
      </w:divBdr>
    </w:div>
    <w:div w:id="901452014">
      <w:bodyDiv w:val="1"/>
      <w:marLeft w:val="0"/>
      <w:marRight w:val="0"/>
      <w:marTop w:val="0"/>
      <w:marBottom w:val="0"/>
      <w:divBdr>
        <w:top w:val="none" w:sz="0" w:space="0" w:color="auto"/>
        <w:left w:val="none" w:sz="0" w:space="0" w:color="auto"/>
        <w:bottom w:val="none" w:sz="0" w:space="0" w:color="auto"/>
        <w:right w:val="none" w:sz="0" w:space="0" w:color="auto"/>
      </w:divBdr>
    </w:div>
    <w:div w:id="908002363">
      <w:bodyDiv w:val="1"/>
      <w:marLeft w:val="0"/>
      <w:marRight w:val="0"/>
      <w:marTop w:val="0"/>
      <w:marBottom w:val="0"/>
      <w:divBdr>
        <w:top w:val="none" w:sz="0" w:space="0" w:color="auto"/>
        <w:left w:val="none" w:sz="0" w:space="0" w:color="auto"/>
        <w:bottom w:val="none" w:sz="0" w:space="0" w:color="auto"/>
        <w:right w:val="none" w:sz="0" w:space="0" w:color="auto"/>
      </w:divBdr>
    </w:div>
    <w:div w:id="908002377">
      <w:bodyDiv w:val="1"/>
      <w:marLeft w:val="0"/>
      <w:marRight w:val="0"/>
      <w:marTop w:val="0"/>
      <w:marBottom w:val="0"/>
      <w:divBdr>
        <w:top w:val="none" w:sz="0" w:space="0" w:color="auto"/>
        <w:left w:val="none" w:sz="0" w:space="0" w:color="auto"/>
        <w:bottom w:val="none" w:sz="0" w:space="0" w:color="auto"/>
        <w:right w:val="none" w:sz="0" w:space="0" w:color="auto"/>
      </w:divBdr>
    </w:div>
    <w:div w:id="912084121">
      <w:bodyDiv w:val="1"/>
      <w:marLeft w:val="0"/>
      <w:marRight w:val="0"/>
      <w:marTop w:val="0"/>
      <w:marBottom w:val="0"/>
      <w:divBdr>
        <w:top w:val="none" w:sz="0" w:space="0" w:color="auto"/>
        <w:left w:val="none" w:sz="0" w:space="0" w:color="auto"/>
        <w:bottom w:val="none" w:sz="0" w:space="0" w:color="auto"/>
        <w:right w:val="none" w:sz="0" w:space="0" w:color="auto"/>
      </w:divBdr>
    </w:div>
    <w:div w:id="913004371">
      <w:bodyDiv w:val="1"/>
      <w:marLeft w:val="0"/>
      <w:marRight w:val="0"/>
      <w:marTop w:val="0"/>
      <w:marBottom w:val="0"/>
      <w:divBdr>
        <w:top w:val="none" w:sz="0" w:space="0" w:color="auto"/>
        <w:left w:val="none" w:sz="0" w:space="0" w:color="auto"/>
        <w:bottom w:val="none" w:sz="0" w:space="0" w:color="auto"/>
        <w:right w:val="none" w:sz="0" w:space="0" w:color="auto"/>
      </w:divBdr>
    </w:div>
    <w:div w:id="914365083">
      <w:bodyDiv w:val="1"/>
      <w:marLeft w:val="0"/>
      <w:marRight w:val="0"/>
      <w:marTop w:val="0"/>
      <w:marBottom w:val="0"/>
      <w:divBdr>
        <w:top w:val="none" w:sz="0" w:space="0" w:color="auto"/>
        <w:left w:val="none" w:sz="0" w:space="0" w:color="auto"/>
        <w:bottom w:val="none" w:sz="0" w:space="0" w:color="auto"/>
        <w:right w:val="none" w:sz="0" w:space="0" w:color="auto"/>
      </w:divBdr>
    </w:div>
    <w:div w:id="914704927">
      <w:bodyDiv w:val="1"/>
      <w:marLeft w:val="0"/>
      <w:marRight w:val="0"/>
      <w:marTop w:val="0"/>
      <w:marBottom w:val="0"/>
      <w:divBdr>
        <w:top w:val="none" w:sz="0" w:space="0" w:color="auto"/>
        <w:left w:val="none" w:sz="0" w:space="0" w:color="auto"/>
        <w:bottom w:val="none" w:sz="0" w:space="0" w:color="auto"/>
        <w:right w:val="none" w:sz="0" w:space="0" w:color="auto"/>
      </w:divBdr>
    </w:div>
    <w:div w:id="918976548">
      <w:bodyDiv w:val="1"/>
      <w:marLeft w:val="0"/>
      <w:marRight w:val="0"/>
      <w:marTop w:val="0"/>
      <w:marBottom w:val="0"/>
      <w:divBdr>
        <w:top w:val="none" w:sz="0" w:space="0" w:color="auto"/>
        <w:left w:val="none" w:sz="0" w:space="0" w:color="auto"/>
        <w:bottom w:val="none" w:sz="0" w:space="0" w:color="auto"/>
        <w:right w:val="none" w:sz="0" w:space="0" w:color="auto"/>
      </w:divBdr>
    </w:div>
    <w:div w:id="920871378">
      <w:bodyDiv w:val="1"/>
      <w:marLeft w:val="0"/>
      <w:marRight w:val="0"/>
      <w:marTop w:val="0"/>
      <w:marBottom w:val="0"/>
      <w:divBdr>
        <w:top w:val="none" w:sz="0" w:space="0" w:color="auto"/>
        <w:left w:val="none" w:sz="0" w:space="0" w:color="auto"/>
        <w:bottom w:val="none" w:sz="0" w:space="0" w:color="auto"/>
        <w:right w:val="none" w:sz="0" w:space="0" w:color="auto"/>
      </w:divBdr>
    </w:div>
    <w:div w:id="936324317">
      <w:bodyDiv w:val="1"/>
      <w:marLeft w:val="0"/>
      <w:marRight w:val="0"/>
      <w:marTop w:val="0"/>
      <w:marBottom w:val="0"/>
      <w:divBdr>
        <w:top w:val="none" w:sz="0" w:space="0" w:color="auto"/>
        <w:left w:val="none" w:sz="0" w:space="0" w:color="auto"/>
        <w:bottom w:val="none" w:sz="0" w:space="0" w:color="auto"/>
        <w:right w:val="none" w:sz="0" w:space="0" w:color="auto"/>
      </w:divBdr>
    </w:div>
    <w:div w:id="941185938">
      <w:bodyDiv w:val="1"/>
      <w:marLeft w:val="0"/>
      <w:marRight w:val="0"/>
      <w:marTop w:val="0"/>
      <w:marBottom w:val="0"/>
      <w:divBdr>
        <w:top w:val="none" w:sz="0" w:space="0" w:color="auto"/>
        <w:left w:val="none" w:sz="0" w:space="0" w:color="auto"/>
        <w:bottom w:val="none" w:sz="0" w:space="0" w:color="auto"/>
        <w:right w:val="none" w:sz="0" w:space="0" w:color="auto"/>
      </w:divBdr>
    </w:div>
    <w:div w:id="944770351">
      <w:bodyDiv w:val="1"/>
      <w:marLeft w:val="0"/>
      <w:marRight w:val="0"/>
      <w:marTop w:val="0"/>
      <w:marBottom w:val="0"/>
      <w:divBdr>
        <w:top w:val="none" w:sz="0" w:space="0" w:color="auto"/>
        <w:left w:val="none" w:sz="0" w:space="0" w:color="auto"/>
        <w:bottom w:val="none" w:sz="0" w:space="0" w:color="auto"/>
        <w:right w:val="none" w:sz="0" w:space="0" w:color="auto"/>
      </w:divBdr>
    </w:div>
    <w:div w:id="946960901">
      <w:bodyDiv w:val="1"/>
      <w:marLeft w:val="0"/>
      <w:marRight w:val="0"/>
      <w:marTop w:val="0"/>
      <w:marBottom w:val="0"/>
      <w:divBdr>
        <w:top w:val="none" w:sz="0" w:space="0" w:color="auto"/>
        <w:left w:val="none" w:sz="0" w:space="0" w:color="auto"/>
        <w:bottom w:val="none" w:sz="0" w:space="0" w:color="auto"/>
        <w:right w:val="none" w:sz="0" w:space="0" w:color="auto"/>
      </w:divBdr>
    </w:div>
    <w:div w:id="951085954">
      <w:bodyDiv w:val="1"/>
      <w:marLeft w:val="0"/>
      <w:marRight w:val="0"/>
      <w:marTop w:val="0"/>
      <w:marBottom w:val="0"/>
      <w:divBdr>
        <w:top w:val="none" w:sz="0" w:space="0" w:color="auto"/>
        <w:left w:val="none" w:sz="0" w:space="0" w:color="auto"/>
        <w:bottom w:val="none" w:sz="0" w:space="0" w:color="auto"/>
        <w:right w:val="none" w:sz="0" w:space="0" w:color="auto"/>
      </w:divBdr>
    </w:div>
    <w:div w:id="952520155">
      <w:bodyDiv w:val="1"/>
      <w:marLeft w:val="0"/>
      <w:marRight w:val="0"/>
      <w:marTop w:val="0"/>
      <w:marBottom w:val="0"/>
      <w:divBdr>
        <w:top w:val="none" w:sz="0" w:space="0" w:color="auto"/>
        <w:left w:val="none" w:sz="0" w:space="0" w:color="auto"/>
        <w:bottom w:val="none" w:sz="0" w:space="0" w:color="auto"/>
        <w:right w:val="none" w:sz="0" w:space="0" w:color="auto"/>
      </w:divBdr>
    </w:div>
    <w:div w:id="957687984">
      <w:bodyDiv w:val="1"/>
      <w:marLeft w:val="0"/>
      <w:marRight w:val="0"/>
      <w:marTop w:val="0"/>
      <w:marBottom w:val="0"/>
      <w:divBdr>
        <w:top w:val="none" w:sz="0" w:space="0" w:color="auto"/>
        <w:left w:val="none" w:sz="0" w:space="0" w:color="auto"/>
        <w:bottom w:val="none" w:sz="0" w:space="0" w:color="auto"/>
        <w:right w:val="none" w:sz="0" w:space="0" w:color="auto"/>
      </w:divBdr>
    </w:div>
    <w:div w:id="964655041">
      <w:bodyDiv w:val="1"/>
      <w:marLeft w:val="0"/>
      <w:marRight w:val="0"/>
      <w:marTop w:val="0"/>
      <w:marBottom w:val="0"/>
      <w:divBdr>
        <w:top w:val="none" w:sz="0" w:space="0" w:color="auto"/>
        <w:left w:val="none" w:sz="0" w:space="0" w:color="auto"/>
        <w:bottom w:val="none" w:sz="0" w:space="0" w:color="auto"/>
        <w:right w:val="none" w:sz="0" w:space="0" w:color="auto"/>
      </w:divBdr>
    </w:div>
    <w:div w:id="966856330">
      <w:bodyDiv w:val="1"/>
      <w:marLeft w:val="0"/>
      <w:marRight w:val="0"/>
      <w:marTop w:val="0"/>
      <w:marBottom w:val="0"/>
      <w:divBdr>
        <w:top w:val="none" w:sz="0" w:space="0" w:color="auto"/>
        <w:left w:val="none" w:sz="0" w:space="0" w:color="auto"/>
        <w:bottom w:val="none" w:sz="0" w:space="0" w:color="auto"/>
        <w:right w:val="none" w:sz="0" w:space="0" w:color="auto"/>
      </w:divBdr>
    </w:div>
    <w:div w:id="972296155">
      <w:bodyDiv w:val="1"/>
      <w:marLeft w:val="0"/>
      <w:marRight w:val="0"/>
      <w:marTop w:val="0"/>
      <w:marBottom w:val="0"/>
      <w:divBdr>
        <w:top w:val="none" w:sz="0" w:space="0" w:color="auto"/>
        <w:left w:val="none" w:sz="0" w:space="0" w:color="auto"/>
        <w:bottom w:val="none" w:sz="0" w:space="0" w:color="auto"/>
        <w:right w:val="none" w:sz="0" w:space="0" w:color="auto"/>
      </w:divBdr>
    </w:div>
    <w:div w:id="974218974">
      <w:bodyDiv w:val="1"/>
      <w:marLeft w:val="0"/>
      <w:marRight w:val="0"/>
      <w:marTop w:val="0"/>
      <w:marBottom w:val="0"/>
      <w:divBdr>
        <w:top w:val="none" w:sz="0" w:space="0" w:color="auto"/>
        <w:left w:val="none" w:sz="0" w:space="0" w:color="auto"/>
        <w:bottom w:val="none" w:sz="0" w:space="0" w:color="auto"/>
        <w:right w:val="none" w:sz="0" w:space="0" w:color="auto"/>
      </w:divBdr>
    </w:div>
    <w:div w:id="974724764">
      <w:bodyDiv w:val="1"/>
      <w:marLeft w:val="0"/>
      <w:marRight w:val="0"/>
      <w:marTop w:val="0"/>
      <w:marBottom w:val="0"/>
      <w:divBdr>
        <w:top w:val="none" w:sz="0" w:space="0" w:color="auto"/>
        <w:left w:val="none" w:sz="0" w:space="0" w:color="auto"/>
        <w:bottom w:val="none" w:sz="0" w:space="0" w:color="auto"/>
        <w:right w:val="none" w:sz="0" w:space="0" w:color="auto"/>
      </w:divBdr>
    </w:div>
    <w:div w:id="977681824">
      <w:bodyDiv w:val="1"/>
      <w:marLeft w:val="0"/>
      <w:marRight w:val="0"/>
      <w:marTop w:val="0"/>
      <w:marBottom w:val="0"/>
      <w:divBdr>
        <w:top w:val="none" w:sz="0" w:space="0" w:color="auto"/>
        <w:left w:val="none" w:sz="0" w:space="0" w:color="auto"/>
        <w:bottom w:val="none" w:sz="0" w:space="0" w:color="auto"/>
        <w:right w:val="none" w:sz="0" w:space="0" w:color="auto"/>
      </w:divBdr>
    </w:div>
    <w:div w:id="982537840">
      <w:bodyDiv w:val="1"/>
      <w:marLeft w:val="0"/>
      <w:marRight w:val="0"/>
      <w:marTop w:val="0"/>
      <w:marBottom w:val="0"/>
      <w:divBdr>
        <w:top w:val="none" w:sz="0" w:space="0" w:color="auto"/>
        <w:left w:val="none" w:sz="0" w:space="0" w:color="auto"/>
        <w:bottom w:val="none" w:sz="0" w:space="0" w:color="auto"/>
        <w:right w:val="none" w:sz="0" w:space="0" w:color="auto"/>
      </w:divBdr>
    </w:div>
    <w:div w:id="982543103">
      <w:bodyDiv w:val="1"/>
      <w:marLeft w:val="0"/>
      <w:marRight w:val="0"/>
      <w:marTop w:val="0"/>
      <w:marBottom w:val="0"/>
      <w:divBdr>
        <w:top w:val="none" w:sz="0" w:space="0" w:color="auto"/>
        <w:left w:val="none" w:sz="0" w:space="0" w:color="auto"/>
        <w:bottom w:val="none" w:sz="0" w:space="0" w:color="auto"/>
        <w:right w:val="none" w:sz="0" w:space="0" w:color="auto"/>
      </w:divBdr>
    </w:div>
    <w:div w:id="990523185">
      <w:bodyDiv w:val="1"/>
      <w:marLeft w:val="0"/>
      <w:marRight w:val="0"/>
      <w:marTop w:val="0"/>
      <w:marBottom w:val="0"/>
      <w:divBdr>
        <w:top w:val="none" w:sz="0" w:space="0" w:color="auto"/>
        <w:left w:val="none" w:sz="0" w:space="0" w:color="auto"/>
        <w:bottom w:val="none" w:sz="0" w:space="0" w:color="auto"/>
        <w:right w:val="none" w:sz="0" w:space="0" w:color="auto"/>
      </w:divBdr>
    </w:div>
    <w:div w:id="992100171">
      <w:bodyDiv w:val="1"/>
      <w:marLeft w:val="0"/>
      <w:marRight w:val="0"/>
      <w:marTop w:val="0"/>
      <w:marBottom w:val="0"/>
      <w:divBdr>
        <w:top w:val="none" w:sz="0" w:space="0" w:color="auto"/>
        <w:left w:val="none" w:sz="0" w:space="0" w:color="auto"/>
        <w:bottom w:val="none" w:sz="0" w:space="0" w:color="auto"/>
        <w:right w:val="none" w:sz="0" w:space="0" w:color="auto"/>
      </w:divBdr>
    </w:div>
    <w:div w:id="996230112">
      <w:bodyDiv w:val="1"/>
      <w:marLeft w:val="0"/>
      <w:marRight w:val="0"/>
      <w:marTop w:val="0"/>
      <w:marBottom w:val="0"/>
      <w:divBdr>
        <w:top w:val="none" w:sz="0" w:space="0" w:color="auto"/>
        <w:left w:val="none" w:sz="0" w:space="0" w:color="auto"/>
        <w:bottom w:val="none" w:sz="0" w:space="0" w:color="auto"/>
        <w:right w:val="none" w:sz="0" w:space="0" w:color="auto"/>
      </w:divBdr>
    </w:div>
    <w:div w:id="1006712609">
      <w:bodyDiv w:val="1"/>
      <w:marLeft w:val="0"/>
      <w:marRight w:val="0"/>
      <w:marTop w:val="0"/>
      <w:marBottom w:val="0"/>
      <w:divBdr>
        <w:top w:val="none" w:sz="0" w:space="0" w:color="auto"/>
        <w:left w:val="none" w:sz="0" w:space="0" w:color="auto"/>
        <w:bottom w:val="none" w:sz="0" w:space="0" w:color="auto"/>
        <w:right w:val="none" w:sz="0" w:space="0" w:color="auto"/>
      </w:divBdr>
    </w:div>
    <w:div w:id="1010182710">
      <w:bodyDiv w:val="1"/>
      <w:marLeft w:val="0"/>
      <w:marRight w:val="0"/>
      <w:marTop w:val="0"/>
      <w:marBottom w:val="0"/>
      <w:divBdr>
        <w:top w:val="none" w:sz="0" w:space="0" w:color="auto"/>
        <w:left w:val="none" w:sz="0" w:space="0" w:color="auto"/>
        <w:bottom w:val="none" w:sz="0" w:space="0" w:color="auto"/>
        <w:right w:val="none" w:sz="0" w:space="0" w:color="auto"/>
      </w:divBdr>
    </w:div>
    <w:div w:id="1014113262">
      <w:bodyDiv w:val="1"/>
      <w:marLeft w:val="0"/>
      <w:marRight w:val="0"/>
      <w:marTop w:val="0"/>
      <w:marBottom w:val="0"/>
      <w:divBdr>
        <w:top w:val="none" w:sz="0" w:space="0" w:color="auto"/>
        <w:left w:val="none" w:sz="0" w:space="0" w:color="auto"/>
        <w:bottom w:val="none" w:sz="0" w:space="0" w:color="auto"/>
        <w:right w:val="none" w:sz="0" w:space="0" w:color="auto"/>
      </w:divBdr>
    </w:div>
    <w:div w:id="1016494579">
      <w:bodyDiv w:val="1"/>
      <w:marLeft w:val="0"/>
      <w:marRight w:val="0"/>
      <w:marTop w:val="0"/>
      <w:marBottom w:val="0"/>
      <w:divBdr>
        <w:top w:val="none" w:sz="0" w:space="0" w:color="auto"/>
        <w:left w:val="none" w:sz="0" w:space="0" w:color="auto"/>
        <w:bottom w:val="none" w:sz="0" w:space="0" w:color="auto"/>
        <w:right w:val="none" w:sz="0" w:space="0" w:color="auto"/>
      </w:divBdr>
    </w:div>
    <w:div w:id="1018239861">
      <w:bodyDiv w:val="1"/>
      <w:marLeft w:val="0"/>
      <w:marRight w:val="0"/>
      <w:marTop w:val="0"/>
      <w:marBottom w:val="0"/>
      <w:divBdr>
        <w:top w:val="none" w:sz="0" w:space="0" w:color="auto"/>
        <w:left w:val="none" w:sz="0" w:space="0" w:color="auto"/>
        <w:bottom w:val="none" w:sz="0" w:space="0" w:color="auto"/>
        <w:right w:val="none" w:sz="0" w:space="0" w:color="auto"/>
      </w:divBdr>
    </w:div>
    <w:div w:id="1019232308">
      <w:bodyDiv w:val="1"/>
      <w:marLeft w:val="0"/>
      <w:marRight w:val="0"/>
      <w:marTop w:val="0"/>
      <w:marBottom w:val="0"/>
      <w:divBdr>
        <w:top w:val="none" w:sz="0" w:space="0" w:color="auto"/>
        <w:left w:val="none" w:sz="0" w:space="0" w:color="auto"/>
        <w:bottom w:val="none" w:sz="0" w:space="0" w:color="auto"/>
        <w:right w:val="none" w:sz="0" w:space="0" w:color="auto"/>
      </w:divBdr>
    </w:div>
    <w:div w:id="1019430697">
      <w:bodyDiv w:val="1"/>
      <w:marLeft w:val="0"/>
      <w:marRight w:val="0"/>
      <w:marTop w:val="0"/>
      <w:marBottom w:val="0"/>
      <w:divBdr>
        <w:top w:val="none" w:sz="0" w:space="0" w:color="auto"/>
        <w:left w:val="none" w:sz="0" w:space="0" w:color="auto"/>
        <w:bottom w:val="none" w:sz="0" w:space="0" w:color="auto"/>
        <w:right w:val="none" w:sz="0" w:space="0" w:color="auto"/>
      </w:divBdr>
    </w:div>
    <w:div w:id="1022509538">
      <w:bodyDiv w:val="1"/>
      <w:marLeft w:val="0"/>
      <w:marRight w:val="0"/>
      <w:marTop w:val="0"/>
      <w:marBottom w:val="0"/>
      <w:divBdr>
        <w:top w:val="none" w:sz="0" w:space="0" w:color="auto"/>
        <w:left w:val="none" w:sz="0" w:space="0" w:color="auto"/>
        <w:bottom w:val="none" w:sz="0" w:space="0" w:color="auto"/>
        <w:right w:val="none" w:sz="0" w:space="0" w:color="auto"/>
      </w:divBdr>
    </w:div>
    <w:div w:id="1025987477">
      <w:bodyDiv w:val="1"/>
      <w:marLeft w:val="0"/>
      <w:marRight w:val="0"/>
      <w:marTop w:val="0"/>
      <w:marBottom w:val="0"/>
      <w:divBdr>
        <w:top w:val="none" w:sz="0" w:space="0" w:color="auto"/>
        <w:left w:val="none" w:sz="0" w:space="0" w:color="auto"/>
        <w:bottom w:val="none" w:sz="0" w:space="0" w:color="auto"/>
        <w:right w:val="none" w:sz="0" w:space="0" w:color="auto"/>
      </w:divBdr>
    </w:div>
    <w:div w:id="1048139952">
      <w:bodyDiv w:val="1"/>
      <w:marLeft w:val="0"/>
      <w:marRight w:val="0"/>
      <w:marTop w:val="0"/>
      <w:marBottom w:val="0"/>
      <w:divBdr>
        <w:top w:val="none" w:sz="0" w:space="0" w:color="auto"/>
        <w:left w:val="none" w:sz="0" w:space="0" w:color="auto"/>
        <w:bottom w:val="none" w:sz="0" w:space="0" w:color="auto"/>
        <w:right w:val="none" w:sz="0" w:space="0" w:color="auto"/>
      </w:divBdr>
    </w:div>
    <w:div w:id="1048994949">
      <w:bodyDiv w:val="1"/>
      <w:marLeft w:val="0"/>
      <w:marRight w:val="0"/>
      <w:marTop w:val="0"/>
      <w:marBottom w:val="0"/>
      <w:divBdr>
        <w:top w:val="none" w:sz="0" w:space="0" w:color="auto"/>
        <w:left w:val="none" w:sz="0" w:space="0" w:color="auto"/>
        <w:bottom w:val="none" w:sz="0" w:space="0" w:color="auto"/>
        <w:right w:val="none" w:sz="0" w:space="0" w:color="auto"/>
      </w:divBdr>
    </w:div>
    <w:div w:id="1050692919">
      <w:bodyDiv w:val="1"/>
      <w:marLeft w:val="0"/>
      <w:marRight w:val="0"/>
      <w:marTop w:val="0"/>
      <w:marBottom w:val="0"/>
      <w:divBdr>
        <w:top w:val="none" w:sz="0" w:space="0" w:color="auto"/>
        <w:left w:val="none" w:sz="0" w:space="0" w:color="auto"/>
        <w:bottom w:val="none" w:sz="0" w:space="0" w:color="auto"/>
        <w:right w:val="none" w:sz="0" w:space="0" w:color="auto"/>
      </w:divBdr>
    </w:div>
    <w:div w:id="1053699001">
      <w:bodyDiv w:val="1"/>
      <w:marLeft w:val="0"/>
      <w:marRight w:val="0"/>
      <w:marTop w:val="0"/>
      <w:marBottom w:val="0"/>
      <w:divBdr>
        <w:top w:val="none" w:sz="0" w:space="0" w:color="auto"/>
        <w:left w:val="none" w:sz="0" w:space="0" w:color="auto"/>
        <w:bottom w:val="none" w:sz="0" w:space="0" w:color="auto"/>
        <w:right w:val="none" w:sz="0" w:space="0" w:color="auto"/>
      </w:divBdr>
    </w:div>
    <w:div w:id="1065103991">
      <w:bodyDiv w:val="1"/>
      <w:marLeft w:val="0"/>
      <w:marRight w:val="0"/>
      <w:marTop w:val="0"/>
      <w:marBottom w:val="0"/>
      <w:divBdr>
        <w:top w:val="none" w:sz="0" w:space="0" w:color="auto"/>
        <w:left w:val="none" w:sz="0" w:space="0" w:color="auto"/>
        <w:bottom w:val="none" w:sz="0" w:space="0" w:color="auto"/>
        <w:right w:val="none" w:sz="0" w:space="0" w:color="auto"/>
      </w:divBdr>
    </w:div>
    <w:div w:id="1075855285">
      <w:bodyDiv w:val="1"/>
      <w:marLeft w:val="0"/>
      <w:marRight w:val="0"/>
      <w:marTop w:val="0"/>
      <w:marBottom w:val="0"/>
      <w:divBdr>
        <w:top w:val="none" w:sz="0" w:space="0" w:color="auto"/>
        <w:left w:val="none" w:sz="0" w:space="0" w:color="auto"/>
        <w:bottom w:val="none" w:sz="0" w:space="0" w:color="auto"/>
        <w:right w:val="none" w:sz="0" w:space="0" w:color="auto"/>
      </w:divBdr>
    </w:div>
    <w:div w:id="1078284348">
      <w:bodyDiv w:val="1"/>
      <w:marLeft w:val="0"/>
      <w:marRight w:val="0"/>
      <w:marTop w:val="0"/>
      <w:marBottom w:val="0"/>
      <w:divBdr>
        <w:top w:val="none" w:sz="0" w:space="0" w:color="auto"/>
        <w:left w:val="none" w:sz="0" w:space="0" w:color="auto"/>
        <w:bottom w:val="none" w:sz="0" w:space="0" w:color="auto"/>
        <w:right w:val="none" w:sz="0" w:space="0" w:color="auto"/>
      </w:divBdr>
    </w:div>
    <w:div w:id="1082216479">
      <w:bodyDiv w:val="1"/>
      <w:marLeft w:val="0"/>
      <w:marRight w:val="0"/>
      <w:marTop w:val="0"/>
      <w:marBottom w:val="0"/>
      <w:divBdr>
        <w:top w:val="none" w:sz="0" w:space="0" w:color="auto"/>
        <w:left w:val="none" w:sz="0" w:space="0" w:color="auto"/>
        <w:bottom w:val="none" w:sz="0" w:space="0" w:color="auto"/>
        <w:right w:val="none" w:sz="0" w:space="0" w:color="auto"/>
      </w:divBdr>
    </w:div>
    <w:div w:id="1086456858">
      <w:bodyDiv w:val="1"/>
      <w:marLeft w:val="0"/>
      <w:marRight w:val="0"/>
      <w:marTop w:val="0"/>
      <w:marBottom w:val="0"/>
      <w:divBdr>
        <w:top w:val="none" w:sz="0" w:space="0" w:color="auto"/>
        <w:left w:val="none" w:sz="0" w:space="0" w:color="auto"/>
        <w:bottom w:val="none" w:sz="0" w:space="0" w:color="auto"/>
        <w:right w:val="none" w:sz="0" w:space="0" w:color="auto"/>
      </w:divBdr>
    </w:div>
    <w:div w:id="1096439150">
      <w:bodyDiv w:val="1"/>
      <w:marLeft w:val="0"/>
      <w:marRight w:val="0"/>
      <w:marTop w:val="0"/>
      <w:marBottom w:val="0"/>
      <w:divBdr>
        <w:top w:val="none" w:sz="0" w:space="0" w:color="auto"/>
        <w:left w:val="none" w:sz="0" w:space="0" w:color="auto"/>
        <w:bottom w:val="none" w:sz="0" w:space="0" w:color="auto"/>
        <w:right w:val="none" w:sz="0" w:space="0" w:color="auto"/>
      </w:divBdr>
    </w:div>
    <w:div w:id="1111588774">
      <w:bodyDiv w:val="1"/>
      <w:marLeft w:val="0"/>
      <w:marRight w:val="0"/>
      <w:marTop w:val="0"/>
      <w:marBottom w:val="0"/>
      <w:divBdr>
        <w:top w:val="none" w:sz="0" w:space="0" w:color="auto"/>
        <w:left w:val="none" w:sz="0" w:space="0" w:color="auto"/>
        <w:bottom w:val="none" w:sz="0" w:space="0" w:color="auto"/>
        <w:right w:val="none" w:sz="0" w:space="0" w:color="auto"/>
      </w:divBdr>
    </w:div>
    <w:div w:id="1111628732">
      <w:bodyDiv w:val="1"/>
      <w:marLeft w:val="0"/>
      <w:marRight w:val="0"/>
      <w:marTop w:val="0"/>
      <w:marBottom w:val="0"/>
      <w:divBdr>
        <w:top w:val="none" w:sz="0" w:space="0" w:color="auto"/>
        <w:left w:val="none" w:sz="0" w:space="0" w:color="auto"/>
        <w:bottom w:val="none" w:sz="0" w:space="0" w:color="auto"/>
        <w:right w:val="none" w:sz="0" w:space="0" w:color="auto"/>
      </w:divBdr>
    </w:div>
    <w:div w:id="1114976641">
      <w:bodyDiv w:val="1"/>
      <w:marLeft w:val="0"/>
      <w:marRight w:val="0"/>
      <w:marTop w:val="0"/>
      <w:marBottom w:val="0"/>
      <w:divBdr>
        <w:top w:val="none" w:sz="0" w:space="0" w:color="auto"/>
        <w:left w:val="none" w:sz="0" w:space="0" w:color="auto"/>
        <w:bottom w:val="none" w:sz="0" w:space="0" w:color="auto"/>
        <w:right w:val="none" w:sz="0" w:space="0" w:color="auto"/>
      </w:divBdr>
    </w:div>
    <w:div w:id="1117211214">
      <w:bodyDiv w:val="1"/>
      <w:marLeft w:val="0"/>
      <w:marRight w:val="0"/>
      <w:marTop w:val="0"/>
      <w:marBottom w:val="0"/>
      <w:divBdr>
        <w:top w:val="none" w:sz="0" w:space="0" w:color="auto"/>
        <w:left w:val="none" w:sz="0" w:space="0" w:color="auto"/>
        <w:bottom w:val="none" w:sz="0" w:space="0" w:color="auto"/>
        <w:right w:val="none" w:sz="0" w:space="0" w:color="auto"/>
      </w:divBdr>
    </w:div>
    <w:div w:id="1123423141">
      <w:bodyDiv w:val="1"/>
      <w:marLeft w:val="0"/>
      <w:marRight w:val="0"/>
      <w:marTop w:val="0"/>
      <w:marBottom w:val="0"/>
      <w:divBdr>
        <w:top w:val="none" w:sz="0" w:space="0" w:color="auto"/>
        <w:left w:val="none" w:sz="0" w:space="0" w:color="auto"/>
        <w:bottom w:val="none" w:sz="0" w:space="0" w:color="auto"/>
        <w:right w:val="none" w:sz="0" w:space="0" w:color="auto"/>
      </w:divBdr>
    </w:div>
    <w:div w:id="1124541371">
      <w:bodyDiv w:val="1"/>
      <w:marLeft w:val="0"/>
      <w:marRight w:val="0"/>
      <w:marTop w:val="0"/>
      <w:marBottom w:val="0"/>
      <w:divBdr>
        <w:top w:val="none" w:sz="0" w:space="0" w:color="auto"/>
        <w:left w:val="none" w:sz="0" w:space="0" w:color="auto"/>
        <w:bottom w:val="none" w:sz="0" w:space="0" w:color="auto"/>
        <w:right w:val="none" w:sz="0" w:space="0" w:color="auto"/>
      </w:divBdr>
    </w:div>
    <w:div w:id="1126197899">
      <w:bodyDiv w:val="1"/>
      <w:marLeft w:val="0"/>
      <w:marRight w:val="0"/>
      <w:marTop w:val="0"/>
      <w:marBottom w:val="0"/>
      <w:divBdr>
        <w:top w:val="none" w:sz="0" w:space="0" w:color="auto"/>
        <w:left w:val="none" w:sz="0" w:space="0" w:color="auto"/>
        <w:bottom w:val="none" w:sz="0" w:space="0" w:color="auto"/>
        <w:right w:val="none" w:sz="0" w:space="0" w:color="auto"/>
      </w:divBdr>
    </w:div>
    <w:div w:id="1130247424">
      <w:bodyDiv w:val="1"/>
      <w:marLeft w:val="0"/>
      <w:marRight w:val="0"/>
      <w:marTop w:val="0"/>
      <w:marBottom w:val="0"/>
      <w:divBdr>
        <w:top w:val="none" w:sz="0" w:space="0" w:color="auto"/>
        <w:left w:val="none" w:sz="0" w:space="0" w:color="auto"/>
        <w:bottom w:val="none" w:sz="0" w:space="0" w:color="auto"/>
        <w:right w:val="none" w:sz="0" w:space="0" w:color="auto"/>
      </w:divBdr>
    </w:div>
    <w:div w:id="1136068781">
      <w:bodyDiv w:val="1"/>
      <w:marLeft w:val="0"/>
      <w:marRight w:val="0"/>
      <w:marTop w:val="0"/>
      <w:marBottom w:val="0"/>
      <w:divBdr>
        <w:top w:val="none" w:sz="0" w:space="0" w:color="auto"/>
        <w:left w:val="none" w:sz="0" w:space="0" w:color="auto"/>
        <w:bottom w:val="none" w:sz="0" w:space="0" w:color="auto"/>
        <w:right w:val="none" w:sz="0" w:space="0" w:color="auto"/>
      </w:divBdr>
    </w:div>
    <w:div w:id="1146775142">
      <w:bodyDiv w:val="1"/>
      <w:marLeft w:val="0"/>
      <w:marRight w:val="0"/>
      <w:marTop w:val="0"/>
      <w:marBottom w:val="0"/>
      <w:divBdr>
        <w:top w:val="none" w:sz="0" w:space="0" w:color="auto"/>
        <w:left w:val="none" w:sz="0" w:space="0" w:color="auto"/>
        <w:bottom w:val="none" w:sz="0" w:space="0" w:color="auto"/>
        <w:right w:val="none" w:sz="0" w:space="0" w:color="auto"/>
      </w:divBdr>
    </w:div>
    <w:div w:id="1147285040">
      <w:bodyDiv w:val="1"/>
      <w:marLeft w:val="0"/>
      <w:marRight w:val="0"/>
      <w:marTop w:val="0"/>
      <w:marBottom w:val="0"/>
      <w:divBdr>
        <w:top w:val="none" w:sz="0" w:space="0" w:color="auto"/>
        <w:left w:val="none" w:sz="0" w:space="0" w:color="auto"/>
        <w:bottom w:val="none" w:sz="0" w:space="0" w:color="auto"/>
        <w:right w:val="none" w:sz="0" w:space="0" w:color="auto"/>
      </w:divBdr>
    </w:div>
    <w:div w:id="1148671985">
      <w:bodyDiv w:val="1"/>
      <w:marLeft w:val="0"/>
      <w:marRight w:val="0"/>
      <w:marTop w:val="0"/>
      <w:marBottom w:val="0"/>
      <w:divBdr>
        <w:top w:val="none" w:sz="0" w:space="0" w:color="auto"/>
        <w:left w:val="none" w:sz="0" w:space="0" w:color="auto"/>
        <w:bottom w:val="none" w:sz="0" w:space="0" w:color="auto"/>
        <w:right w:val="none" w:sz="0" w:space="0" w:color="auto"/>
      </w:divBdr>
    </w:div>
    <w:div w:id="1160850655">
      <w:bodyDiv w:val="1"/>
      <w:marLeft w:val="0"/>
      <w:marRight w:val="0"/>
      <w:marTop w:val="0"/>
      <w:marBottom w:val="0"/>
      <w:divBdr>
        <w:top w:val="none" w:sz="0" w:space="0" w:color="auto"/>
        <w:left w:val="none" w:sz="0" w:space="0" w:color="auto"/>
        <w:bottom w:val="none" w:sz="0" w:space="0" w:color="auto"/>
        <w:right w:val="none" w:sz="0" w:space="0" w:color="auto"/>
      </w:divBdr>
    </w:div>
    <w:div w:id="1160929237">
      <w:bodyDiv w:val="1"/>
      <w:marLeft w:val="0"/>
      <w:marRight w:val="0"/>
      <w:marTop w:val="0"/>
      <w:marBottom w:val="0"/>
      <w:divBdr>
        <w:top w:val="none" w:sz="0" w:space="0" w:color="auto"/>
        <w:left w:val="none" w:sz="0" w:space="0" w:color="auto"/>
        <w:bottom w:val="none" w:sz="0" w:space="0" w:color="auto"/>
        <w:right w:val="none" w:sz="0" w:space="0" w:color="auto"/>
      </w:divBdr>
    </w:div>
    <w:div w:id="1163275907">
      <w:bodyDiv w:val="1"/>
      <w:marLeft w:val="0"/>
      <w:marRight w:val="0"/>
      <w:marTop w:val="0"/>
      <w:marBottom w:val="0"/>
      <w:divBdr>
        <w:top w:val="none" w:sz="0" w:space="0" w:color="auto"/>
        <w:left w:val="none" w:sz="0" w:space="0" w:color="auto"/>
        <w:bottom w:val="none" w:sz="0" w:space="0" w:color="auto"/>
        <w:right w:val="none" w:sz="0" w:space="0" w:color="auto"/>
      </w:divBdr>
    </w:div>
    <w:div w:id="1174341355">
      <w:bodyDiv w:val="1"/>
      <w:marLeft w:val="0"/>
      <w:marRight w:val="0"/>
      <w:marTop w:val="0"/>
      <w:marBottom w:val="0"/>
      <w:divBdr>
        <w:top w:val="none" w:sz="0" w:space="0" w:color="auto"/>
        <w:left w:val="none" w:sz="0" w:space="0" w:color="auto"/>
        <w:bottom w:val="none" w:sz="0" w:space="0" w:color="auto"/>
        <w:right w:val="none" w:sz="0" w:space="0" w:color="auto"/>
      </w:divBdr>
    </w:div>
    <w:div w:id="1183935998">
      <w:bodyDiv w:val="1"/>
      <w:marLeft w:val="0"/>
      <w:marRight w:val="0"/>
      <w:marTop w:val="0"/>
      <w:marBottom w:val="0"/>
      <w:divBdr>
        <w:top w:val="none" w:sz="0" w:space="0" w:color="auto"/>
        <w:left w:val="none" w:sz="0" w:space="0" w:color="auto"/>
        <w:bottom w:val="none" w:sz="0" w:space="0" w:color="auto"/>
        <w:right w:val="none" w:sz="0" w:space="0" w:color="auto"/>
      </w:divBdr>
    </w:div>
    <w:div w:id="1196772707">
      <w:bodyDiv w:val="1"/>
      <w:marLeft w:val="0"/>
      <w:marRight w:val="0"/>
      <w:marTop w:val="0"/>
      <w:marBottom w:val="0"/>
      <w:divBdr>
        <w:top w:val="none" w:sz="0" w:space="0" w:color="auto"/>
        <w:left w:val="none" w:sz="0" w:space="0" w:color="auto"/>
        <w:bottom w:val="none" w:sz="0" w:space="0" w:color="auto"/>
        <w:right w:val="none" w:sz="0" w:space="0" w:color="auto"/>
      </w:divBdr>
    </w:div>
    <w:div w:id="1214387656">
      <w:bodyDiv w:val="1"/>
      <w:marLeft w:val="0"/>
      <w:marRight w:val="0"/>
      <w:marTop w:val="0"/>
      <w:marBottom w:val="0"/>
      <w:divBdr>
        <w:top w:val="none" w:sz="0" w:space="0" w:color="auto"/>
        <w:left w:val="none" w:sz="0" w:space="0" w:color="auto"/>
        <w:bottom w:val="none" w:sz="0" w:space="0" w:color="auto"/>
        <w:right w:val="none" w:sz="0" w:space="0" w:color="auto"/>
      </w:divBdr>
    </w:div>
    <w:div w:id="1222789102">
      <w:bodyDiv w:val="1"/>
      <w:marLeft w:val="0"/>
      <w:marRight w:val="0"/>
      <w:marTop w:val="0"/>
      <w:marBottom w:val="0"/>
      <w:divBdr>
        <w:top w:val="none" w:sz="0" w:space="0" w:color="auto"/>
        <w:left w:val="none" w:sz="0" w:space="0" w:color="auto"/>
        <w:bottom w:val="none" w:sz="0" w:space="0" w:color="auto"/>
        <w:right w:val="none" w:sz="0" w:space="0" w:color="auto"/>
      </w:divBdr>
    </w:div>
    <w:div w:id="1225919799">
      <w:bodyDiv w:val="1"/>
      <w:marLeft w:val="0"/>
      <w:marRight w:val="0"/>
      <w:marTop w:val="0"/>
      <w:marBottom w:val="0"/>
      <w:divBdr>
        <w:top w:val="none" w:sz="0" w:space="0" w:color="auto"/>
        <w:left w:val="none" w:sz="0" w:space="0" w:color="auto"/>
        <w:bottom w:val="none" w:sz="0" w:space="0" w:color="auto"/>
        <w:right w:val="none" w:sz="0" w:space="0" w:color="auto"/>
      </w:divBdr>
    </w:div>
    <w:div w:id="1237126358">
      <w:bodyDiv w:val="1"/>
      <w:marLeft w:val="0"/>
      <w:marRight w:val="0"/>
      <w:marTop w:val="0"/>
      <w:marBottom w:val="0"/>
      <w:divBdr>
        <w:top w:val="none" w:sz="0" w:space="0" w:color="auto"/>
        <w:left w:val="none" w:sz="0" w:space="0" w:color="auto"/>
        <w:bottom w:val="none" w:sz="0" w:space="0" w:color="auto"/>
        <w:right w:val="none" w:sz="0" w:space="0" w:color="auto"/>
      </w:divBdr>
    </w:div>
    <w:div w:id="1240478226">
      <w:bodyDiv w:val="1"/>
      <w:marLeft w:val="0"/>
      <w:marRight w:val="0"/>
      <w:marTop w:val="0"/>
      <w:marBottom w:val="0"/>
      <w:divBdr>
        <w:top w:val="none" w:sz="0" w:space="0" w:color="auto"/>
        <w:left w:val="none" w:sz="0" w:space="0" w:color="auto"/>
        <w:bottom w:val="none" w:sz="0" w:space="0" w:color="auto"/>
        <w:right w:val="none" w:sz="0" w:space="0" w:color="auto"/>
      </w:divBdr>
    </w:div>
    <w:div w:id="1242791729">
      <w:bodyDiv w:val="1"/>
      <w:marLeft w:val="0"/>
      <w:marRight w:val="0"/>
      <w:marTop w:val="0"/>
      <w:marBottom w:val="0"/>
      <w:divBdr>
        <w:top w:val="none" w:sz="0" w:space="0" w:color="auto"/>
        <w:left w:val="none" w:sz="0" w:space="0" w:color="auto"/>
        <w:bottom w:val="none" w:sz="0" w:space="0" w:color="auto"/>
        <w:right w:val="none" w:sz="0" w:space="0" w:color="auto"/>
      </w:divBdr>
    </w:div>
    <w:div w:id="1243443423">
      <w:bodyDiv w:val="1"/>
      <w:marLeft w:val="0"/>
      <w:marRight w:val="0"/>
      <w:marTop w:val="0"/>
      <w:marBottom w:val="0"/>
      <w:divBdr>
        <w:top w:val="none" w:sz="0" w:space="0" w:color="auto"/>
        <w:left w:val="none" w:sz="0" w:space="0" w:color="auto"/>
        <w:bottom w:val="none" w:sz="0" w:space="0" w:color="auto"/>
        <w:right w:val="none" w:sz="0" w:space="0" w:color="auto"/>
      </w:divBdr>
    </w:div>
    <w:div w:id="1247963334">
      <w:bodyDiv w:val="1"/>
      <w:marLeft w:val="0"/>
      <w:marRight w:val="0"/>
      <w:marTop w:val="0"/>
      <w:marBottom w:val="0"/>
      <w:divBdr>
        <w:top w:val="none" w:sz="0" w:space="0" w:color="auto"/>
        <w:left w:val="none" w:sz="0" w:space="0" w:color="auto"/>
        <w:bottom w:val="none" w:sz="0" w:space="0" w:color="auto"/>
        <w:right w:val="none" w:sz="0" w:space="0" w:color="auto"/>
      </w:divBdr>
    </w:div>
    <w:div w:id="1248609864">
      <w:bodyDiv w:val="1"/>
      <w:marLeft w:val="0"/>
      <w:marRight w:val="0"/>
      <w:marTop w:val="0"/>
      <w:marBottom w:val="0"/>
      <w:divBdr>
        <w:top w:val="none" w:sz="0" w:space="0" w:color="auto"/>
        <w:left w:val="none" w:sz="0" w:space="0" w:color="auto"/>
        <w:bottom w:val="none" w:sz="0" w:space="0" w:color="auto"/>
        <w:right w:val="none" w:sz="0" w:space="0" w:color="auto"/>
      </w:divBdr>
    </w:div>
    <w:div w:id="1257443807">
      <w:bodyDiv w:val="1"/>
      <w:marLeft w:val="0"/>
      <w:marRight w:val="0"/>
      <w:marTop w:val="0"/>
      <w:marBottom w:val="0"/>
      <w:divBdr>
        <w:top w:val="none" w:sz="0" w:space="0" w:color="auto"/>
        <w:left w:val="none" w:sz="0" w:space="0" w:color="auto"/>
        <w:bottom w:val="none" w:sz="0" w:space="0" w:color="auto"/>
        <w:right w:val="none" w:sz="0" w:space="0" w:color="auto"/>
      </w:divBdr>
    </w:div>
    <w:div w:id="1258707107">
      <w:bodyDiv w:val="1"/>
      <w:marLeft w:val="0"/>
      <w:marRight w:val="0"/>
      <w:marTop w:val="0"/>
      <w:marBottom w:val="0"/>
      <w:divBdr>
        <w:top w:val="none" w:sz="0" w:space="0" w:color="auto"/>
        <w:left w:val="none" w:sz="0" w:space="0" w:color="auto"/>
        <w:bottom w:val="none" w:sz="0" w:space="0" w:color="auto"/>
        <w:right w:val="none" w:sz="0" w:space="0" w:color="auto"/>
      </w:divBdr>
    </w:div>
    <w:div w:id="1274702521">
      <w:bodyDiv w:val="1"/>
      <w:marLeft w:val="0"/>
      <w:marRight w:val="0"/>
      <w:marTop w:val="0"/>
      <w:marBottom w:val="0"/>
      <w:divBdr>
        <w:top w:val="none" w:sz="0" w:space="0" w:color="auto"/>
        <w:left w:val="none" w:sz="0" w:space="0" w:color="auto"/>
        <w:bottom w:val="none" w:sz="0" w:space="0" w:color="auto"/>
        <w:right w:val="none" w:sz="0" w:space="0" w:color="auto"/>
      </w:divBdr>
    </w:div>
    <w:div w:id="1275598092">
      <w:bodyDiv w:val="1"/>
      <w:marLeft w:val="0"/>
      <w:marRight w:val="0"/>
      <w:marTop w:val="0"/>
      <w:marBottom w:val="0"/>
      <w:divBdr>
        <w:top w:val="none" w:sz="0" w:space="0" w:color="auto"/>
        <w:left w:val="none" w:sz="0" w:space="0" w:color="auto"/>
        <w:bottom w:val="none" w:sz="0" w:space="0" w:color="auto"/>
        <w:right w:val="none" w:sz="0" w:space="0" w:color="auto"/>
      </w:divBdr>
    </w:div>
    <w:div w:id="1278096488">
      <w:bodyDiv w:val="1"/>
      <w:marLeft w:val="0"/>
      <w:marRight w:val="0"/>
      <w:marTop w:val="0"/>
      <w:marBottom w:val="0"/>
      <w:divBdr>
        <w:top w:val="none" w:sz="0" w:space="0" w:color="auto"/>
        <w:left w:val="none" w:sz="0" w:space="0" w:color="auto"/>
        <w:bottom w:val="none" w:sz="0" w:space="0" w:color="auto"/>
        <w:right w:val="none" w:sz="0" w:space="0" w:color="auto"/>
      </w:divBdr>
    </w:div>
    <w:div w:id="1278214332">
      <w:bodyDiv w:val="1"/>
      <w:marLeft w:val="0"/>
      <w:marRight w:val="0"/>
      <w:marTop w:val="0"/>
      <w:marBottom w:val="0"/>
      <w:divBdr>
        <w:top w:val="none" w:sz="0" w:space="0" w:color="auto"/>
        <w:left w:val="none" w:sz="0" w:space="0" w:color="auto"/>
        <w:bottom w:val="none" w:sz="0" w:space="0" w:color="auto"/>
        <w:right w:val="none" w:sz="0" w:space="0" w:color="auto"/>
      </w:divBdr>
    </w:div>
    <w:div w:id="1291475685">
      <w:bodyDiv w:val="1"/>
      <w:marLeft w:val="0"/>
      <w:marRight w:val="0"/>
      <w:marTop w:val="0"/>
      <w:marBottom w:val="0"/>
      <w:divBdr>
        <w:top w:val="none" w:sz="0" w:space="0" w:color="auto"/>
        <w:left w:val="none" w:sz="0" w:space="0" w:color="auto"/>
        <w:bottom w:val="none" w:sz="0" w:space="0" w:color="auto"/>
        <w:right w:val="none" w:sz="0" w:space="0" w:color="auto"/>
      </w:divBdr>
    </w:div>
    <w:div w:id="1291789841">
      <w:bodyDiv w:val="1"/>
      <w:marLeft w:val="0"/>
      <w:marRight w:val="0"/>
      <w:marTop w:val="0"/>
      <w:marBottom w:val="0"/>
      <w:divBdr>
        <w:top w:val="none" w:sz="0" w:space="0" w:color="auto"/>
        <w:left w:val="none" w:sz="0" w:space="0" w:color="auto"/>
        <w:bottom w:val="none" w:sz="0" w:space="0" w:color="auto"/>
        <w:right w:val="none" w:sz="0" w:space="0" w:color="auto"/>
      </w:divBdr>
    </w:div>
    <w:div w:id="1292050140">
      <w:bodyDiv w:val="1"/>
      <w:marLeft w:val="0"/>
      <w:marRight w:val="0"/>
      <w:marTop w:val="0"/>
      <w:marBottom w:val="0"/>
      <w:divBdr>
        <w:top w:val="none" w:sz="0" w:space="0" w:color="auto"/>
        <w:left w:val="none" w:sz="0" w:space="0" w:color="auto"/>
        <w:bottom w:val="none" w:sz="0" w:space="0" w:color="auto"/>
        <w:right w:val="none" w:sz="0" w:space="0" w:color="auto"/>
      </w:divBdr>
    </w:div>
    <w:div w:id="1292395235">
      <w:bodyDiv w:val="1"/>
      <w:marLeft w:val="0"/>
      <w:marRight w:val="0"/>
      <w:marTop w:val="0"/>
      <w:marBottom w:val="0"/>
      <w:divBdr>
        <w:top w:val="none" w:sz="0" w:space="0" w:color="auto"/>
        <w:left w:val="none" w:sz="0" w:space="0" w:color="auto"/>
        <w:bottom w:val="none" w:sz="0" w:space="0" w:color="auto"/>
        <w:right w:val="none" w:sz="0" w:space="0" w:color="auto"/>
      </w:divBdr>
    </w:div>
    <w:div w:id="1292440857">
      <w:bodyDiv w:val="1"/>
      <w:marLeft w:val="0"/>
      <w:marRight w:val="0"/>
      <w:marTop w:val="0"/>
      <w:marBottom w:val="0"/>
      <w:divBdr>
        <w:top w:val="none" w:sz="0" w:space="0" w:color="auto"/>
        <w:left w:val="none" w:sz="0" w:space="0" w:color="auto"/>
        <w:bottom w:val="none" w:sz="0" w:space="0" w:color="auto"/>
        <w:right w:val="none" w:sz="0" w:space="0" w:color="auto"/>
      </w:divBdr>
    </w:div>
    <w:div w:id="1293748017">
      <w:bodyDiv w:val="1"/>
      <w:marLeft w:val="0"/>
      <w:marRight w:val="0"/>
      <w:marTop w:val="0"/>
      <w:marBottom w:val="0"/>
      <w:divBdr>
        <w:top w:val="none" w:sz="0" w:space="0" w:color="auto"/>
        <w:left w:val="none" w:sz="0" w:space="0" w:color="auto"/>
        <w:bottom w:val="none" w:sz="0" w:space="0" w:color="auto"/>
        <w:right w:val="none" w:sz="0" w:space="0" w:color="auto"/>
      </w:divBdr>
    </w:div>
    <w:div w:id="1298880107">
      <w:bodyDiv w:val="1"/>
      <w:marLeft w:val="0"/>
      <w:marRight w:val="0"/>
      <w:marTop w:val="0"/>
      <w:marBottom w:val="0"/>
      <w:divBdr>
        <w:top w:val="none" w:sz="0" w:space="0" w:color="auto"/>
        <w:left w:val="none" w:sz="0" w:space="0" w:color="auto"/>
        <w:bottom w:val="none" w:sz="0" w:space="0" w:color="auto"/>
        <w:right w:val="none" w:sz="0" w:space="0" w:color="auto"/>
      </w:divBdr>
    </w:div>
    <w:div w:id="1302730232">
      <w:bodyDiv w:val="1"/>
      <w:marLeft w:val="0"/>
      <w:marRight w:val="0"/>
      <w:marTop w:val="0"/>
      <w:marBottom w:val="0"/>
      <w:divBdr>
        <w:top w:val="none" w:sz="0" w:space="0" w:color="auto"/>
        <w:left w:val="none" w:sz="0" w:space="0" w:color="auto"/>
        <w:bottom w:val="none" w:sz="0" w:space="0" w:color="auto"/>
        <w:right w:val="none" w:sz="0" w:space="0" w:color="auto"/>
      </w:divBdr>
    </w:div>
    <w:div w:id="1308778236">
      <w:bodyDiv w:val="1"/>
      <w:marLeft w:val="0"/>
      <w:marRight w:val="0"/>
      <w:marTop w:val="0"/>
      <w:marBottom w:val="0"/>
      <w:divBdr>
        <w:top w:val="none" w:sz="0" w:space="0" w:color="auto"/>
        <w:left w:val="none" w:sz="0" w:space="0" w:color="auto"/>
        <w:bottom w:val="none" w:sz="0" w:space="0" w:color="auto"/>
        <w:right w:val="none" w:sz="0" w:space="0" w:color="auto"/>
      </w:divBdr>
    </w:div>
    <w:div w:id="1324121052">
      <w:bodyDiv w:val="1"/>
      <w:marLeft w:val="0"/>
      <w:marRight w:val="0"/>
      <w:marTop w:val="0"/>
      <w:marBottom w:val="0"/>
      <w:divBdr>
        <w:top w:val="none" w:sz="0" w:space="0" w:color="auto"/>
        <w:left w:val="none" w:sz="0" w:space="0" w:color="auto"/>
        <w:bottom w:val="none" w:sz="0" w:space="0" w:color="auto"/>
        <w:right w:val="none" w:sz="0" w:space="0" w:color="auto"/>
      </w:divBdr>
    </w:div>
    <w:div w:id="1326587236">
      <w:bodyDiv w:val="1"/>
      <w:marLeft w:val="0"/>
      <w:marRight w:val="0"/>
      <w:marTop w:val="0"/>
      <w:marBottom w:val="0"/>
      <w:divBdr>
        <w:top w:val="none" w:sz="0" w:space="0" w:color="auto"/>
        <w:left w:val="none" w:sz="0" w:space="0" w:color="auto"/>
        <w:bottom w:val="none" w:sz="0" w:space="0" w:color="auto"/>
        <w:right w:val="none" w:sz="0" w:space="0" w:color="auto"/>
      </w:divBdr>
    </w:div>
    <w:div w:id="1328942682">
      <w:bodyDiv w:val="1"/>
      <w:marLeft w:val="0"/>
      <w:marRight w:val="0"/>
      <w:marTop w:val="0"/>
      <w:marBottom w:val="0"/>
      <w:divBdr>
        <w:top w:val="none" w:sz="0" w:space="0" w:color="auto"/>
        <w:left w:val="none" w:sz="0" w:space="0" w:color="auto"/>
        <w:bottom w:val="none" w:sz="0" w:space="0" w:color="auto"/>
        <w:right w:val="none" w:sz="0" w:space="0" w:color="auto"/>
      </w:divBdr>
    </w:div>
    <w:div w:id="1330406696">
      <w:bodyDiv w:val="1"/>
      <w:marLeft w:val="0"/>
      <w:marRight w:val="0"/>
      <w:marTop w:val="0"/>
      <w:marBottom w:val="0"/>
      <w:divBdr>
        <w:top w:val="none" w:sz="0" w:space="0" w:color="auto"/>
        <w:left w:val="none" w:sz="0" w:space="0" w:color="auto"/>
        <w:bottom w:val="none" w:sz="0" w:space="0" w:color="auto"/>
        <w:right w:val="none" w:sz="0" w:space="0" w:color="auto"/>
      </w:divBdr>
    </w:div>
    <w:div w:id="1330937618">
      <w:bodyDiv w:val="1"/>
      <w:marLeft w:val="0"/>
      <w:marRight w:val="0"/>
      <w:marTop w:val="0"/>
      <w:marBottom w:val="0"/>
      <w:divBdr>
        <w:top w:val="none" w:sz="0" w:space="0" w:color="auto"/>
        <w:left w:val="none" w:sz="0" w:space="0" w:color="auto"/>
        <w:bottom w:val="none" w:sz="0" w:space="0" w:color="auto"/>
        <w:right w:val="none" w:sz="0" w:space="0" w:color="auto"/>
      </w:divBdr>
    </w:div>
    <w:div w:id="1332172171">
      <w:bodyDiv w:val="1"/>
      <w:marLeft w:val="0"/>
      <w:marRight w:val="0"/>
      <w:marTop w:val="0"/>
      <w:marBottom w:val="0"/>
      <w:divBdr>
        <w:top w:val="none" w:sz="0" w:space="0" w:color="auto"/>
        <w:left w:val="none" w:sz="0" w:space="0" w:color="auto"/>
        <w:bottom w:val="none" w:sz="0" w:space="0" w:color="auto"/>
        <w:right w:val="none" w:sz="0" w:space="0" w:color="auto"/>
      </w:divBdr>
    </w:div>
    <w:div w:id="1333753654">
      <w:bodyDiv w:val="1"/>
      <w:marLeft w:val="0"/>
      <w:marRight w:val="0"/>
      <w:marTop w:val="0"/>
      <w:marBottom w:val="0"/>
      <w:divBdr>
        <w:top w:val="none" w:sz="0" w:space="0" w:color="auto"/>
        <w:left w:val="none" w:sz="0" w:space="0" w:color="auto"/>
        <w:bottom w:val="none" w:sz="0" w:space="0" w:color="auto"/>
        <w:right w:val="none" w:sz="0" w:space="0" w:color="auto"/>
      </w:divBdr>
    </w:div>
    <w:div w:id="1337883941">
      <w:bodyDiv w:val="1"/>
      <w:marLeft w:val="0"/>
      <w:marRight w:val="0"/>
      <w:marTop w:val="0"/>
      <w:marBottom w:val="0"/>
      <w:divBdr>
        <w:top w:val="none" w:sz="0" w:space="0" w:color="auto"/>
        <w:left w:val="none" w:sz="0" w:space="0" w:color="auto"/>
        <w:bottom w:val="none" w:sz="0" w:space="0" w:color="auto"/>
        <w:right w:val="none" w:sz="0" w:space="0" w:color="auto"/>
      </w:divBdr>
    </w:div>
    <w:div w:id="1342008328">
      <w:bodyDiv w:val="1"/>
      <w:marLeft w:val="0"/>
      <w:marRight w:val="0"/>
      <w:marTop w:val="0"/>
      <w:marBottom w:val="0"/>
      <w:divBdr>
        <w:top w:val="none" w:sz="0" w:space="0" w:color="auto"/>
        <w:left w:val="none" w:sz="0" w:space="0" w:color="auto"/>
        <w:bottom w:val="none" w:sz="0" w:space="0" w:color="auto"/>
        <w:right w:val="none" w:sz="0" w:space="0" w:color="auto"/>
      </w:divBdr>
    </w:div>
    <w:div w:id="1347370598">
      <w:bodyDiv w:val="1"/>
      <w:marLeft w:val="0"/>
      <w:marRight w:val="0"/>
      <w:marTop w:val="0"/>
      <w:marBottom w:val="0"/>
      <w:divBdr>
        <w:top w:val="none" w:sz="0" w:space="0" w:color="auto"/>
        <w:left w:val="none" w:sz="0" w:space="0" w:color="auto"/>
        <w:bottom w:val="none" w:sz="0" w:space="0" w:color="auto"/>
        <w:right w:val="none" w:sz="0" w:space="0" w:color="auto"/>
      </w:divBdr>
    </w:div>
    <w:div w:id="1348214563">
      <w:bodyDiv w:val="1"/>
      <w:marLeft w:val="0"/>
      <w:marRight w:val="0"/>
      <w:marTop w:val="0"/>
      <w:marBottom w:val="0"/>
      <w:divBdr>
        <w:top w:val="none" w:sz="0" w:space="0" w:color="auto"/>
        <w:left w:val="none" w:sz="0" w:space="0" w:color="auto"/>
        <w:bottom w:val="none" w:sz="0" w:space="0" w:color="auto"/>
        <w:right w:val="none" w:sz="0" w:space="0" w:color="auto"/>
      </w:divBdr>
    </w:div>
    <w:div w:id="1349330188">
      <w:bodyDiv w:val="1"/>
      <w:marLeft w:val="0"/>
      <w:marRight w:val="0"/>
      <w:marTop w:val="0"/>
      <w:marBottom w:val="0"/>
      <w:divBdr>
        <w:top w:val="none" w:sz="0" w:space="0" w:color="auto"/>
        <w:left w:val="none" w:sz="0" w:space="0" w:color="auto"/>
        <w:bottom w:val="none" w:sz="0" w:space="0" w:color="auto"/>
        <w:right w:val="none" w:sz="0" w:space="0" w:color="auto"/>
      </w:divBdr>
    </w:div>
    <w:div w:id="1350180657">
      <w:bodyDiv w:val="1"/>
      <w:marLeft w:val="0"/>
      <w:marRight w:val="0"/>
      <w:marTop w:val="0"/>
      <w:marBottom w:val="0"/>
      <w:divBdr>
        <w:top w:val="none" w:sz="0" w:space="0" w:color="auto"/>
        <w:left w:val="none" w:sz="0" w:space="0" w:color="auto"/>
        <w:bottom w:val="none" w:sz="0" w:space="0" w:color="auto"/>
        <w:right w:val="none" w:sz="0" w:space="0" w:color="auto"/>
      </w:divBdr>
    </w:div>
    <w:div w:id="1365861646">
      <w:bodyDiv w:val="1"/>
      <w:marLeft w:val="0"/>
      <w:marRight w:val="0"/>
      <w:marTop w:val="0"/>
      <w:marBottom w:val="0"/>
      <w:divBdr>
        <w:top w:val="none" w:sz="0" w:space="0" w:color="auto"/>
        <w:left w:val="none" w:sz="0" w:space="0" w:color="auto"/>
        <w:bottom w:val="none" w:sz="0" w:space="0" w:color="auto"/>
        <w:right w:val="none" w:sz="0" w:space="0" w:color="auto"/>
      </w:divBdr>
    </w:div>
    <w:div w:id="1373769865">
      <w:bodyDiv w:val="1"/>
      <w:marLeft w:val="0"/>
      <w:marRight w:val="0"/>
      <w:marTop w:val="0"/>
      <w:marBottom w:val="0"/>
      <w:divBdr>
        <w:top w:val="none" w:sz="0" w:space="0" w:color="auto"/>
        <w:left w:val="none" w:sz="0" w:space="0" w:color="auto"/>
        <w:bottom w:val="none" w:sz="0" w:space="0" w:color="auto"/>
        <w:right w:val="none" w:sz="0" w:space="0" w:color="auto"/>
      </w:divBdr>
    </w:div>
    <w:div w:id="1385183026">
      <w:bodyDiv w:val="1"/>
      <w:marLeft w:val="0"/>
      <w:marRight w:val="0"/>
      <w:marTop w:val="0"/>
      <w:marBottom w:val="0"/>
      <w:divBdr>
        <w:top w:val="none" w:sz="0" w:space="0" w:color="auto"/>
        <w:left w:val="none" w:sz="0" w:space="0" w:color="auto"/>
        <w:bottom w:val="none" w:sz="0" w:space="0" w:color="auto"/>
        <w:right w:val="none" w:sz="0" w:space="0" w:color="auto"/>
      </w:divBdr>
    </w:div>
    <w:div w:id="1392583528">
      <w:bodyDiv w:val="1"/>
      <w:marLeft w:val="0"/>
      <w:marRight w:val="0"/>
      <w:marTop w:val="0"/>
      <w:marBottom w:val="0"/>
      <w:divBdr>
        <w:top w:val="none" w:sz="0" w:space="0" w:color="auto"/>
        <w:left w:val="none" w:sz="0" w:space="0" w:color="auto"/>
        <w:bottom w:val="none" w:sz="0" w:space="0" w:color="auto"/>
        <w:right w:val="none" w:sz="0" w:space="0" w:color="auto"/>
      </w:divBdr>
    </w:div>
    <w:div w:id="1401636074">
      <w:bodyDiv w:val="1"/>
      <w:marLeft w:val="0"/>
      <w:marRight w:val="0"/>
      <w:marTop w:val="0"/>
      <w:marBottom w:val="0"/>
      <w:divBdr>
        <w:top w:val="none" w:sz="0" w:space="0" w:color="auto"/>
        <w:left w:val="none" w:sz="0" w:space="0" w:color="auto"/>
        <w:bottom w:val="none" w:sz="0" w:space="0" w:color="auto"/>
        <w:right w:val="none" w:sz="0" w:space="0" w:color="auto"/>
      </w:divBdr>
    </w:div>
    <w:div w:id="1401707153">
      <w:bodyDiv w:val="1"/>
      <w:marLeft w:val="0"/>
      <w:marRight w:val="0"/>
      <w:marTop w:val="0"/>
      <w:marBottom w:val="0"/>
      <w:divBdr>
        <w:top w:val="none" w:sz="0" w:space="0" w:color="auto"/>
        <w:left w:val="none" w:sz="0" w:space="0" w:color="auto"/>
        <w:bottom w:val="none" w:sz="0" w:space="0" w:color="auto"/>
        <w:right w:val="none" w:sz="0" w:space="0" w:color="auto"/>
      </w:divBdr>
    </w:div>
    <w:div w:id="1424570746">
      <w:bodyDiv w:val="1"/>
      <w:marLeft w:val="0"/>
      <w:marRight w:val="0"/>
      <w:marTop w:val="0"/>
      <w:marBottom w:val="0"/>
      <w:divBdr>
        <w:top w:val="none" w:sz="0" w:space="0" w:color="auto"/>
        <w:left w:val="none" w:sz="0" w:space="0" w:color="auto"/>
        <w:bottom w:val="none" w:sz="0" w:space="0" w:color="auto"/>
        <w:right w:val="none" w:sz="0" w:space="0" w:color="auto"/>
      </w:divBdr>
    </w:div>
    <w:div w:id="1424955891">
      <w:bodyDiv w:val="1"/>
      <w:marLeft w:val="0"/>
      <w:marRight w:val="0"/>
      <w:marTop w:val="0"/>
      <w:marBottom w:val="0"/>
      <w:divBdr>
        <w:top w:val="none" w:sz="0" w:space="0" w:color="auto"/>
        <w:left w:val="none" w:sz="0" w:space="0" w:color="auto"/>
        <w:bottom w:val="none" w:sz="0" w:space="0" w:color="auto"/>
        <w:right w:val="none" w:sz="0" w:space="0" w:color="auto"/>
      </w:divBdr>
    </w:div>
    <w:div w:id="1425806352">
      <w:bodyDiv w:val="1"/>
      <w:marLeft w:val="0"/>
      <w:marRight w:val="0"/>
      <w:marTop w:val="0"/>
      <w:marBottom w:val="0"/>
      <w:divBdr>
        <w:top w:val="none" w:sz="0" w:space="0" w:color="auto"/>
        <w:left w:val="none" w:sz="0" w:space="0" w:color="auto"/>
        <w:bottom w:val="none" w:sz="0" w:space="0" w:color="auto"/>
        <w:right w:val="none" w:sz="0" w:space="0" w:color="auto"/>
      </w:divBdr>
    </w:div>
    <w:div w:id="1426729866">
      <w:bodyDiv w:val="1"/>
      <w:marLeft w:val="0"/>
      <w:marRight w:val="0"/>
      <w:marTop w:val="0"/>
      <w:marBottom w:val="0"/>
      <w:divBdr>
        <w:top w:val="none" w:sz="0" w:space="0" w:color="auto"/>
        <w:left w:val="none" w:sz="0" w:space="0" w:color="auto"/>
        <w:bottom w:val="none" w:sz="0" w:space="0" w:color="auto"/>
        <w:right w:val="none" w:sz="0" w:space="0" w:color="auto"/>
      </w:divBdr>
    </w:div>
    <w:div w:id="1427995659">
      <w:bodyDiv w:val="1"/>
      <w:marLeft w:val="0"/>
      <w:marRight w:val="0"/>
      <w:marTop w:val="0"/>
      <w:marBottom w:val="0"/>
      <w:divBdr>
        <w:top w:val="none" w:sz="0" w:space="0" w:color="auto"/>
        <w:left w:val="none" w:sz="0" w:space="0" w:color="auto"/>
        <w:bottom w:val="none" w:sz="0" w:space="0" w:color="auto"/>
        <w:right w:val="none" w:sz="0" w:space="0" w:color="auto"/>
      </w:divBdr>
    </w:div>
    <w:div w:id="1434594777">
      <w:bodyDiv w:val="1"/>
      <w:marLeft w:val="0"/>
      <w:marRight w:val="0"/>
      <w:marTop w:val="0"/>
      <w:marBottom w:val="0"/>
      <w:divBdr>
        <w:top w:val="none" w:sz="0" w:space="0" w:color="auto"/>
        <w:left w:val="none" w:sz="0" w:space="0" w:color="auto"/>
        <w:bottom w:val="none" w:sz="0" w:space="0" w:color="auto"/>
        <w:right w:val="none" w:sz="0" w:space="0" w:color="auto"/>
      </w:divBdr>
    </w:div>
    <w:div w:id="1439642039">
      <w:bodyDiv w:val="1"/>
      <w:marLeft w:val="0"/>
      <w:marRight w:val="0"/>
      <w:marTop w:val="0"/>
      <w:marBottom w:val="0"/>
      <w:divBdr>
        <w:top w:val="none" w:sz="0" w:space="0" w:color="auto"/>
        <w:left w:val="none" w:sz="0" w:space="0" w:color="auto"/>
        <w:bottom w:val="none" w:sz="0" w:space="0" w:color="auto"/>
        <w:right w:val="none" w:sz="0" w:space="0" w:color="auto"/>
      </w:divBdr>
    </w:div>
    <w:div w:id="1445274428">
      <w:bodyDiv w:val="1"/>
      <w:marLeft w:val="0"/>
      <w:marRight w:val="0"/>
      <w:marTop w:val="0"/>
      <w:marBottom w:val="0"/>
      <w:divBdr>
        <w:top w:val="none" w:sz="0" w:space="0" w:color="auto"/>
        <w:left w:val="none" w:sz="0" w:space="0" w:color="auto"/>
        <w:bottom w:val="none" w:sz="0" w:space="0" w:color="auto"/>
        <w:right w:val="none" w:sz="0" w:space="0" w:color="auto"/>
      </w:divBdr>
    </w:div>
    <w:div w:id="1448307362">
      <w:bodyDiv w:val="1"/>
      <w:marLeft w:val="0"/>
      <w:marRight w:val="0"/>
      <w:marTop w:val="0"/>
      <w:marBottom w:val="0"/>
      <w:divBdr>
        <w:top w:val="none" w:sz="0" w:space="0" w:color="auto"/>
        <w:left w:val="none" w:sz="0" w:space="0" w:color="auto"/>
        <w:bottom w:val="none" w:sz="0" w:space="0" w:color="auto"/>
        <w:right w:val="none" w:sz="0" w:space="0" w:color="auto"/>
      </w:divBdr>
    </w:div>
    <w:div w:id="1450665845">
      <w:bodyDiv w:val="1"/>
      <w:marLeft w:val="0"/>
      <w:marRight w:val="0"/>
      <w:marTop w:val="0"/>
      <w:marBottom w:val="0"/>
      <w:divBdr>
        <w:top w:val="none" w:sz="0" w:space="0" w:color="auto"/>
        <w:left w:val="none" w:sz="0" w:space="0" w:color="auto"/>
        <w:bottom w:val="none" w:sz="0" w:space="0" w:color="auto"/>
        <w:right w:val="none" w:sz="0" w:space="0" w:color="auto"/>
      </w:divBdr>
    </w:div>
    <w:div w:id="1451626911">
      <w:bodyDiv w:val="1"/>
      <w:marLeft w:val="0"/>
      <w:marRight w:val="0"/>
      <w:marTop w:val="0"/>
      <w:marBottom w:val="0"/>
      <w:divBdr>
        <w:top w:val="none" w:sz="0" w:space="0" w:color="auto"/>
        <w:left w:val="none" w:sz="0" w:space="0" w:color="auto"/>
        <w:bottom w:val="none" w:sz="0" w:space="0" w:color="auto"/>
        <w:right w:val="none" w:sz="0" w:space="0" w:color="auto"/>
      </w:divBdr>
    </w:div>
    <w:div w:id="1451627264">
      <w:bodyDiv w:val="1"/>
      <w:marLeft w:val="0"/>
      <w:marRight w:val="0"/>
      <w:marTop w:val="0"/>
      <w:marBottom w:val="0"/>
      <w:divBdr>
        <w:top w:val="none" w:sz="0" w:space="0" w:color="auto"/>
        <w:left w:val="none" w:sz="0" w:space="0" w:color="auto"/>
        <w:bottom w:val="none" w:sz="0" w:space="0" w:color="auto"/>
        <w:right w:val="none" w:sz="0" w:space="0" w:color="auto"/>
      </w:divBdr>
    </w:div>
    <w:div w:id="1454136248">
      <w:bodyDiv w:val="1"/>
      <w:marLeft w:val="0"/>
      <w:marRight w:val="0"/>
      <w:marTop w:val="0"/>
      <w:marBottom w:val="0"/>
      <w:divBdr>
        <w:top w:val="none" w:sz="0" w:space="0" w:color="auto"/>
        <w:left w:val="none" w:sz="0" w:space="0" w:color="auto"/>
        <w:bottom w:val="none" w:sz="0" w:space="0" w:color="auto"/>
        <w:right w:val="none" w:sz="0" w:space="0" w:color="auto"/>
      </w:divBdr>
    </w:div>
    <w:div w:id="1458642338">
      <w:bodyDiv w:val="1"/>
      <w:marLeft w:val="0"/>
      <w:marRight w:val="0"/>
      <w:marTop w:val="0"/>
      <w:marBottom w:val="0"/>
      <w:divBdr>
        <w:top w:val="none" w:sz="0" w:space="0" w:color="auto"/>
        <w:left w:val="none" w:sz="0" w:space="0" w:color="auto"/>
        <w:bottom w:val="none" w:sz="0" w:space="0" w:color="auto"/>
        <w:right w:val="none" w:sz="0" w:space="0" w:color="auto"/>
      </w:divBdr>
    </w:div>
    <w:div w:id="1465544073">
      <w:bodyDiv w:val="1"/>
      <w:marLeft w:val="0"/>
      <w:marRight w:val="0"/>
      <w:marTop w:val="0"/>
      <w:marBottom w:val="0"/>
      <w:divBdr>
        <w:top w:val="none" w:sz="0" w:space="0" w:color="auto"/>
        <w:left w:val="none" w:sz="0" w:space="0" w:color="auto"/>
        <w:bottom w:val="none" w:sz="0" w:space="0" w:color="auto"/>
        <w:right w:val="none" w:sz="0" w:space="0" w:color="auto"/>
      </w:divBdr>
    </w:div>
    <w:div w:id="1465736956">
      <w:bodyDiv w:val="1"/>
      <w:marLeft w:val="0"/>
      <w:marRight w:val="0"/>
      <w:marTop w:val="0"/>
      <w:marBottom w:val="0"/>
      <w:divBdr>
        <w:top w:val="none" w:sz="0" w:space="0" w:color="auto"/>
        <w:left w:val="none" w:sz="0" w:space="0" w:color="auto"/>
        <w:bottom w:val="none" w:sz="0" w:space="0" w:color="auto"/>
        <w:right w:val="none" w:sz="0" w:space="0" w:color="auto"/>
      </w:divBdr>
    </w:div>
    <w:div w:id="1467041726">
      <w:bodyDiv w:val="1"/>
      <w:marLeft w:val="0"/>
      <w:marRight w:val="0"/>
      <w:marTop w:val="0"/>
      <w:marBottom w:val="0"/>
      <w:divBdr>
        <w:top w:val="none" w:sz="0" w:space="0" w:color="auto"/>
        <w:left w:val="none" w:sz="0" w:space="0" w:color="auto"/>
        <w:bottom w:val="none" w:sz="0" w:space="0" w:color="auto"/>
        <w:right w:val="none" w:sz="0" w:space="0" w:color="auto"/>
      </w:divBdr>
    </w:div>
    <w:div w:id="1467358388">
      <w:bodyDiv w:val="1"/>
      <w:marLeft w:val="0"/>
      <w:marRight w:val="0"/>
      <w:marTop w:val="0"/>
      <w:marBottom w:val="0"/>
      <w:divBdr>
        <w:top w:val="none" w:sz="0" w:space="0" w:color="auto"/>
        <w:left w:val="none" w:sz="0" w:space="0" w:color="auto"/>
        <w:bottom w:val="none" w:sz="0" w:space="0" w:color="auto"/>
        <w:right w:val="none" w:sz="0" w:space="0" w:color="auto"/>
      </w:divBdr>
    </w:div>
    <w:div w:id="1477335893">
      <w:bodyDiv w:val="1"/>
      <w:marLeft w:val="0"/>
      <w:marRight w:val="0"/>
      <w:marTop w:val="0"/>
      <w:marBottom w:val="0"/>
      <w:divBdr>
        <w:top w:val="none" w:sz="0" w:space="0" w:color="auto"/>
        <w:left w:val="none" w:sz="0" w:space="0" w:color="auto"/>
        <w:bottom w:val="none" w:sz="0" w:space="0" w:color="auto"/>
        <w:right w:val="none" w:sz="0" w:space="0" w:color="auto"/>
      </w:divBdr>
    </w:div>
    <w:div w:id="1479960364">
      <w:bodyDiv w:val="1"/>
      <w:marLeft w:val="0"/>
      <w:marRight w:val="0"/>
      <w:marTop w:val="0"/>
      <w:marBottom w:val="0"/>
      <w:divBdr>
        <w:top w:val="none" w:sz="0" w:space="0" w:color="auto"/>
        <w:left w:val="none" w:sz="0" w:space="0" w:color="auto"/>
        <w:bottom w:val="none" w:sz="0" w:space="0" w:color="auto"/>
        <w:right w:val="none" w:sz="0" w:space="0" w:color="auto"/>
      </w:divBdr>
    </w:div>
    <w:div w:id="1483812536">
      <w:bodyDiv w:val="1"/>
      <w:marLeft w:val="0"/>
      <w:marRight w:val="0"/>
      <w:marTop w:val="0"/>
      <w:marBottom w:val="0"/>
      <w:divBdr>
        <w:top w:val="none" w:sz="0" w:space="0" w:color="auto"/>
        <w:left w:val="none" w:sz="0" w:space="0" w:color="auto"/>
        <w:bottom w:val="none" w:sz="0" w:space="0" w:color="auto"/>
        <w:right w:val="none" w:sz="0" w:space="0" w:color="auto"/>
      </w:divBdr>
    </w:div>
    <w:div w:id="1487091984">
      <w:bodyDiv w:val="1"/>
      <w:marLeft w:val="0"/>
      <w:marRight w:val="0"/>
      <w:marTop w:val="0"/>
      <w:marBottom w:val="0"/>
      <w:divBdr>
        <w:top w:val="none" w:sz="0" w:space="0" w:color="auto"/>
        <w:left w:val="none" w:sz="0" w:space="0" w:color="auto"/>
        <w:bottom w:val="none" w:sz="0" w:space="0" w:color="auto"/>
        <w:right w:val="none" w:sz="0" w:space="0" w:color="auto"/>
      </w:divBdr>
    </w:div>
    <w:div w:id="1491558467">
      <w:bodyDiv w:val="1"/>
      <w:marLeft w:val="0"/>
      <w:marRight w:val="0"/>
      <w:marTop w:val="0"/>
      <w:marBottom w:val="0"/>
      <w:divBdr>
        <w:top w:val="none" w:sz="0" w:space="0" w:color="auto"/>
        <w:left w:val="none" w:sz="0" w:space="0" w:color="auto"/>
        <w:bottom w:val="none" w:sz="0" w:space="0" w:color="auto"/>
        <w:right w:val="none" w:sz="0" w:space="0" w:color="auto"/>
      </w:divBdr>
    </w:div>
    <w:div w:id="1492990196">
      <w:bodyDiv w:val="1"/>
      <w:marLeft w:val="0"/>
      <w:marRight w:val="0"/>
      <w:marTop w:val="0"/>
      <w:marBottom w:val="0"/>
      <w:divBdr>
        <w:top w:val="none" w:sz="0" w:space="0" w:color="auto"/>
        <w:left w:val="none" w:sz="0" w:space="0" w:color="auto"/>
        <w:bottom w:val="none" w:sz="0" w:space="0" w:color="auto"/>
        <w:right w:val="none" w:sz="0" w:space="0" w:color="auto"/>
      </w:divBdr>
    </w:div>
    <w:div w:id="1495341874">
      <w:bodyDiv w:val="1"/>
      <w:marLeft w:val="0"/>
      <w:marRight w:val="0"/>
      <w:marTop w:val="0"/>
      <w:marBottom w:val="0"/>
      <w:divBdr>
        <w:top w:val="none" w:sz="0" w:space="0" w:color="auto"/>
        <w:left w:val="none" w:sz="0" w:space="0" w:color="auto"/>
        <w:bottom w:val="none" w:sz="0" w:space="0" w:color="auto"/>
        <w:right w:val="none" w:sz="0" w:space="0" w:color="auto"/>
      </w:divBdr>
    </w:div>
    <w:div w:id="1504470179">
      <w:bodyDiv w:val="1"/>
      <w:marLeft w:val="0"/>
      <w:marRight w:val="0"/>
      <w:marTop w:val="0"/>
      <w:marBottom w:val="0"/>
      <w:divBdr>
        <w:top w:val="none" w:sz="0" w:space="0" w:color="auto"/>
        <w:left w:val="none" w:sz="0" w:space="0" w:color="auto"/>
        <w:bottom w:val="none" w:sz="0" w:space="0" w:color="auto"/>
        <w:right w:val="none" w:sz="0" w:space="0" w:color="auto"/>
      </w:divBdr>
    </w:div>
    <w:div w:id="1504666848">
      <w:bodyDiv w:val="1"/>
      <w:marLeft w:val="0"/>
      <w:marRight w:val="0"/>
      <w:marTop w:val="0"/>
      <w:marBottom w:val="0"/>
      <w:divBdr>
        <w:top w:val="none" w:sz="0" w:space="0" w:color="auto"/>
        <w:left w:val="none" w:sz="0" w:space="0" w:color="auto"/>
        <w:bottom w:val="none" w:sz="0" w:space="0" w:color="auto"/>
        <w:right w:val="none" w:sz="0" w:space="0" w:color="auto"/>
      </w:divBdr>
    </w:div>
    <w:div w:id="1507208773">
      <w:bodyDiv w:val="1"/>
      <w:marLeft w:val="0"/>
      <w:marRight w:val="0"/>
      <w:marTop w:val="0"/>
      <w:marBottom w:val="0"/>
      <w:divBdr>
        <w:top w:val="none" w:sz="0" w:space="0" w:color="auto"/>
        <w:left w:val="none" w:sz="0" w:space="0" w:color="auto"/>
        <w:bottom w:val="none" w:sz="0" w:space="0" w:color="auto"/>
        <w:right w:val="none" w:sz="0" w:space="0" w:color="auto"/>
      </w:divBdr>
    </w:div>
    <w:div w:id="1508248010">
      <w:bodyDiv w:val="1"/>
      <w:marLeft w:val="0"/>
      <w:marRight w:val="0"/>
      <w:marTop w:val="0"/>
      <w:marBottom w:val="0"/>
      <w:divBdr>
        <w:top w:val="none" w:sz="0" w:space="0" w:color="auto"/>
        <w:left w:val="none" w:sz="0" w:space="0" w:color="auto"/>
        <w:bottom w:val="none" w:sz="0" w:space="0" w:color="auto"/>
        <w:right w:val="none" w:sz="0" w:space="0" w:color="auto"/>
      </w:divBdr>
    </w:div>
    <w:div w:id="1509128235">
      <w:bodyDiv w:val="1"/>
      <w:marLeft w:val="0"/>
      <w:marRight w:val="0"/>
      <w:marTop w:val="0"/>
      <w:marBottom w:val="0"/>
      <w:divBdr>
        <w:top w:val="none" w:sz="0" w:space="0" w:color="auto"/>
        <w:left w:val="none" w:sz="0" w:space="0" w:color="auto"/>
        <w:bottom w:val="none" w:sz="0" w:space="0" w:color="auto"/>
        <w:right w:val="none" w:sz="0" w:space="0" w:color="auto"/>
      </w:divBdr>
    </w:div>
    <w:div w:id="1512178036">
      <w:bodyDiv w:val="1"/>
      <w:marLeft w:val="0"/>
      <w:marRight w:val="0"/>
      <w:marTop w:val="0"/>
      <w:marBottom w:val="0"/>
      <w:divBdr>
        <w:top w:val="none" w:sz="0" w:space="0" w:color="auto"/>
        <w:left w:val="none" w:sz="0" w:space="0" w:color="auto"/>
        <w:bottom w:val="none" w:sz="0" w:space="0" w:color="auto"/>
        <w:right w:val="none" w:sz="0" w:space="0" w:color="auto"/>
      </w:divBdr>
    </w:div>
    <w:div w:id="1512338091">
      <w:bodyDiv w:val="1"/>
      <w:marLeft w:val="0"/>
      <w:marRight w:val="0"/>
      <w:marTop w:val="0"/>
      <w:marBottom w:val="0"/>
      <w:divBdr>
        <w:top w:val="none" w:sz="0" w:space="0" w:color="auto"/>
        <w:left w:val="none" w:sz="0" w:space="0" w:color="auto"/>
        <w:bottom w:val="none" w:sz="0" w:space="0" w:color="auto"/>
        <w:right w:val="none" w:sz="0" w:space="0" w:color="auto"/>
      </w:divBdr>
    </w:div>
    <w:div w:id="1513299460">
      <w:bodyDiv w:val="1"/>
      <w:marLeft w:val="0"/>
      <w:marRight w:val="0"/>
      <w:marTop w:val="0"/>
      <w:marBottom w:val="0"/>
      <w:divBdr>
        <w:top w:val="none" w:sz="0" w:space="0" w:color="auto"/>
        <w:left w:val="none" w:sz="0" w:space="0" w:color="auto"/>
        <w:bottom w:val="none" w:sz="0" w:space="0" w:color="auto"/>
        <w:right w:val="none" w:sz="0" w:space="0" w:color="auto"/>
      </w:divBdr>
    </w:div>
    <w:div w:id="1524398525">
      <w:bodyDiv w:val="1"/>
      <w:marLeft w:val="0"/>
      <w:marRight w:val="0"/>
      <w:marTop w:val="0"/>
      <w:marBottom w:val="0"/>
      <w:divBdr>
        <w:top w:val="none" w:sz="0" w:space="0" w:color="auto"/>
        <w:left w:val="none" w:sz="0" w:space="0" w:color="auto"/>
        <w:bottom w:val="none" w:sz="0" w:space="0" w:color="auto"/>
        <w:right w:val="none" w:sz="0" w:space="0" w:color="auto"/>
      </w:divBdr>
    </w:div>
    <w:div w:id="1532914790">
      <w:bodyDiv w:val="1"/>
      <w:marLeft w:val="0"/>
      <w:marRight w:val="0"/>
      <w:marTop w:val="0"/>
      <w:marBottom w:val="0"/>
      <w:divBdr>
        <w:top w:val="none" w:sz="0" w:space="0" w:color="auto"/>
        <w:left w:val="none" w:sz="0" w:space="0" w:color="auto"/>
        <w:bottom w:val="none" w:sz="0" w:space="0" w:color="auto"/>
        <w:right w:val="none" w:sz="0" w:space="0" w:color="auto"/>
      </w:divBdr>
    </w:div>
    <w:div w:id="1546943411">
      <w:bodyDiv w:val="1"/>
      <w:marLeft w:val="0"/>
      <w:marRight w:val="0"/>
      <w:marTop w:val="0"/>
      <w:marBottom w:val="0"/>
      <w:divBdr>
        <w:top w:val="none" w:sz="0" w:space="0" w:color="auto"/>
        <w:left w:val="none" w:sz="0" w:space="0" w:color="auto"/>
        <w:bottom w:val="none" w:sz="0" w:space="0" w:color="auto"/>
        <w:right w:val="none" w:sz="0" w:space="0" w:color="auto"/>
      </w:divBdr>
    </w:div>
    <w:div w:id="1548757141">
      <w:bodyDiv w:val="1"/>
      <w:marLeft w:val="0"/>
      <w:marRight w:val="0"/>
      <w:marTop w:val="0"/>
      <w:marBottom w:val="0"/>
      <w:divBdr>
        <w:top w:val="none" w:sz="0" w:space="0" w:color="auto"/>
        <w:left w:val="none" w:sz="0" w:space="0" w:color="auto"/>
        <w:bottom w:val="none" w:sz="0" w:space="0" w:color="auto"/>
        <w:right w:val="none" w:sz="0" w:space="0" w:color="auto"/>
      </w:divBdr>
    </w:div>
    <w:div w:id="1551041158">
      <w:bodyDiv w:val="1"/>
      <w:marLeft w:val="0"/>
      <w:marRight w:val="0"/>
      <w:marTop w:val="0"/>
      <w:marBottom w:val="0"/>
      <w:divBdr>
        <w:top w:val="none" w:sz="0" w:space="0" w:color="auto"/>
        <w:left w:val="none" w:sz="0" w:space="0" w:color="auto"/>
        <w:bottom w:val="none" w:sz="0" w:space="0" w:color="auto"/>
        <w:right w:val="none" w:sz="0" w:space="0" w:color="auto"/>
      </w:divBdr>
    </w:div>
    <w:div w:id="1563053809">
      <w:bodyDiv w:val="1"/>
      <w:marLeft w:val="0"/>
      <w:marRight w:val="0"/>
      <w:marTop w:val="0"/>
      <w:marBottom w:val="0"/>
      <w:divBdr>
        <w:top w:val="none" w:sz="0" w:space="0" w:color="auto"/>
        <w:left w:val="none" w:sz="0" w:space="0" w:color="auto"/>
        <w:bottom w:val="none" w:sz="0" w:space="0" w:color="auto"/>
        <w:right w:val="none" w:sz="0" w:space="0" w:color="auto"/>
      </w:divBdr>
    </w:div>
    <w:div w:id="1563178711">
      <w:bodyDiv w:val="1"/>
      <w:marLeft w:val="0"/>
      <w:marRight w:val="0"/>
      <w:marTop w:val="0"/>
      <w:marBottom w:val="0"/>
      <w:divBdr>
        <w:top w:val="none" w:sz="0" w:space="0" w:color="auto"/>
        <w:left w:val="none" w:sz="0" w:space="0" w:color="auto"/>
        <w:bottom w:val="none" w:sz="0" w:space="0" w:color="auto"/>
        <w:right w:val="none" w:sz="0" w:space="0" w:color="auto"/>
      </w:divBdr>
    </w:div>
    <w:div w:id="1563373144">
      <w:bodyDiv w:val="1"/>
      <w:marLeft w:val="0"/>
      <w:marRight w:val="0"/>
      <w:marTop w:val="0"/>
      <w:marBottom w:val="0"/>
      <w:divBdr>
        <w:top w:val="none" w:sz="0" w:space="0" w:color="auto"/>
        <w:left w:val="none" w:sz="0" w:space="0" w:color="auto"/>
        <w:bottom w:val="none" w:sz="0" w:space="0" w:color="auto"/>
        <w:right w:val="none" w:sz="0" w:space="0" w:color="auto"/>
      </w:divBdr>
    </w:div>
    <w:div w:id="1565483332">
      <w:bodyDiv w:val="1"/>
      <w:marLeft w:val="0"/>
      <w:marRight w:val="0"/>
      <w:marTop w:val="0"/>
      <w:marBottom w:val="0"/>
      <w:divBdr>
        <w:top w:val="none" w:sz="0" w:space="0" w:color="auto"/>
        <w:left w:val="none" w:sz="0" w:space="0" w:color="auto"/>
        <w:bottom w:val="none" w:sz="0" w:space="0" w:color="auto"/>
        <w:right w:val="none" w:sz="0" w:space="0" w:color="auto"/>
      </w:divBdr>
    </w:div>
    <w:div w:id="1566063169">
      <w:bodyDiv w:val="1"/>
      <w:marLeft w:val="0"/>
      <w:marRight w:val="0"/>
      <w:marTop w:val="0"/>
      <w:marBottom w:val="0"/>
      <w:divBdr>
        <w:top w:val="none" w:sz="0" w:space="0" w:color="auto"/>
        <w:left w:val="none" w:sz="0" w:space="0" w:color="auto"/>
        <w:bottom w:val="none" w:sz="0" w:space="0" w:color="auto"/>
        <w:right w:val="none" w:sz="0" w:space="0" w:color="auto"/>
      </w:divBdr>
    </w:div>
    <w:div w:id="1566406132">
      <w:bodyDiv w:val="1"/>
      <w:marLeft w:val="0"/>
      <w:marRight w:val="0"/>
      <w:marTop w:val="0"/>
      <w:marBottom w:val="0"/>
      <w:divBdr>
        <w:top w:val="none" w:sz="0" w:space="0" w:color="auto"/>
        <w:left w:val="none" w:sz="0" w:space="0" w:color="auto"/>
        <w:bottom w:val="none" w:sz="0" w:space="0" w:color="auto"/>
        <w:right w:val="none" w:sz="0" w:space="0" w:color="auto"/>
      </w:divBdr>
    </w:div>
    <w:div w:id="1571698492">
      <w:bodyDiv w:val="1"/>
      <w:marLeft w:val="0"/>
      <w:marRight w:val="0"/>
      <w:marTop w:val="0"/>
      <w:marBottom w:val="0"/>
      <w:divBdr>
        <w:top w:val="none" w:sz="0" w:space="0" w:color="auto"/>
        <w:left w:val="none" w:sz="0" w:space="0" w:color="auto"/>
        <w:bottom w:val="none" w:sz="0" w:space="0" w:color="auto"/>
        <w:right w:val="none" w:sz="0" w:space="0" w:color="auto"/>
      </w:divBdr>
    </w:div>
    <w:div w:id="1581599146">
      <w:bodyDiv w:val="1"/>
      <w:marLeft w:val="0"/>
      <w:marRight w:val="0"/>
      <w:marTop w:val="0"/>
      <w:marBottom w:val="0"/>
      <w:divBdr>
        <w:top w:val="none" w:sz="0" w:space="0" w:color="auto"/>
        <w:left w:val="none" w:sz="0" w:space="0" w:color="auto"/>
        <w:bottom w:val="none" w:sz="0" w:space="0" w:color="auto"/>
        <w:right w:val="none" w:sz="0" w:space="0" w:color="auto"/>
      </w:divBdr>
    </w:div>
    <w:div w:id="1582526595">
      <w:bodyDiv w:val="1"/>
      <w:marLeft w:val="0"/>
      <w:marRight w:val="0"/>
      <w:marTop w:val="0"/>
      <w:marBottom w:val="0"/>
      <w:divBdr>
        <w:top w:val="none" w:sz="0" w:space="0" w:color="auto"/>
        <w:left w:val="none" w:sz="0" w:space="0" w:color="auto"/>
        <w:bottom w:val="none" w:sz="0" w:space="0" w:color="auto"/>
        <w:right w:val="none" w:sz="0" w:space="0" w:color="auto"/>
      </w:divBdr>
    </w:div>
    <w:div w:id="1583753714">
      <w:bodyDiv w:val="1"/>
      <w:marLeft w:val="0"/>
      <w:marRight w:val="0"/>
      <w:marTop w:val="0"/>
      <w:marBottom w:val="0"/>
      <w:divBdr>
        <w:top w:val="none" w:sz="0" w:space="0" w:color="auto"/>
        <w:left w:val="none" w:sz="0" w:space="0" w:color="auto"/>
        <w:bottom w:val="none" w:sz="0" w:space="0" w:color="auto"/>
        <w:right w:val="none" w:sz="0" w:space="0" w:color="auto"/>
      </w:divBdr>
    </w:div>
    <w:div w:id="1583835362">
      <w:bodyDiv w:val="1"/>
      <w:marLeft w:val="0"/>
      <w:marRight w:val="0"/>
      <w:marTop w:val="0"/>
      <w:marBottom w:val="0"/>
      <w:divBdr>
        <w:top w:val="none" w:sz="0" w:space="0" w:color="auto"/>
        <w:left w:val="none" w:sz="0" w:space="0" w:color="auto"/>
        <w:bottom w:val="none" w:sz="0" w:space="0" w:color="auto"/>
        <w:right w:val="none" w:sz="0" w:space="0" w:color="auto"/>
      </w:divBdr>
    </w:div>
    <w:div w:id="1583836325">
      <w:bodyDiv w:val="1"/>
      <w:marLeft w:val="0"/>
      <w:marRight w:val="0"/>
      <w:marTop w:val="0"/>
      <w:marBottom w:val="0"/>
      <w:divBdr>
        <w:top w:val="none" w:sz="0" w:space="0" w:color="auto"/>
        <w:left w:val="none" w:sz="0" w:space="0" w:color="auto"/>
        <w:bottom w:val="none" w:sz="0" w:space="0" w:color="auto"/>
        <w:right w:val="none" w:sz="0" w:space="0" w:color="auto"/>
      </w:divBdr>
    </w:div>
    <w:div w:id="1593003691">
      <w:bodyDiv w:val="1"/>
      <w:marLeft w:val="0"/>
      <w:marRight w:val="0"/>
      <w:marTop w:val="0"/>
      <w:marBottom w:val="0"/>
      <w:divBdr>
        <w:top w:val="none" w:sz="0" w:space="0" w:color="auto"/>
        <w:left w:val="none" w:sz="0" w:space="0" w:color="auto"/>
        <w:bottom w:val="none" w:sz="0" w:space="0" w:color="auto"/>
        <w:right w:val="none" w:sz="0" w:space="0" w:color="auto"/>
      </w:divBdr>
    </w:div>
    <w:div w:id="1600719354">
      <w:bodyDiv w:val="1"/>
      <w:marLeft w:val="0"/>
      <w:marRight w:val="0"/>
      <w:marTop w:val="0"/>
      <w:marBottom w:val="0"/>
      <w:divBdr>
        <w:top w:val="none" w:sz="0" w:space="0" w:color="auto"/>
        <w:left w:val="none" w:sz="0" w:space="0" w:color="auto"/>
        <w:bottom w:val="none" w:sz="0" w:space="0" w:color="auto"/>
        <w:right w:val="none" w:sz="0" w:space="0" w:color="auto"/>
      </w:divBdr>
    </w:div>
    <w:div w:id="1605306531">
      <w:bodyDiv w:val="1"/>
      <w:marLeft w:val="0"/>
      <w:marRight w:val="0"/>
      <w:marTop w:val="0"/>
      <w:marBottom w:val="0"/>
      <w:divBdr>
        <w:top w:val="none" w:sz="0" w:space="0" w:color="auto"/>
        <w:left w:val="none" w:sz="0" w:space="0" w:color="auto"/>
        <w:bottom w:val="none" w:sz="0" w:space="0" w:color="auto"/>
        <w:right w:val="none" w:sz="0" w:space="0" w:color="auto"/>
      </w:divBdr>
    </w:div>
    <w:div w:id="1608581557">
      <w:bodyDiv w:val="1"/>
      <w:marLeft w:val="0"/>
      <w:marRight w:val="0"/>
      <w:marTop w:val="0"/>
      <w:marBottom w:val="0"/>
      <w:divBdr>
        <w:top w:val="none" w:sz="0" w:space="0" w:color="auto"/>
        <w:left w:val="none" w:sz="0" w:space="0" w:color="auto"/>
        <w:bottom w:val="none" w:sz="0" w:space="0" w:color="auto"/>
        <w:right w:val="none" w:sz="0" w:space="0" w:color="auto"/>
      </w:divBdr>
    </w:div>
    <w:div w:id="1609699498">
      <w:bodyDiv w:val="1"/>
      <w:marLeft w:val="0"/>
      <w:marRight w:val="0"/>
      <w:marTop w:val="0"/>
      <w:marBottom w:val="0"/>
      <w:divBdr>
        <w:top w:val="none" w:sz="0" w:space="0" w:color="auto"/>
        <w:left w:val="none" w:sz="0" w:space="0" w:color="auto"/>
        <w:bottom w:val="none" w:sz="0" w:space="0" w:color="auto"/>
        <w:right w:val="none" w:sz="0" w:space="0" w:color="auto"/>
      </w:divBdr>
    </w:div>
    <w:div w:id="1617980341">
      <w:bodyDiv w:val="1"/>
      <w:marLeft w:val="0"/>
      <w:marRight w:val="0"/>
      <w:marTop w:val="0"/>
      <w:marBottom w:val="0"/>
      <w:divBdr>
        <w:top w:val="none" w:sz="0" w:space="0" w:color="auto"/>
        <w:left w:val="none" w:sz="0" w:space="0" w:color="auto"/>
        <w:bottom w:val="none" w:sz="0" w:space="0" w:color="auto"/>
        <w:right w:val="none" w:sz="0" w:space="0" w:color="auto"/>
      </w:divBdr>
    </w:div>
    <w:div w:id="1633051096">
      <w:bodyDiv w:val="1"/>
      <w:marLeft w:val="0"/>
      <w:marRight w:val="0"/>
      <w:marTop w:val="0"/>
      <w:marBottom w:val="0"/>
      <w:divBdr>
        <w:top w:val="none" w:sz="0" w:space="0" w:color="auto"/>
        <w:left w:val="none" w:sz="0" w:space="0" w:color="auto"/>
        <w:bottom w:val="none" w:sz="0" w:space="0" w:color="auto"/>
        <w:right w:val="none" w:sz="0" w:space="0" w:color="auto"/>
      </w:divBdr>
    </w:div>
    <w:div w:id="1634021432">
      <w:bodyDiv w:val="1"/>
      <w:marLeft w:val="0"/>
      <w:marRight w:val="0"/>
      <w:marTop w:val="0"/>
      <w:marBottom w:val="0"/>
      <w:divBdr>
        <w:top w:val="none" w:sz="0" w:space="0" w:color="auto"/>
        <w:left w:val="none" w:sz="0" w:space="0" w:color="auto"/>
        <w:bottom w:val="none" w:sz="0" w:space="0" w:color="auto"/>
        <w:right w:val="none" w:sz="0" w:space="0" w:color="auto"/>
      </w:divBdr>
    </w:div>
    <w:div w:id="1635331537">
      <w:bodyDiv w:val="1"/>
      <w:marLeft w:val="0"/>
      <w:marRight w:val="0"/>
      <w:marTop w:val="0"/>
      <w:marBottom w:val="0"/>
      <w:divBdr>
        <w:top w:val="none" w:sz="0" w:space="0" w:color="auto"/>
        <w:left w:val="none" w:sz="0" w:space="0" w:color="auto"/>
        <w:bottom w:val="none" w:sz="0" w:space="0" w:color="auto"/>
        <w:right w:val="none" w:sz="0" w:space="0" w:color="auto"/>
      </w:divBdr>
    </w:div>
    <w:div w:id="1637757518">
      <w:bodyDiv w:val="1"/>
      <w:marLeft w:val="0"/>
      <w:marRight w:val="0"/>
      <w:marTop w:val="0"/>
      <w:marBottom w:val="0"/>
      <w:divBdr>
        <w:top w:val="none" w:sz="0" w:space="0" w:color="auto"/>
        <w:left w:val="none" w:sz="0" w:space="0" w:color="auto"/>
        <w:bottom w:val="none" w:sz="0" w:space="0" w:color="auto"/>
        <w:right w:val="none" w:sz="0" w:space="0" w:color="auto"/>
      </w:divBdr>
    </w:div>
    <w:div w:id="1641643445">
      <w:bodyDiv w:val="1"/>
      <w:marLeft w:val="0"/>
      <w:marRight w:val="0"/>
      <w:marTop w:val="0"/>
      <w:marBottom w:val="0"/>
      <w:divBdr>
        <w:top w:val="none" w:sz="0" w:space="0" w:color="auto"/>
        <w:left w:val="none" w:sz="0" w:space="0" w:color="auto"/>
        <w:bottom w:val="none" w:sz="0" w:space="0" w:color="auto"/>
        <w:right w:val="none" w:sz="0" w:space="0" w:color="auto"/>
      </w:divBdr>
    </w:div>
    <w:div w:id="1646162742">
      <w:bodyDiv w:val="1"/>
      <w:marLeft w:val="0"/>
      <w:marRight w:val="0"/>
      <w:marTop w:val="0"/>
      <w:marBottom w:val="0"/>
      <w:divBdr>
        <w:top w:val="none" w:sz="0" w:space="0" w:color="auto"/>
        <w:left w:val="none" w:sz="0" w:space="0" w:color="auto"/>
        <w:bottom w:val="none" w:sz="0" w:space="0" w:color="auto"/>
        <w:right w:val="none" w:sz="0" w:space="0" w:color="auto"/>
      </w:divBdr>
    </w:div>
    <w:div w:id="1648046974">
      <w:bodyDiv w:val="1"/>
      <w:marLeft w:val="0"/>
      <w:marRight w:val="0"/>
      <w:marTop w:val="0"/>
      <w:marBottom w:val="0"/>
      <w:divBdr>
        <w:top w:val="none" w:sz="0" w:space="0" w:color="auto"/>
        <w:left w:val="none" w:sz="0" w:space="0" w:color="auto"/>
        <w:bottom w:val="none" w:sz="0" w:space="0" w:color="auto"/>
        <w:right w:val="none" w:sz="0" w:space="0" w:color="auto"/>
      </w:divBdr>
    </w:div>
    <w:div w:id="1652634453">
      <w:bodyDiv w:val="1"/>
      <w:marLeft w:val="0"/>
      <w:marRight w:val="0"/>
      <w:marTop w:val="0"/>
      <w:marBottom w:val="0"/>
      <w:divBdr>
        <w:top w:val="none" w:sz="0" w:space="0" w:color="auto"/>
        <w:left w:val="none" w:sz="0" w:space="0" w:color="auto"/>
        <w:bottom w:val="none" w:sz="0" w:space="0" w:color="auto"/>
        <w:right w:val="none" w:sz="0" w:space="0" w:color="auto"/>
      </w:divBdr>
    </w:div>
    <w:div w:id="1655262217">
      <w:bodyDiv w:val="1"/>
      <w:marLeft w:val="0"/>
      <w:marRight w:val="0"/>
      <w:marTop w:val="0"/>
      <w:marBottom w:val="0"/>
      <w:divBdr>
        <w:top w:val="none" w:sz="0" w:space="0" w:color="auto"/>
        <w:left w:val="none" w:sz="0" w:space="0" w:color="auto"/>
        <w:bottom w:val="none" w:sz="0" w:space="0" w:color="auto"/>
        <w:right w:val="none" w:sz="0" w:space="0" w:color="auto"/>
      </w:divBdr>
    </w:div>
    <w:div w:id="1662271627">
      <w:bodyDiv w:val="1"/>
      <w:marLeft w:val="0"/>
      <w:marRight w:val="0"/>
      <w:marTop w:val="0"/>
      <w:marBottom w:val="0"/>
      <w:divBdr>
        <w:top w:val="none" w:sz="0" w:space="0" w:color="auto"/>
        <w:left w:val="none" w:sz="0" w:space="0" w:color="auto"/>
        <w:bottom w:val="none" w:sz="0" w:space="0" w:color="auto"/>
        <w:right w:val="none" w:sz="0" w:space="0" w:color="auto"/>
      </w:divBdr>
    </w:div>
    <w:div w:id="1662537511">
      <w:bodyDiv w:val="1"/>
      <w:marLeft w:val="0"/>
      <w:marRight w:val="0"/>
      <w:marTop w:val="0"/>
      <w:marBottom w:val="0"/>
      <w:divBdr>
        <w:top w:val="none" w:sz="0" w:space="0" w:color="auto"/>
        <w:left w:val="none" w:sz="0" w:space="0" w:color="auto"/>
        <w:bottom w:val="none" w:sz="0" w:space="0" w:color="auto"/>
        <w:right w:val="none" w:sz="0" w:space="0" w:color="auto"/>
      </w:divBdr>
    </w:div>
    <w:div w:id="1669820396">
      <w:bodyDiv w:val="1"/>
      <w:marLeft w:val="0"/>
      <w:marRight w:val="0"/>
      <w:marTop w:val="0"/>
      <w:marBottom w:val="0"/>
      <w:divBdr>
        <w:top w:val="none" w:sz="0" w:space="0" w:color="auto"/>
        <w:left w:val="none" w:sz="0" w:space="0" w:color="auto"/>
        <w:bottom w:val="none" w:sz="0" w:space="0" w:color="auto"/>
        <w:right w:val="none" w:sz="0" w:space="0" w:color="auto"/>
      </w:divBdr>
    </w:div>
    <w:div w:id="1673411042">
      <w:bodyDiv w:val="1"/>
      <w:marLeft w:val="0"/>
      <w:marRight w:val="0"/>
      <w:marTop w:val="0"/>
      <w:marBottom w:val="0"/>
      <w:divBdr>
        <w:top w:val="none" w:sz="0" w:space="0" w:color="auto"/>
        <w:left w:val="none" w:sz="0" w:space="0" w:color="auto"/>
        <w:bottom w:val="none" w:sz="0" w:space="0" w:color="auto"/>
        <w:right w:val="none" w:sz="0" w:space="0" w:color="auto"/>
      </w:divBdr>
    </w:div>
    <w:div w:id="1691251279">
      <w:bodyDiv w:val="1"/>
      <w:marLeft w:val="0"/>
      <w:marRight w:val="0"/>
      <w:marTop w:val="0"/>
      <w:marBottom w:val="0"/>
      <w:divBdr>
        <w:top w:val="none" w:sz="0" w:space="0" w:color="auto"/>
        <w:left w:val="none" w:sz="0" w:space="0" w:color="auto"/>
        <w:bottom w:val="none" w:sz="0" w:space="0" w:color="auto"/>
        <w:right w:val="none" w:sz="0" w:space="0" w:color="auto"/>
      </w:divBdr>
    </w:div>
    <w:div w:id="1694065188">
      <w:bodyDiv w:val="1"/>
      <w:marLeft w:val="0"/>
      <w:marRight w:val="0"/>
      <w:marTop w:val="0"/>
      <w:marBottom w:val="0"/>
      <w:divBdr>
        <w:top w:val="none" w:sz="0" w:space="0" w:color="auto"/>
        <w:left w:val="none" w:sz="0" w:space="0" w:color="auto"/>
        <w:bottom w:val="none" w:sz="0" w:space="0" w:color="auto"/>
        <w:right w:val="none" w:sz="0" w:space="0" w:color="auto"/>
      </w:divBdr>
    </w:div>
    <w:div w:id="1698972016">
      <w:bodyDiv w:val="1"/>
      <w:marLeft w:val="0"/>
      <w:marRight w:val="0"/>
      <w:marTop w:val="0"/>
      <w:marBottom w:val="0"/>
      <w:divBdr>
        <w:top w:val="none" w:sz="0" w:space="0" w:color="auto"/>
        <w:left w:val="none" w:sz="0" w:space="0" w:color="auto"/>
        <w:bottom w:val="none" w:sz="0" w:space="0" w:color="auto"/>
        <w:right w:val="none" w:sz="0" w:space="0" w:color="auto"/>
      </w:divBdr>
    </w:div>
    <w:div w:id="1701126913">
      <w:bodyDiv w:val="1"/>
      <w:marLeft w:val="0"/>
      <w:marRight w:val="0"/>
      <w:marTop w:val="0"/>
      <w:marBottom w:val="0"/>
      <w:divBdr>
        <w:top w:val="none" w:sz="0" w:space="0" w:color="auto"/>
        <w:left w:val="none" w:sz="0" w:space="0" w:color="auto"/>
        <w:bottom w:val="none" w:sz="0" w:space="0" w:color="auto"/>
        <w:right w:val="none" w:sz="0" w:space="0" w:color="auto"/>
      </w:divBdr>
    </w:div>
    <w:div w:id="1705322958">
      <w:bodyDiv w:val="1"/>
      <w:marLeft w:val="0"/>
      <w:marRight w:val="0"/>
      <w:marTop w:val="0"/>
      <w:marBottom w:val="0"/>
      <w:divBdr>
        <w:top w:val="none" w:sz="0" w:space="0" w:color="auto"/>
        <w:left w:val="none" w:sz="0" w:space="0" w:color="auto"/>
        <w:bottom w:val="none" w:sz="0" w:space="0" w:color="auto"/>
        <w:right w:val="none" w:sz="0" w:space="0" w:color="auto"/>
      </w:divBdr>
    </w:div>
    <w:div w:id="1708405702">
      <w:bodyDiv w:val="1"/>
      <w:marLeft w:val="0"/>
      <w:marRight w:val="0"/>
      <w:marTop w:val="0"/>
      <w:marBottom w:val="0"/>
      <w:divBdr>
        <w:top w:val="none" w:sz="0" w:space="0" w:color="auto"/>
        <w:left w:val="none" w:sz="0" w:space="0" w:color="auto"/>
        <w:bottom w:val="none" w:sz="0" w:space="0" w:color="auto"/>
        <w:right w:val="none" w:sz="0" w:space="0" w:color="auto"/>
      </w:divBdr>
    </w:div>
    <w:div w:id="1708410183">
      <w:bodyDiv w:val="1"/>
      <w:marLeft w:val="0"/>
      <w:marRight w:val="0"/>
      <w:marTop w:val="0"/>
      <w:marBottom w:val="0"/>
      <w:divBdr>
        <w:top w:val="none" w:sz="0" w:space="0" w:color="auto"/>
        <w:left w:val="none" w:sz="0" w:space="0" w:color="auto"/>
        <w:bottom w:val="none" w:sz="0" w:space="0" w:color="auto"/>
        <w:right w:val="none" w:sz="0" w:space="0" w:color="auto"/>
      </w:divBdr>
    </w:div>
    <w:div w:id="1711228358">
      <w:bodyDiv w:val="1"/>
      <w:marLeft w:val="0"/>
      <w:marRight w:val="0"/>
      <w:marTop w:val="0"/>
      <w:marBottom w:val="0"/>
      <w:divBdr>
        <w:top w:val="none" w:sz="0" w:space="0" w:color="auto"/>
        <w:left w:val="none" w:sz="0" w:space="0" w:color="auto"/>
        <w:bottom w:val="none" w:sz="0" w:space="0" w:color="auto"/>
        <w:right w:val="none" w:sz="0" w:space="0" w:color="auto"/>
      </w:divBdr>
    </w:div>
    <w:div w:id="1715033882">
      <w:bodyDiv w:val="1"/>
      <w:marLeft w:val="0"/>
      <w:marRight w:val="0"/>
      <w:marTop w:val="0"/>
      <w:marBottom w:val="0"/>
      <w:divBdr>
        <w:top w:val="none" w:sz="0" w:space="0" w:color="auto"/>
        <w:left w:val="none" w:sz="0" w:space="0" w:color="auto"/>
        <w:bottom w:val="none" w:sz="0" w:space="0" w:color="auto"/>
        <w:right w:val="none" w:sz="0" w:space="0" w:color="auto"/>
      </w:divBdr>
    </w:div>
    <w:div w:id="1717698826">
      <w:bodyDiv w:val="1"/>
      <w:marLeft w:val="0"/>
      <w:marRight w:val="0"/>
      <w:marTop w:val="0"/>
      <w:marBottom w:val="0"/>
      <w:divBdr>
        <w:top w:val="none" w:sz="0" w:space="0" w:color="auto"/>
        <w:left w:val="none" w:sz="0" w:space="0" w:color="auto"/>
        <w:bottom w:val="none" w:sz="0" w:space="0" w:color="auto"/>
        <w:right w:val="none" w:sz="0" w:space="0" w:color="auto"/>
      </w:divBdr>
    </w:div>
    <w:div w:id="1719358971">
      <w:bodyDiv w:val="1"/>
      <w:marLeft w:val="0"/>
      <w:marRight w:val="0"/>
      <w:marTop w:val="0"/>
      <w:marBottom w:val="0"/>
      <w:divBdr>
        <w:top w:val="none" w:sz="0" w:space="0" w:color="auto"/>
        <w:left w:val="none" w:sz="0" w:space="0" w:color="auto"/>
        <w:bottom w:val="none" w:sz="0" w:space="0" w:color="auto"/>
        <w:right w:val="none" w:sz="0" w:space="0" w:color="auto"/>
      </w:divBdr>
    </w:div>
    <w:div w:id="1721901645">
      <w:bodyDiv w:val="1"/>
      <w:marLeft w:val="0"/>
      <w:marRight w:val="0"/>
      <w:marTop w:val="0"/>
      <w:marBottom w:val="0"/>
      <w:divBdr>
        <w:top w:val="none" w:sz="0" w:space="0" w:color="auto"/>
        <w:left w:val="none" w:sz="0" w:space="0" w:color="auto"/>
        <w:bottom w:val="none" w:sz="0" w:space="0" w:color="auto"/>
        <w:right w:val="none" w:sz="0" w:space="0" w:color="auto"/>
      </w:divBdr>
    </w:div>
    <w:div w:id="1722091963">
      <w:bodyDiv w:val="1"/>
      <w:marLeft w:val="0"/>
      <w:marRight w:val="0"/>
      <w:marTop w:val="0"/>
      <w:marBottom w:val="0"/>
      <w:divBdr>
        <w:top w:val="none" w:sz="0" w:space="0" w:color="auto"/>
        <w:left w:val="none" w:sz="0" w:space="0" w:color="auto"/>
        <w:bottom w:val="none" w:sz="0" w:space="0" w:color="auto"/>
        <w:right w:val="none" w:sz="0" w:space="0" w:color="auto"/>
      </w:divBdr>
    </w:div>
    <w:div w:id="1725642078">
      <w:bodyDiv w:val="1"/>
      <w:marLeft w:val="0"/>
      <w:marRight w:val="0"/>
      <w:marTop w:val="0"/>
      <w:marBottom w:val="0"/>
      <w:divBdr>
        <w:top w:val="none" w:sz="0" w:space="0" w:color="auto"/>
        <w:left w:val="none" w:sz="0" w:space="0" w:color="auto"/>
        <w:bottom w:val="none" w:sz="0" w:space="0" w:color="auto"/>
        <w:right w:val="none" w:sz="0" w:space="0" w:color="auto"/>
      </w:divBdr>
    </w:div>
    <w:div w:id="1738357295">
      <w:bodyDiv w:val="1"/>
      <w:marLeft w:val="0"/>
      <w:marRight w:val="0"/>
      <w:marTop w:val="0"/>
      <w:marBottom w:val="0"/>
      <w:divBdr>
        <w:top w:val="none" w:sz="0" w:space="0" w:color="auto"/>
        <w:left w:val="none" w:sz="0" w:space="0" w:color="auto"/>
        <w:bottom w:val="none" w:sz="0" w:space="0" w:color="auto"/>
        <w:right w:val="none" w:sz="0" w:space="0" w:color="auto"/>
      </w:divBdr>
    </w:div>
    <w:div w:id="1752971100">
      <w:bodyDiv w:val="1"/>
      <w:marLeft w:val="0"/>
      <w:marRight w:val="0"/>
      <w:marTop w:val="0"/>
      <w:marBottom w:val="0"/>
      <w:divBdr>
        <w:top w:val="none" w:sz="0" w:space="0" w:color="auto"/>
        <w:left w:val="none" w:sz="0" w:space="0" w:color="auto"/>
        <w:bottom w:val="none" w:sz="0" w:space="0" w:color="auto"/>
        <w:right w:val="none" w:sz="0" w:space="0" w:color="auto"/>
      </w:divBdr>
    </w:div>
    <w:div w:id="1755470907">
      <w:bodyDiv w:val="1"/>
      <w:marLeft w:val="0"/>
      <w:marRight w:val="0"/>
      <w:marTop w:val="0"/>
      <w:marBottom w:val="0"/>
      <w:divBdr>
        <w:top w:val="none" w:sz="0" w:space="0" w:color="auto"/>
        <w:left w:val="none" w:sz="0" w:space="0" w:color="auto"/>
        <w:bottom w:val="none" w:sz="0" w:space="0" w:color="auto"/>
        <w:right w:val="none" w:sz="0" w:space="0" w:color="auto"/>
      </w:divBdr>
    </w:div>
    <w:div w:id="1763143357">
      <w:bodyDiv w:val="1"/>
      <w:marLeft w:val="0"/>
      <w:marRight w:val="0"/>
      <w:marTop w:val="0"/>
      <w:marBottom w:val="0"/>
      <w:divBdr>
        <w:top w:val="none" w:sz="0" w:space="0" w:color="auto"/>
        <w:left w:val="none" w:sz="0" w:space="0" w:color="auto"/>
        <w:bottom w:val="none" w:sz="0" w:space="0" w:color="auto"/>
        <w:right w:val="none" w:sz="0" w:space="0" w:color="auto"/>
      </w:divBdr>
    </w:div>
    <w:div w:id="1765566951">
      <w:bodyDiv w:val="1"/>
      <w:marLeft w:val="0"/>
      <w:marRight w:val="0"/>
      <w:marTop w:val="0"/>
      <w:marBottom w:val="0"/>
      <w:divBdr>
        <w:top w:val="none" w:sz="0" w:space="0" w:color="auto"/>
        <w:left w:val="none" w:sz="0" w:space="0" w:color="auto"/>
        <w:bottom w:val="none" w:sz="0" w:space="0" w:color="auto"/>
        <w:right w:val="none" w:sz="0" w:space="0" w:color="auto"/>
      </w:divBdr>
    </w:div>
    <w:div w:id="1780493512">
      <w:bodyDiv w:val="1"/>
      <w:marLeft w:val="0"/>
      <w:marRight w:val="0"/>
      <w:marTop w:val="0"/>
      <w:marBottom w:val="0"/>
      <w:divBdr>
        <w:top w:val="none" w:sz="0" w:space="0" w:color="auto"/>
        <w:left w:val="none" w:sz="0" w:space="0" w:color="auto"/>
        <w:bottom w:val="none" w:sz="0" w:space="0" w:color="auto"/>
        <w:right w:val="none" w:sz="0" w:space="0" w:color="auto"/>
      </w:divBdr>
    </w:div>
    <w:div w:id="1783763256">
      <w:bodyDiv w:val="1"/>
      <w:marLeft w:val="0"/>
      <w:marRight w:val="0"/>
      <w:marTop w:val="0"/>
      <w:marBottom w:val="0"/>
      <w:divBdr>
        <w:top w:val="none" w:sz="0" w:space="0" w:color="auto"/>
        <w:left w:val="none" w:sz="0" w:space="0" w:color="auto"/>
        <w:bottom w:val="none" w:sz="0" w:space="0" w:color="auto"/>
        <w:right w:val="none" w:sz="0" w:space="0" w:color="auto"/>
      </w:divBdr>
    </w:div>
    <w:div w:id="1787041391">
      <w:bodyDiv w:val="1"/>
      <w:marLeft w:val="0"/>
      <w:marRight w:val="0"/>
      <w:marTop w:val="0"/>
      <w:marBottom w:val="0"/>
      <w:divBdr>
        <w:top w:val="none" w:sz="0" w:space="0" w:color="auto"/>
        <w:left w:val="none" w:sz="0" w:space="0" w:color="auto"/>
        <w:bottom w:val="none" w:sz="0" w:space="0" w:color="auto"/>
        <w:right w:val="none" w:sz="0" w:space="0" w:color="auto"/>
      </w:divBdr>
    </w:div>
    <w:div w:id="1792934970">
      <w:bodyDiv w:val="1"/>
      <w:marLeft w:val="0"/>
      <w:marRight w:val="0"/>
      <w:marTop w:val="0"/>
      <w:marBottom w:val="0"/>
      <w:divBdr>
        <w:top w:val="none" w:sz="0" w:space="0" w:color="auto"/>
        <w:left w:val="none" w:sz="0" w:space="0" w:color="auto"/>
        <w:bottom w:val="none" w:sz="0" w:space="0" w:color="auto"/>
        <w:right w:val="none" w:sz="0" w:space="0" w:color="auto"/>
      </w:divBdr>
    </w:div>
    <w:div w:id="1806196766">
      <w:bodyDiv w:val="1"/>
      <w:marLeft w:val="0"/>
      <w:marRight w:val="0"/>
      <w:marTop w:val="0"/>
      <w:marBottom w:val="0"/>
      <w:divBdr>
        <w:top w:val="none" w:sz="0" w:space="0" w:color="auto"/>
        <w:left w:val="none" w:sz="0" w:space="0" w:color="auto"/>
        <w:bottom w:val="none" w:sz="0" w:space="0" w:color="auto"/>
        <w:right w:val="none" w:sz="0" w:space="0" w:color="auto"/>
      </w:divBdr>
    </w:div>
    <w:div w:id="1829401544">
      <w:bodyDiv w:val="1"/>
      <w:marLeft w:val="0"/>
      <w:marRight w:val="0"/>
      <w:marTop w:val="0"/>
      <w:marBottom w:val="0"/>
      <w:divBdr>
        <w:top w:val="none" w:sz="0" w:space="0" w:color="auto"/>
        <w:left w:val="none" w:sz="0" w:space="0" w:color="auto"/>
        <w:bottom w:val="none" w:sz="0" w:space="0" w:color="auto"/>
        <w:right w:val="none" w:sz="0" w:space="0" w:color="auto"/>
      </w:divBdr>
    </w:div>
    <w:div w:id="1831867018">
      <w:bodyDiv w:val="1"/>
      <w:marLeft w:val="0"/>
      <w:marRight w:val="0"/>
      <w:marTop w:val="0"/>
      <w:marBottom w:val="0"/>
      <w:divBdr>
        <w:top w:val="none" w:sz="0" w:space="0" w:color="auto"/>
        <w:left w:val="none" w:sz="0" w:space="0" w:color="auto"/>
        <w:bottom w:val="none" w:sz="0" w:space="0" w:color="auto"/>
        <w:right w:val="none" w:sz="0" w:space="0" w:color="auto"/>
      </w:divBdr>
    </w:div>
    <w:div w:id="1834682886">
      <w:bodyDiv w:val="1"/>
      <w:marLeft w:val="0"/>
      <w:marRight w:val="0"/>
      <w:marTop w:val="0"/>
      <w:marBottom w:val="0"/>
      <w:divBdr>
        <w:top w:val="none" w:sz="0" w:space="0" w:color="auto"/>
        <w:left w:val="none" w:sz="0" w:space="0" w:color="auto"/>
        <w:bottom w:val="none" w:sz="0" w:space="0" w:color="auto"/>
        <w:right w:val="none" w:sz="0" w:space="0" w:color="auto"/>
      </w:divBdr>
    </w:div>
    <w:div w:id="1835684159">
      <w:bodyDiv w:val="1"/>
      <w:marLeft w:val="0"/>
      <w:marRight w:val="0"/>
      <w:marTop w:val="0"/>
      <w:marBottom w:val="0"/>
      <w:divBdr>
        <w:top w:val="none" w:sz="0" w:space="0" w:color="auto"/>
        <w:left w:val="none" w:sz="0" w:space="0" w:color="auto"/>
        <w:bottom w:val="none" w:sz="0" w:space="0" w:color="auto"/>
        <w:right w:val="none" w:sz="0" w:space="0" w:color="auto"/>
      </w:divBdr>
    </w:div>
    <w:div w:id="1837761871">
      <w:bodyDiv w:val="1"/>
      <w:marLeft w:val="0"/>
      <w:marRight w:val="0"/>
      <w:marTop w:val="0"/>
      <w:marBottom w:val="0"/>
      <w:divBdr>
        <w:top w:val="none" w:sz="0" w:space="0" w:color="auto"/>
        <w:left w:val="none" w:sz="0" w:space="0" w:color="auto"/>
        <w:bottom w:val="none" w:sz="0" w:space="0" w:color="auto"/>
        <w:right w:val="none" w:sz="0" w:space="0" w:color="auto"/>
      </w:divBdr>
    </w:div>
    <w:div w:id="1842164533">
      <w:bodyDiv w:val="1"/>
      <w:marLeft w:val="0"/>
      <w:marRight w:val="0"/>
      <w:marTop w:val="0"/>
      <w:marBottom w:val="0"/>
      <w:divBdr>
        <w:top w:val="none" w:sz="0" w:space="0" w:color="auto"/>
        <w:left w:val="none" w:sz="0" w:space="0" w:color="auto"/>
        <w:bottom w:val="none" w:sz="0" w:space="0" w:color="auto"/>
        <w:right w:val="none" w:sz="0" w:space="0" w:color="auto"/>
      </w:divBdr>
    </w:div>
    <w:div w:id="1843661256">
      <w:bodyDiv w:val="1"/>
      <w:marLeft w:val="0"/>
      <w:marRight w:val="0"/>
      <w:marTop w:val="0"/>
      <w:marBottom w:val="0"/>
      <w:divBdr>
        <w:top w:val="none" w:sz="0" w:space="0" w:color="auto"/>
        <w:left w:val="none" w:sz="0" w:space="0" w:color="auto"/>
        <w:bottom w:val="none" w:sz="0" w:space="0" w:color="auto"/>
        <w:right w:val="none" w:sz="0" w:space="0" w:color="auto"/>
      </w:divBdr>
    </w:div>
    <w:div w:id="1845512019">
      <w:bodyDiv w:val="1"/>
      <w:marLeft w:val="0"/>
      <w:marRight w:val="0"/>
      <w:marTop w:val="0"/>
      <w:marBottom w:val="0"/>
      <w:divBdr>
        <w:top w:val="none" w:sz="0" w:space="0" w:color="auto"/>
        <w:left w:val="none" w:sz="0" w:space="0" w:color="auto"/>
        <w:bottom w:val="none" w:sz="0" w:space="0" w:color="auto"/>
        <w:right w:val="none" w:sz="0" w:space="0" w:color="auto"/>
      </w:divBdr>
    </w:div>
    <w:div w:id="1846826349">
      <w:bodyDiv w:val="1"/>
      <w:marLeft w:val="0"/>
      <w:marRight w:val="0"/>
      <w:marTop w:val="0"/>
      <w:marBottom w:val="0"/>
      <w:divBdr>
        <w:top w:val="none" w:sz="0" w:space="0" w:color="auto"/>
        <w:left w:val="none" w:sz="0" w:space="0" w:color="auto"/>
        <w:bottom w:val="none" w:sz="0" w:space="0" w:color="auto"/>
        <w:right w:val="none" w:sz="0" w:space="0" w:color="auto"/>
      </w:divBdr>
    </w:div>
    <w:div w:id="1849323651">
      <w:bodyDiv w:val="1"/>
      <w:marLeft w:val="0"/>
      <w:marRight w:val="0"/>
      <w:marTop w:val="0"/>
      <w:marBottom w:val="0"/>
      <w:divBdr>
        <w:top w:val="none" w:sz="0" w:space="0" w:color="auto"/>
        <w:left w:val="none" w:sz="0" w:space="0" w:color="auto"/>
        <w:bottom w:val="none" w:sz="0" w:space="0" w:color="auto"/>
        <w:right w:val="none" w:sz="0" w:space="0" w:color="auto"/>
      </w:divBdr>
    </w:div>
    <w:div w:id="1863283469">
      <w:bodyDiv w:val="1"/>
      <w:marLeft w:val="0"/>
      <w:marRight w:val="0"/>
      <w:marTop w:val="0"/>
      <w:marBottom w:val="0"/>
      <w:divBdr>
        <w:top w:val="none" w:sz="0" w:space="0" w:color="auto"/>
        <w:left w:val="none" w:sz="0" w:space="0" w:color="auto"/>
        <w:bottom w:val="none" w:sz="0" w:space="0" w:color="auto"/>
        <w:right w:val="none" w:sz="0" w:space="0" w:color="auto"/>
      </w:divBdr>
    </w:div>
    <w:div w:id="1865286089">
      <w:bodyDiv w:val="1"/>
      <w:marLeft w:val="0"/>
      <w:marRight w:val="0"/>
      <w:marTop w:val="0"/>
      <w:marBottom w:val="0"/>
      <w:divBdr>
        <w:top w:val="none" w:sz="0" w:space="0" w:color="auto"/>
        <w:left w:val="none" w:sz="0" w:space="0" w:color="auto"/>
        <w:bottom w:val="none" w:sz="0" w:space="0" w:color="auto"/>
        <w:right w:val="none" w:sz="0" w:space="0" w:color="auto"/>
      </w:divBdr>
    </w:div>
    <w:div w:id="1866946120">
      <w:bodyDiv w:val="1"/>
      <w:marLeft w:val="0"/>
      <w:marRight w:val="0"/>
      <w:marTop w:val="0"/>
      <w:marBottom w:val="0"/>
      <w:divBdr>
        <w:top w:val="none" w:sz="0" w:space="0" w:color="auto"/>
        <w:left w:val="none" w:sz="0" w:space="0" w:color="auto"/>
        <w:bottom w:val="none" w:sz="0" w:space="0" w:color="auto"/>
        <w:right w:val="none" w:sz="0" w:space="0" w:color="auto"/>
      </w:divBdr>
    </w:div>
    <w:div w:id="1869101804">
      <w:bodyDiv w:val="1"/>
      <w:marLeft w:val="0"/>
      <w:marRight w:val="0"/>
      <w:marTop w:val="0"/>
      <w:marBottom w:val="0"/>
      <w:divBdr>
        <w:top w:val="none" w:sz="0" w:space="0" w:color="auto"/>
        <w:left w:val="none" w:sz="0" w:space="0" w:color="auto"/>
        <w:bottom w:val="none" w:sz="0" w:space="0" w:color="auto"/>
        <w:right w:val="none" w:sz="0" w:space="0" w:color="auto"/>
      </w:divBdr>
    </w:div>
    <w:div w:id="1870875862">
      <w:bodyDiv w:val="1"/>
      <w:marLeft w:val="0"/>
      <w:marRight w:val="0"/>
      <w:marTop w:val="0"/>
      <w:marBottom w:val="0"/>
      <w:divBdr>
        <w:top w:val="none" w:sz="0" w:space="0" w:color="auto"/>
        <w:left w:val="none" w:sz="0" w:space="0" w:color="auto"/>
        <w:bottom w:val="none" w:sz="0" w:space="0" w:color="auto"/>
        <w:right w:val="none" w:sz="0" w:space="0" w:color="auto"/>
      </w:divBdr>
    </w:div>
    <w:div w:id="1882940554">
      <w:bodyDiv w:val="1"/>
      <w:marLeft w:val="0"/>
      <w:marRight w:val="0"/>
      <w:marTop w:val="0"/>
      <w:marBottom w:val="0"/>
      <w:divBdr>
        <w:top w:val="none" w:sz="0" w:space="0" w:color="auto"/>
        <w:left w:val="none" w:sz="0" w:space="0" w:color="auto"/>
        <w:bottom w:val="none" w:sz="0" w:space="0" w:color="auto"/>
        <w:right w:val="none" w:sz="0" w:space="0" w:color="auto"/>
      </w:divBdr>
    </w:div>
    <w:div w:id="1883128515">
      <w:bodyDiv w:val="1"/>
      <w:marLeft w:val="0"/>
      <w:marRight w:val="0"/>
      <w:marTop w:val="0"/>
      <w:marBottom w:val="0"/>
      <w:divBdr>
        <w:top w:val="none" w:sz="0" w:space="0" w:color="auto"/>
        <w:left w:val="none" w:sz="0" w:space="0" w:color="auto"/>
        <w:bottom w:val="none" w:sz="0" w:space="0" w:color="auto"/>
        <w:right w:val="none" w:sz="0" w:space="0" w:color="auto"/>
      </w:divBdr>
    </w:div>
    <w:div w:id="1887833107">
      <w:bodyDiv w:val="1"/>
      <w:marLeft w:val="0"/>
      <w:marRight w:val="0"/>
      <w:marTop w:val="0"/>
      <w:marBottom w:val="0"/>
      <w:divBdr>
        <w:top w:val="none" w:sz="0" w:space="0" w:color="auto"/>
        <w:left w:val="none" w:sz="0" w:space="0" w:color="auto"/>
        <w:bottom w:val="none" w:sz="0" w:space="0" w:color="auto"/>
        <w:right w:val="none" w:sz="0" w:space="0" w:color="auto"/>
      </w:divBdr>
    </w:div>
    <w:div w:id="1892113830">
      <w:bodyDiv w:val="1"/>
      <w:marLeft w:val="0"/>
      <w:marRight w:val="0"/>
      <w:marTop w:val="0"/>
      <w:marBottom w:val="0"/>
      <w:divBdr>
        <w:top w:val="none" w:sz="0" w:space="0" w:color="auto"/>
        <w:left w:val="none" w:sz="0" w:space="0" w:color="auto"/>
        <w:bottom w:val="none" w:sz="0" w:space="0" w:color="auto"/>
        <w:right w:val="none" w:sz="0" w:space="0" w:color="auto"/>
      </w:divBdr>
    </w:div>
    <w:div w:id="1895894772">
      <w:bodyDiv w:val="1"/>
      <w:marLeft w:val="0"/>
      <w:marRight w:val="0"/>
      <w:marTop w:val="0"/>
      <w:marBottom w:val="0"/>
      <w:divBdr>
        <w:top w:val="none" w:sz="0" w:space="0" w:color="auto"/>
        <w:left w:val="none" w:sz="0" w:space="0" w:color="auto"/>
        <w:bottom w:val="none" w:sz="0" w:space="0" w:color="auto"/>
        <w:right w:val="none" w:sz="0" w:space="0" w:color="auto"/>
      </w:divBdr>
    </w:div>
    <w:div w:id="1896354506">
      <w:bodyDiv w:val="1"/>
      <w:marLeft w:val="0"/>
      <w:marRight w:val="0"/>
      <w:marTop w:val="0"/>
      <w:marBottom w:val="0"/>
      <w:divBdr>
        <w:top w:val="none" w:sz="0" w:space="0" w:color="auto"/>
        <w:left w:val="none" w:sz="0" w:space="0" w:color="auto"/>
        <w:bottom w:val="none" w:sz="0" w:space="0" w:color="auto"/>
        <w:right w:val="none" w:sz="0" w:space="0" w:color="auto"/>
      </w:divBdr>
    </w:div>
    <w:div w:id="1898667049">
      <w:bodyDiv w:val="1"/>
      <w:marLeft w:val="0"/>
      <w:marRight w:val="0"/>
      <w:marTop w:val="0"/>
      <w:marBottom w:val="0"/>
      <w:divBdr>
        <w:top w:val="none" w:sz="0" w:space="0" w:color="auto"/>
        <w:left w:val="none" w:sz="0" w:space="0" w:color="auto"/>
        <w:bottom w:val="none" w:sz="0" w:space="0" w:color="auto"/>
        <w:right w:val="none" w:sz="0" w:space="0" w:color="auto"/>
      </w:divBdr>
    </w:div>
    <w:div w:id="1899052219">
      <w:bodyDiv w:val="1"/>
      <w:marLeft w:val="0"/>
      <w:marRight w:val="0"/>
      <w:marTop w:val="0"/>
      <w:marBottom w:val="0"/>
      <w:divBdr>
        <w:top w:val="none" w:sz="0" w:space="0" w:color="auto"/>
        <w:left w:val="none" w:sz="0" w:space="0" w:color="auto"/>
        <w:bottom w:val="none" w:sz="0" w:space="0" w:color="auto"/>
        <w:right w:val="none" w:sz="0" w:space="0" w:color="auto"/>
      </w:divBdr>
    </w:div>
    <w:div w:id="1906723336">
      <w:bodyDiv w:val="1"/>
      <w:marLeft w:val="0"/>
      <w:marRight w:val="0"/>
      <w:marTop w:val="0"/>
      <w:marBottom w:val="0"/>
      <w:divBdr>
        <w:top w:val="none" w:sz="0" w:space="0" w:color="auto"/>
        <w:left w:val="none" w:sz="0" w:space="0" w:color="auto"/>
        <w:bottom w:val="none" w:sz="0" w:space="0" w:color="auto"/>
        <w:right w:val="none" w:sz="0" w:space="0" w:color="auto"/>
      </w:divBdr>
    </w:div>
    <w:div w:id="1910532496">
      <w:bodyDiv w:val="1"/>
      <w:marLeft w:val="0"/>
      <w:marRight w:val="0"/>
      <w:marTop w:val="0"/>
      <w:marBottom w:val="0"/>
      <w:divBdr>
        <w:top w:val="none" w:sz="0" w:space="0" w:color="auto"/>
        <w:left w:val="none" w:sz="0" w:space="0" w:color="auto"/>
        <w:bottom w:val="none" w:sz="0" w:space="0" w:color="auto"/>
        <w:right w:val="none" w:sz="0" w:space="0" w:color="auto"/>
      </w:divBdr>
    </w:div>
    <w:div w:id="1913732985">
      <w:bodyDiv w:val="1"/>
      <w:marLeft w:val="0"/>
      <w:marRight w:val="0"/>
      <w:marTop w:val="0"/>
      <w:marBottom w:val="0"/>
      <w:divBdr>
        <w:top w:val="none" w:sz="0" w:space="0" w:color="auto"/>
        <w:left w:val="none" w:sz="0" w:space="0" w:color="auto"/>
        <w:bottom w:val="none" w:sz="0" w:space="0" w:color="auto"/>
        <w:right w:val="none" w:sz="0" w:space="0" w:color="auto"/>
      </w:divBdr>
    </w:div>
    <w:div w:id="1916281711">
      <w:bodyDiv w:val="1"/>
      <w:marLeft w:val="0"/>
      <w:marRight w:val="0"/>
      <w:marTop w:val="0"/>
      <w:marBottom w:val="0"/>
      <w:divBdr>
        <w:top w:val="none" w:sz="0" w:space="0" w:color="auto"/>
        <w:left w:val="none" w:sz="0" w:space="0" w:color="auto"/>
        <w:bottom w:val="none" w:sz="0" w:space="0" w:color="auto"/>
        <w:right w:val="none" w:sz="0" w:space="0" w:color="auto"/>
      </w:divBdr>
    </w:div>
    <w:div w:id="1920401962">
      <w:bodyDiv w:val="1"/>
      <w:marLeft w:val="0"/>
      <w:marRight w:val="0"/>
      <w:marTop w:val="0"/>
      <w:marBottom w:val="0"/>
      <w:divBdr>
        <w:top w:val="none" w:sz="0" w:space="0" w:color="auto"/>
        <w:left w:val="none" w:sz="0" w:space="0" w:color="auto"/>
        <w:bottom w:val="none" w:sz="0" w:space="0" w:color="auto"/>
        <w:right w:val="none" w:sz="0" w:space="0" w:color="auto"/>
      </w:divBdr>
    </w:div>
    <w:div w:id="1922910193">
      <w:bodyDiv w:val="1"/>
      <w:marLeft w:val="0"/>
      <w:marRight w:val="0"/>
      <w:marTop w:val="0"/>
      <w:marBottom w:val="0"/>
      <w:divBdr>
        <w:top w:val="none" w:sz="0" w:space="0" w:color="auto"/>
        <w:left w:val="none" w:sz="0" w:space="0" w:color="auto"/>
        <w:bottom w:val="none" w:sz="0" w:space="0" w:color="auto"/>
        <w:right w:val="none" w:sz="0" w:space="0" w:color="auto"/>
      </w:divBdr>
    </w:div>
    <w:div w:id="1927494964">
      <w:bodyDiv w:val="1"/>
      <w:marLeft w:val="0"/>
      <w:marRight w:val="0"/>
      <w:marTop w:val="0"/>
      <w:marBottom w:val="0"/>
      <w:divBdr>
        <w:top w:val="none" w:sz="0" w:space="0" w:color="auto"/>
        <w:left w:val="none" w:sz="0" w:space="0" w:color="auto"/>
        <w:bottom w:val="none" w:sz="0" w:space="0" w:color="auto"/>
        <w:right w:val="none" w:sz="0" w:space="0" w:color="auto"/>
      </w:divBdr>
    </w:div>
    <w:div w:id="1930384263">
      <w:bodyDiv w:val="1"/>
      <w:marLeft w:val="0"/>
      <w:marRight w:val="0"/>
      <w:marTop w:val="0"/>
      <w:marBottom w:val="0"/>
      <w:divBdr>
        <w:top w:val="none" w:sz="0" w:space="0" w:color="auto"/>
        <w:left w:val="none" w:sz="0" w:space="0" w:color="auto"/>
        <w:bottom w:val="none" w:sz="0" w:space="0" w:color="auto"/>
        <w:right w:val="none" w:sz="0" w:space="0" w:color="auto"/>
      </w:divBdr>
    </w:div>
    <w:div w:id="1932279674">
      <w:bodyDiv w:val="1"/>
      <w:marLeft w:val="0"/>
      <w:marRight w:val="0"/>
      <w:marTop w:val="0"/>
      <w:marBottom w:val="0"/>
      <w:divBdr>
        <w:top w:val="none" w:sz="0" w:space="0" w:color="auto"/>
        <w:left w:val="none" w:sz="0" w:space="0" w:color="auto"/>
        <w:bottom w:val="none" w:sz="0" w:space="0" w:color="auto"/>
        <w:right w:val="none" w:sz="0" w:space="0" w:color="auto"/>
      </w:divBdr>
    </w:div>
    <w:div w:id="1938294694">
      <w:bodyDiv w:val="1"/>
      <w:marLeft w:val="0"/>
      <w:marRight w:val="0"/>
      <w:marTop w:val="0"/>
      <w:marBottom w:val="0"/>
      <w:divBdr>
        <w:top w:val="none" w:sz="0" w:space="0" w:color="auto"/>
        <w:left w:val="none" w:sz="0" w:space="0" w:color="auto"/>
        <w:bottom w:val="none" w:sz="0" w:space="0" w:color="auto"/>
        <w:right w:val="none" w:sz="0" w:space="0" w:color="auto"/>
      </w:divBdr>
    </w:div>
    <w:div w:id="1946423626">
      <w:bodyDiv w:val="1"/>
      <w:marLeft w:val="0"/>
      <w:marRight w:val="0"/>
      <w:marTop w:val="0"/>
      <w:marBottom w:val="0"/>
      <w:divBdr>
        <w:top w:val="none" w:sz="0" w:space="0" w:color="auto"/>
        <w:left w:val="none" w:sz="0" w:space="0" w:color="auto"/>
        <w:bottom w:val="none" w:sz="0" w:space="0" w:color="auto"/>
        <w:right w:val="none" w:sz="0" w:space="0" w:color="auto"/>
      </w:divBdr>
    </w:div>
    <w:div w:id="1956599651">
      <w:bodyDiv w:val="1"/>
      <w:marLeft w:val="0"/>
      <w:marRight w:val="0"/>
      <w:marTop w:val="0"/>
      <w:marBottom w:val="0"/>
      <w:divBdr>
        <w:top w:val="none" w:sz="0" w:space="0" w:color="auto"/>
        <w:left w:val="none" w:sz="0" w:space="0" w:color="auto"/>
        <w:bottom w:val="none" w:sz="0" w:space="0" w:color="auto"/>
        <w:right w:val="none" w:sz="0" w:space="0" w:color="auto"/>
      </w:divBdr>
    </w:div>
    <w:div w:id="1961689557">
      <w:bodyDiv w:val="1"/>
      <w:marLeft w:val="0"/>
      <w:marRight w:val="0"/>
      <w:marTop w:val="0"/>
      <w:marBottom w:val="0"/>
      <w:divBdr>
        <w:top w:val="none" w:sz="0" w:space="0" w:color="auto"/>
        <w:left w:val="none" w:sz="0" w:space="0" w:color="auto"/>
        <w:bottom w:val="none" w:sz="0" w:space="0" w:color="auto"/>
        <w:right w:val="none" w:sz="0" w:space="0" w:color="auto"/>
      </w:divBdr>
    </w:div>
    <w:div w:id="1962106024">
      <w:bodyDiv w:val="1"/>
      <w:marLeft w:val="0"/>
      <w:marRight w:val="0"/>
      <w:marTop w:val="0"/>
      <w:marBottom w:val="0"/>
      <w:divBdr>
        <w:top w:val="none" w:sz="0" w:space="0" w:color="auto"/>
        <w:left w:val="none" w:sz="0" w:space="0" w:color="auto"/>
        <w:bottom w:val="none" w:sz="0" w:space="0" w:color="auto"/>
        <w:right w:val="none" w:sz="0" w:space="0" w:color="auto"/>
      </w:divBdr>
    </w:div>
    <w:div w:id="1967395175">
      <w:bodyDiv w:val="1"/>
      <w:marLeft w:val="0"/>
      <w:marRight w:val="0"/>
      <w:marTop w:val="0"/>
      <w:marBottom w:val="0"/>
      <w:divBdr>
        <w:top w:val="none" w:sz="0" w:space="0" w:color="auto"/>
        <w:left w:val="none" w:sz="0" w:space="0" w:color="auto"/>
        <w:bottom w:val="none" w:sz="0" w:space="0" w:color="auto"/>
        <w:right w:val="none" w:sz="0" w:space="0" w:color="auto"/>
      </w:divBdr>
    </w:div>
    <w:div w:id="1968588332">
      <w:bodyDiv w:val="1"/>
      <w:marLeft w:val="0"/>
      <w:marRight w:val="0"/>
      <w:marTop w:val="0"/>
      <w:marBottom w:val="0"/>
      <w:divBdr>
        <w:top w:val="none" w:sz="0" w:space="0" w:color="auto"/>
        <w:left w:val="none" w:sz="0" w:space="0" w:color="auto"/>
        <w:bottom w:val="none" w:sz="0" w:space="0" w:color="auto"/>
        <w:right w:val="none" w:sz="0" w:space="0" w:color="auto"/>
      </w:divBdr>
    </w:div>
    <w:div w:id="1968973979">
      <w:bodyDiv w:val="1"/>
      <w:marLeft w:val="0"/>
      <w:marRight w:val="0"/>
      <w:marTop w:val="0"/>
      <w:marBottom w:val="0"/>
      <w:divBdr>
        <w:top w:val="none" w:sz="0" w:space="0" w:color="auto"/>
        <w:left w:val="none" w:sz="0" w:space="0" w:color="auto"/>
        <w:bottom w:val="none" w:sz="0" w:space="0" w:color="auto"/>
        <w:right w:val="none" w:sz="0" w:space="0" w:color="auto"/>
      </w:divBdr>
    </w:div>
    <w:div w:id="1970355226">
      <w:bodyDiv w:val="1"/>
      <w:marLeft w:val="0"/>
      <w:marRight w:val="0"/>
      <w:marTop w:val="0"/>
      <w:marBottom w:val="0"/>
      <w:divBdr>
        <w:top w:val="none" w:sz="0" w:space="0" w:color="auto"/>
        <w:left w:val="none" w:sz="0" w:space="0" w:color="auto"/>
        <w:bottom w:val="none" w:sz="0" w:space="0" w:color="auto"/>
        <w:right w:val="none" w:sz="0" w:space="0" w:color="auto"/>
      </w:divBdr>
    </w:div>
    <w:div w:id="1971743983">
      <w:bodyDiv w:val="1"/>
      <w:marLeft w:val="0"/>
      <w:marRight w:val="0"/>
      <w:marTop w:val="0"/>
      <w:marBottom w:val="0"/>
      <w:divBdr>
        <w:top w:val="none" w:sz="0" w:space="0" w:color="auto"/>
        <w:left w:val="none" w:sz="0" w:space="0" w:color="auto"/>
        <w:bottom w:val="none" w:sz="0" w:space="0" w:color="auto"/>
        <w:right w:val="none" w:sz="0" w:space="0" w:color="auto"/>
      </w:divBdr>
    </w:div>
    <w:div w:id="1983458757">
      <w:bodyDiv w:val="1"/>
      <w:marLeft w:val="0"/>
      <w:marRight w:val="0"/>
      <w:marTop w:val="0"/>
      <w:marBottom w:val="0"/>
      <w:divBdr>
        <w:top w:val="none" w:sz="0" w:space="0" w:color="auto"/>
        <w:left w:val="none" w:sz="0" w:space="0" w:color="auto"/>
        <w:bottom w:val="none" w:sz="0" w:space="0" w:color="auto"/>
        <w:right w:val="none" w:sz="0" w:space="0" w:color="auto"/>
      </w:divBdr>
    </w:div>
    <w:div w:id="1988125325">
      <w:bodyDiv w:val="1"/>
      <w:marLeft w:val="0"/>
      <w:marRight w:val="0"/>
      <w:marTop w:val="0"/>
      <w:marBottom w:val="0"/>
      <w:divBdr>
        <w:top w:val="none" w:sz="0" w:space="0" w:color="auto"/>
        <w:left w:val="none" w:sz="0" w:space="0" w:color="auto"/>
        <w:bottom w:val="none" w:sz="0" w:space="0" w:color="auto"/>
        <w:right w:val="none" w:sz="0" w:space="0" w:color="auto"/>
      </w:divBdr>
    </w:div>
    <w:div w:id="1999653333">
      <w:bodyDiv w:val="1"/>
      <w:marLeft w:val="0"/>
      <w:marRight w:val="0"/>
      <w:marTop w:val="0"/>
      <w:marBottom w:val="0"/>
      <w:divBdr>
        <w:top w:val="none" w:sz="0" w:space="0" w:color="auto"/>
        <w:left w:val="none" w:sz="0" w:space="0" w:color="auto"/>
        <w:bottom w:val="none" w:sz="0" w:space="0" w:color="auto"/>
        <w:right w:val="none" w:sz="0" w:space="0" w:color="auto"/>
      </w:divBdr>
    </w:div>
    <w:div w:id="2002199433">
      <w:bodyDiv w:val="1"/>
      <w:marLeft w:val="0"/>
      <w:marRight w:val="0"/>
      <w:marTop w:val="0"/>
      <w:marBottom w:val="0"/>
      <w:divBdr>
        <w:top w:val="none" w:sz="0" w:space="0" w:color="auto"/>
        <w:left w:val="none" w:sz="0" w:space="0" w:color="auto"/>
        <w:bottom w:val="none" w:sz="0" w:space="0" w:color="auto"/>
        <w:right w:val="none" w:sz="0" w:space="0" w:color="auto"/>
      </w:divBdr>
    </w:div>
    <w:div w:id="2004501221">
      <w:bodyDiv w:val="1"/>
      <w:marLeft w:val="0"/>
      <w:marRight w:val="0"/>
      <w:marTop w:val="0"/>
      <w:marBottom w:val="0"/>
      <w:divBdr>
        <w:top w:val="none" w:sz="0" w:space="0" w:color="auto"/>
        <w:left w:val="none" w:sz="0" w:space="0" w:color="auto"/>
        <w:bottom w:val="none" w:sz="0" w:space="0" w:color="auto"/>
        <w:right w:val="none" w:sz="0" w:space="0" w:color="auto"/>
      </w:divBdr>
    </w:div>
    <w:div w:id="2006863099">
      <w:bodyDiv w:val="1"/>
      <w:marLeft w:val="0"/>
      <w:marRight w:val="0"/>
      <w:marTop w:val="0"/>
      <w:marBottom w:val="0"/>
      <w:divBdr>
        <w:top w:val="none" w:sz="0" w:space="0" w:color="auto"/>
        <w:left w:val="none" w:sz="0" w:space="0" w:color="auto"/>
        <w:bottom w:val="none" w:sz="0" w:space="0" w:color="auto"/>
        <w:right w:val="none" w:sz="0" w:space="0" w:color="auto"/>
      </w:divBdr>
    </w:div>
    <w:div w:id="2009866377">
      <w:bodyDiv w:val="1"/>
      <w:marLeft w:val="0"/>
      <w:marRight w:val="0"/>
      <w:marTop w:val="0"/>
      <w:marBottom w:val="0"/>
      <w:divBdr>
        <w:top w:val="none" w:sz="0" w:space="0" w:color="auto"/>
        <w:left w:val="none" w:sz="0" w:space="0" w:color="auto"/>
        <w:bottom w:val="none" w:sz="0" w:space="0" w:color="auto"/>
        <w:right w:val="none" w:sz="0" w:space="0" w:color="auto"/>
      </w:divBdr>
    </w:div>
    <w:div w:id="2020542578">
      <w:bodyDiv w:val="1"/>
      <w:marLeft w:val="0"/>
      <w:marRight w:val="0"/>
      <w:marTop w:val="0"/>
      <w:marBottom w:val="0"/>
      <w:divBdr>
        <w:top w:val="none" w:sz="0" w:space="0" w:color="auto"/>
        <w:left w:val="none" w:sz="0" w:space="0" w:color="auto"/>
        <w:bottom w:val="none" w:sz="0" w:space="0" w:color="auto"/>
        <w:right w:val="none" w:sz="0" w:space="0" w:color="auto"/>
      </w:divBdr>
    </w:div>
    <w:div w:id="2025748036">
      <w:bodyDiv w:val="1"/>
      <w:marLeft w:val="0"/>
      <w:marRight w:val="0"/>
      <w:marTop w:val="0"/>
      <w:marBottom w:val="0"/>
      <w:divBdr>
        <w:top w:val="none" w:sz="0" w:space="0" w:color="auto"/>
        <w:left w:val="none" w:sz="0" w:space="0" w:color="auto"/>
        <w:bottom w:val="none" w:sz="0" w:space="0" w:color="auto"/>
        <w:right w:val="none" w:sz="0" w:space="0" w:color="auto"/>
      </w:divBdr>
    </w:div>
    <w:div w:id="2032149822">
      <w:bodyDiv w:val="1"/>
      <w:marLeft w:val="0"/>
      <w:marRight w:val="0"/>
      <w:marTop w:val="0"/>
      <w:marBottom w:val="0"/>
      <w:divBdr>
        <w:top w:val="none" w:sz="0" w:space="0" w:color="auto"/>
        <w:left w:val="none" w:sz="0" w:space="0" w:color="auto"/>
        <w:bottom w:val="none" w:sz="0" w:space="0" w:color="auto"/>
        <w:right w:val="none" w:sz="0" w:space="0" w:color="auto"/>
      </w:divBdr>
    </w:div>
    <w:div w:id="2035156387">
      <w:bodyDiv w:val="1"/>
      <w:marLeft w:val="0"/>
      <w:marRight w:val="0"/>
      <w:marTop w:val="0"/>
      <w:marBottom w:val="0"/>
      <w:divBdr>
        <w:top w:val="none" w:sz="0" w:space="0" w:color="auto"/>
        <w:left w:val="none" w:sz="0" w:space="0" w:color="auto"/>
        <w:bottom w:val="none" w:sz="0" w:space="0" w:color="auto"/>
        <w:right w:val="none" w:sz="0" w:space="0" w:color="auto"/>
      </w:divBdr>
    </w:div>
    <w:div w:id="2040273971">
      <w:bodyDiv w:val="1"/>
      <w:marLeft w:val="0"/>
      <w:marRight w:val="0"/>
      <w:marTop w:val="0"/>
      <w:marBottom w:val="0"/>
      <w:divBdr>
        <w:top w:val="none" w:sz="0" w:space="0" w:color="auto"/>
        <w:left w:val="none" w:sz="0" w:space="0" w:color="auto"/>
        <w:bottom w:val="none" w:sz="0" w:space="0" w:color="auto"/>
        <w:right w:val="none" w:sz="0" w:space="0" w:color="auto"/>
      </w:divBdr>
    </w:div>
    <w:div w:id="2047413993">
      <w:bodyDiv w:val="1"/>
      <w:marLeft w:val="0"/>
      <w:marRight w:val="0"/>
      <w:marTop w:val="0"/>
      <w:marBottom w:val="0"/>
      <w:divBdr>
        <w:top w:val="none" w:sz="0" w:space="0" w:color="auto"/>
        <w:left w:val="none" w:sz="0" w:space="0" w:color="auto"/>
        <w:bottom w:val="none" w:sz="0" w:space="0" w:color="auto"/>
        <w:right w:val="none" w:sz="0" w:space="0" w:color="auto"/>
      </w:divBdr>
    </w:div>
    <w:div w:id="2049330538">
      <w:bodyDiv w:val="1"/>
      <w:marLeft w:val="0"/>
      <w:marRight w:val="0"/>
      <w:marTop w:val="0"/>
      <w:marBottom w:val="0"/>
      <w:divBdr>
        <w:top w:val="none" w:sz="0" w:space="0" w:color="auto"/>
        <w:left w:val="none" w:sz="0" w:space="0" w:color="auto"/>
        <w:bottom w:val="none" w:sz="0" w:space="0" w:color="auto"/>
        <w:right w:val="none" w:sz="0" w:space="0" w:color="auto"/>
      </w:divBdr>
    </w:div>
    <w:div w:id="2053530693">
      <w:bodyDiv w:val="1"/>
      <w:marLeft w:val="0"/>
      <w:marRight w:val="0"/>
      <w:marTop w:val="0"/>
      <w:marBottom w:val="0"/>
      <w:divBdr>
        <w:top w:val="none" w:sz="0" w:space="0" w:color="auto"/>
        <w:left w:val="none" w:sz="0" w:space="0" w:color="auto"/>
        <w:bottom w:val="none" w:sz="0" w:space="0" w:color="auto"/>
        <w:right w:val="none" w:sz="0" w:space="0" w:color="auto"/>
      </w:divBdr>
    </w:div>
    <w:div w:id="2055230372">
      <w:bodyDiv w:val="1"/>
      <w:marLeft w:val="0"/>
      <w:marRight w:val="0"/>
      <w:marTop w:val="0"/>
      <w:marBottom w:val="0"/>
      <w:divBdr>
        <w:top w:val="none" w:sz="0" w:space="0" w:color="auto"/>
        <w:left w:val="none" w:sz="0" w:space="0" w:color="auto"/>
        <w:bottom w:val="none" w:sz="0" w:space="0" w:color="auto"/>
        <w:right w:val="none" w:sz="0" w:space="0" w:color="auto"/>
      </w:divBdr>
    </w:div>
    <w:div w:id="2059818095">
      <w:bodyDiv w:val="1"/>
      <w:marLeft w:val="0"/>
      <w:marRight w:val="0"/>
      <w:marTop w:val="0"/>
      <w:marBottom w:val="0"/>
      <w:divBdr>
        <w:top w:val="none" w:sz="0" w:space="0" w:color="auto"/>
        <w:left w:val="none" w:sz="0" w:space="0" w:color="auto"/>
        <w:bottom w:val="none" w:sz="0" w:space="0" w:color="auto"/>
        <w:right w:val="none" w:sz="0" w:space="0" w:color="auto"/>
      </w:divBdr>
    </w:div>
    <w:div w:id="2061056454">
      <w:bodyDiv w:val="1"/>
      <w:marLeft w:val="0"/>
      <w:marRight w:val="0"/>
      <w:marTop w:val="0"/>
      <w:marBottom w:val="0"/>
      <w:divBdr>
        <w:top w:val="none" w:sz="0" w:space="0" w:color="auto"/>
        <w:left w:val="none" w:sz="0" w:space="0" w:color="auto"/>
        <w:bottom w:val="none" w:sz="0" w:space="0" w:color="auto"/>
        <w:right w:val="none" w:sz="0" w:space="0" w:color="auto"/>
      </w:divBdr>
    </w:div>
    <w:div w:id="2067753033">
      <w:bodyDiv w:val="1"/>
      <w:marLeft w:val="0"/>
      <w:marRight w:val="0"/>
      <w:marTop w:val="0"/>
      <w:marBottom w:val="0"/>
      <w:divBdr>
        <w:top w:val="none" w:sz="0" w:space="0" w:color="auto"/>
        <w:left w:val="none" w:sz="0" w:space="0" w:color="auto"/>
        <w:bottom w:val="none" w:sz="0" w:space="0" w:color="auto"/>
        <w:right w:val="none" w:sz="0" w:space="0" w:color="auto"/>
      </w:divBdr>
    </w:div>
    <w:div w:id="2069255472">
      <w:bodyDiv w:val="1"/>
      <w:marLeft w:val="0"/>
      <w:marRight w:val="0"/>
      <w:marTop w:val="0"/>
      <w:marBottom w:val="0"/>
      <w:divBdr>
        <w:top w:val="none" w:sz="0" w:space="0" w:color="auto"/>
        <w:left w:val="none" w:sz="0" w:space="0" w:color="auto"/>
        <w:bottom w:val="none" w:sz="0" w:space="0" w:color="auto"/>
        <w:right w:val="none" w:sz="0" w:space="0" w:color="auto"/>
      </w:divBdr>
    </w:div>
    <w:div w:id="2076079803">
      <w:bodyDiv w:val="1"/>
      <w:marLeft w:val="0"/>
      <w:marRight w:val="0"/>
      <w:marTop w:val="0"/>
      <w:marBottom w:val="0"/>
      <w:divBdr>
        <w:top w:val="none" w:sz="0" w:space="0" w:color="auto"/>
        <w:left w:val="none" w:sz="0" w:space="0" w:color="auto"/>
        <w:bottom w:val="none" w:sz="0" w:space="0" w:color="auto"/>
        <w:right w:val="none" w:sz="0" w:space="0" w:color="auto"/>
      </w:divBdr>
    </w:div>
    <w:div w:id="2079984165">
      <w:bodyDiv w:val="1"/>
      <w:marLeft w:val="0"/>
      <w:marRight w:val="0"/>
      <w:marTop w:val="0"/>
      <w:marBottom w:val="0"/>
      <w:divBdr>
        <w:top w:val="none" w:sz="0" w:space="0" w:color="auto"/>
        <w:left w:val="none" w:sz="0" w:space="0" w:color="auto"/>
        <w:bottom w:val="none" w:sz="0" w:space="0" w:color="auto"/>
        <w:right w:val="none" w:sz="0" w:space="0" w:color="auto"/>
      </w:divBdr>
    </w:div>
    <w:div w:id="2084327201">
      <w:bodyDiv w:val="1"/>
      <w:marLeft w:val="0"/>
      <w:marRight w:val="0"/>
      <w:marTop w:val="0"/>
      <w:marBottom w:val="0"/>
      <w:divBdr>
        <w:top w:val="none" w:sz="0" w:space="0" w:color="auto"/>
        <w:left w:val="none" w:sz="0" w:space="0" w:color="auto"/>
        <w:bottom w:val="none" w:sz="0" w:space="0" w:color="auto"/>
        <w:right w:val="none" w:sz="0" w:space="0" w:color="auto"/>
      </w:divBdr>
    </w:div>
    <w:div w:id="2087149980">
      <w:bodyDiv w:val="1"/>
      <w:marLeft w:val="0"/>
      <w:marRight w:val="0"/>
      <w:marTop w:val="0"/>
      <w:marBottom w:val="0"/>
      <w:divBdr>
        <w:top w:val="none" w:sz="0" w:space="0" w:color="auto"/>
        <w:left w:val="none" w:sz="0" w:space="0" w:color="auto"/>
        <w:bottom w:val="none" w:sz="0" w:space="0" w:color="auto"/>
        <w:right w:val="none" w:sz="0" w:space="0" w:color="auto"/>
      </w:divBdr>
    </w:div>
    <w:div w:id="2087265198">
      <w:bodyDiv w:val="1"/>
      <w:marLeft w:val="0"/>
      <w:marRight w:val="0"/>
      <w:marTop w:val="0"/>
      <w:marBottom w:val="0"/>
      <w:divBdr>
        <w:top w:val="none" w:sz="0" w:space="0" w:color="auto"/>
        <w:left w:val="none" w:sz="0" w:space="0" w:color="auto"/>
        <w:bottom w:val="none" w:sz="0" w:space="0" w:color="auto"/>
        <w:right w:val="none" w:sz="0" w:space="0" w:color="auto"/>
      </w:divBdr>
    </w:div>
    <w:div w:id="2087650030">
      <w:bodyDiv w:val="1"/>
      <w:marLeft w:val="0"/>
      <w:marRight w:val="0"/>
      <w:marTop w:val="0"/>
      <w:marBottom w:val="0"/>
      <w:divBdr>
        <w:top w:val="none" w:sz="0" w:space="0" w:color="auto"/>
        <w:left w:val="none" w:sz="0" w:space="0" w:color="auto"/>
        <w:bottom w:val="none" w:sz="0" w:space="0" w:color="auto"/>
        <w:right w:val="none" w:sz="0" w:space="0" w:color="auto"/>
      </w:divBdr>
    </w:div>
    <w:div w:id="2088964283">
      <w:bodyDiv w:val="1"/>
      <w:marLeft w:val="0"/>
      <w:marRight w:val="0"/>
      <w:marTop w:val="0"/>
      <w:marBottom w:val="0"/>
      <w:divBdr>
        <w:top w:val="none" w:sz="0" w:space="0" w:color="auto"/>
        <w:left w:val="none" w:sz="0" w:space="0" w:color="auto"/>
        <w:bottom w:val="none" w:sz="0" w:space="0" w:color="auto"/>
        <w:right w:val="none" w:sz="0" w:space="0" w:color="auto"/>
      </w:divBdr>
    </w:div>
    <w:div w:id="2092575791">
      <w:bodyDiv w:val="1"/>
      <w:marLeft w:val="0"/>
      <w:marRight w:val="0"/>
      <w:marTop w:val="0"/>
      <w:marBottom w:val="0"/>
      <w:divBdr>
        <w:top w:val="none" w:sz="0" w:space="0" w:color="auto"/>
        <w:left w:val="none" w:sz="0" w:space="0" w:color="auto"/>
        <w:bottom w:val="none" w:sz="0" w:space="0" w:color="auto"/>
        <w:right w:val="none" w:sz="0" w:space="0" w:color="auto"/>
      </w:divBdr>
    </w:div>
    <w:div w:id="2093238693">
      <w:bodyDiv w:val="1"/>
      <w:marLeft w:val="0"/>
      <w:marRight w:val="0"/>
      <w:marTop w:val="0"/>
      <w:marBottom w:val="0"/>
      <w:divBdr>
        <w:top w:val="none" w:sz="0" w:space="0" w:color="auto"/>
        <w:left w:val="none" w:sz="0" w:space="0" w:color="auto"/>
        <w:bottom w:val="none" w:sz="0" w:space="0" w:color="auto"/>
        <w:right w:val="none" w:sz="0" w:space="0" w:color="auto"/>
      </w:divBdr>
    </w:div>
    <w:div w:id="2096513253">
      <w:bodyDiv w:val="1"/>
      <w:marLeft w:val="0"/>
      <w:marRight w:val="0"/>
      <w:marTop w:val="0"/>
      <w:marBottom w:val="0"/>
      <w:divBdr>
        <w:top w:val="none" w:sz="0" w:space="0" w:color="auto"/>
        <w:left w:val="none" w:sz="0" w:space="0" w:color="auto"/>
        <w:bottom w:val="none" w:sz="0" w:space="0" w:color="auto"/>
        <w:right w:val="none" w:sz="0" w:space="0" w:color="auto"/>
      </w:divBdr>
    </w:div>
    <w:div w:id="2099250110">
      <w:bodyDiv w:val="1"/>
      <w:marLeft w:val="0"/>
      <w:marRight w:val="0"/>
      <w:marTop w:val="0"/>
      <w:marBottom w:val="0"/>
      <w:divBdr>
        <w:top w:val="none" w:sz="0" w:space="0" w:color="auto"/>
        <w:left w:val="none" w:sz="0" w:space="0" w:color="auto"/>
        <w:bottom w:val="none" w:sz="0" w:space="0" w:color="auto"/>
        <w:right w:val="none" w:sz="0" w:space="0" w:color="auto"/>
      </w:divBdr>
    </w:div>
    <w:div w:id="2099711185">
      <w:bodyDiv w:val="1"/>
      <w:marLeft w:val="0"/>
      <w:marRight w:val="0"/>
      <w:marTop w:val="0"/>
      <w:marBottom w:val="0"/>
      <w:divBdr>
        <w:top w:val="none" w:sz="0" w:space="0" w:color="auto"/>
        <w:left w:val="none" w:sz="0" w:space="0" w:color="auto"/>
        <w:bottom w:val="none" w:sz="0" w:space="0" w:color="auto"/>
        <w:right w:val="none" w:sz="0" w:space="0" w:color="auto"/>
      </w:divBdr>
    </w:div>
    <w:div w:id="2101178366">
      <w:bodyDiv w:val="1"/>
      <w:marLeft w:val="0"/>
      <w:marRight w:val="0"/>
      <w:marTop w:val="0"/>
      <w:marBottom w:val="0"/>
      <w:divBdr>
        <w:top w:val="none" w:sz="0" w:space="0" w:color="auto"/>
        <w:left w:val="none" w:sz="0" w:space="0" w:color="auto"/>
        <w:bottom w:val="none" w:sz="0" w:space="0" w:color="auto"/>
        <w:right w:val="none" w:sz="0" w:space="0" w:color="auto"/>
      </w:divBdr>
    </w:div>
    <w:div w:id="2104568037">
      <w:bodyDiv w:val="1"/>
      <w:marLeft w:val="0"/>
      <w:marRight w:val="0"/>
      <w:marTop w:val="0"/>
      <w:marBottom w:val="0"/>
      <w:divBdr>
        <w:top w:val="none" w:sz="0" w:space="0" w:color="auto"/>
        <w:left w:val="none" w:sz="0" w:space="0" w:color="auto"/>
        <w:bottom w:val="none" w:sz="0" w:space="0" w:color="auto"/>
        <w:right w:val="none" w:sz="0" w:space="0" w:color="auto"/>
      </w:divBdr>
    </w:div>
    <w:div w:id="2106880845">
      <w:bodyDiv w:val="1"/>
      <w:marLeft w:val="0"/>
      <w:marRight w:val="0"/>
      <w:marTop w:val="0"/>
      <w:marBottom w:val="0"/>
      <w:divBdr>
        <w:top w:val="none" w:sz="0" w:space="0" w:color="auto"/>
        <w:left w:val="none" w:sz="0" w:space="0" w:color="auto"/>
        <w:bottom w:val="none" w:sz="0" w:space="0" w:color="auto"/>
        <w:right w:val="none" w:sz="0" w:space="0" w:color="auto"/>
      </w:divBdr>
    </w:div>
    <w:div w:id="2108041668">
      <w:bodyDiv w:val="1"/>
      <w:marLeft w:val="0"/>
      <w:marRight w:val="0"/>
      <w:marTop w:val="0"/>
      <w:marBottom w:val="0"/>
      <w:divBdr>
        <w:top w:val="none" w:sz="0" w:space="0" w:color="auto"/>
        <w:left w:val="none" w:sz="0" w:space="0" w:color="auto"/>
        <w:bottom w:val="none" w:sz="0" w:space="0" w:color="auto"/>
        <w:right w:val="none" w:sz="0" w:space="0" w:color="auto"/>
      </w:divBdr>
    </w:div>
    <w:div w:id="2129658109">
      <w:bodyDiv w:val="1"/>
      <w:marLeft w:val="0"/>
      <w:marRight w:val="0"/>
      <w:marTop w:val="0"/>
      <w:marBottom w:val="0"/>
      <w:divBdr>
        <w:top w:val="none" w:sz="0" w:space="0" w:color="auto"/>
        <w:left w:val="none" w:sz="0" w:space="0" w:color="auto"/>
        <w:bottom w:val="none" w:sz="0" w:space="0" w:color="auto"/>
        <w:right w:val="none" w:sz="0" w:space="0" w:color="auto"/>
      </w:divBdr>
    </w:div>
    <w:div w:id="2132507814">
      <w:bodyDiv w:val="1"/>
      <w:marLeft w:val="0"/>
      <w:marRight w:val="0"/>
      <w:marTop w:val="0"/>
      <w:marBottom w:val="0"/>
      <w:divBdr>
        <w:top w:val="none" w:sz="0" w:space="0" w:color="auto"/>
        <w:left w:val="none" w:sz="0" w:space="0" w:color="auto"/>
        <w:bottom w:val="none" w:sz="0" w:space="0" w:color="auto"/>
        <w:right w:val="none" w:sz="0" w:space="0" w:color="auto"/>
      </w:divBdr>
    </w:div>
    <w:div w:id="2138718491">
      <w:bodyDiv w:val="1"/>
      <w:marLeft w:val="0"/>
      <w:marRight w:val="0"/>
      <w:marTop w:val="0"/>
      <w:marBottom w:val="0"/>
      <w:divBdr>
        <w:top w:val="none" w:sz="0" w:space="0" w:color="auto"/>
        <w:left w:val="none" w:sz="0" w:space="0" w:color="auto"/>
        <w:bottom w:val="none" w:sz="0" w:space="0" w:color="auto"/>
        <w:right w:val="none" w:sz="0" w:space="0" w:color="auto"/>
      </w:divBdr>
    </w:div>
    <w:div w:id="2143377779">
      <w:bodyDiv w:val="1"/>
      <w:marLeft w:val="0"/>
      <w:marRight w:val="0"/>
      <w:marTop w:val="0"/>
      <w:marBottom w:val="0"/>
      <w:divBdr>
        <w:top w:val="none" w:sz="0" w:space="0" w:color="auto"/>
        <w:left w:val="none" w:sz="0" w:space="0" w:color="auto"/>
        <w:bottom w:val="none" w:sz="0" w:space="0" w:color="auto"/>
        <w:right w:val="none" w:sz="0" w:space="0" w:color="auto"/>
      </w:divBdr>
    </w:div>
    <w:div w:id="2145659330">
      <w:bodyDiv w:val="1"/>
      <w:marLeft w:val="0"/>
      <w:marRight w:val="0"/>
      <w:marTop w:val="0"/>
      <w:marBottom w:val="0"/>
      <w:divBdr>
        <w:top w:val="none" w:sz="0" w:space="0" w:color="auto"/>
        <w:left w:val="none" w:sz="0" w:space="0" w:color="auto"/>
        <w:bottom w:val="none" w:sz="0" w:space="0" w:color="auto"/>
        <w:right w:val="none" w:sz="0" w:space="0" w:color="auto"/>
      </w:divBdr>
    </w:div>
    <w:div w:id="2145808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54DBDAA08E4AA997D2EE376F3F81AD"/>
        <w:category>
          <w:name w:val="General"/>
          <w:gallery w:val="placeholder"/>
        </w:category>
        <w:types>
          <w:type w:val="bbPlcHdr"/>
        </w:types>
        <w:behaviors>
          <w:behavior w:val="content"/>
        </w:behaviors>
        <w:guid w:val="{93A7A74A-86B8-4A9C-8F22-391BCCF326DA}"/>
      </w:docPartPr>
      <w:docPartBody>
        <w:p w:rsidR="00F82701" w:rsidRDefault="00161703" w:rsidP="00161703">
          <w:pPr>
            <w:pStyle w:val="3454DBDAA08E4AA997D2EE376F3F81AD"/>
          </w:pPr>
          <w:r>
            <w:rPr>
              <w:rStyle w:val="Textodelmarcadordeposicin"/>
            </w:rPr>
            <w:t>Elija un elemento.</w:t>
          </w:r>
        </w:p>
      </w:docPartBody>
    </w:docPart>
    <w:docPart>
      <w:docPartPr>
        <w:name w:val="3D859102B2204DACA157C3CD1B6784A8"/>
        <w:category>
          <w:name w:val="General"/>
          <w:gallery w:val="placeholder"/>
        </w:category>
        <w:types>
          <w:type w:val="bbPlcHdr"/>
        </w:types>
        <w:behaviors>
          <w:behavior w:val="content"/>
        </w:behaviors>
        <w:guid w:val="{E165E9C0-265C-4D0A-AE7E-903EC5125CEA}"/>
      </w:docPartPr>
      <w:docPartBody>
        <w:p w:rsidR="00F82701" w:rsidRDefault="00161703" w:rsidP="00161703">
          <w:pPr>
            <w:pStyle w:val="3D859102B2204DACA157C3CD1B6784A8"/>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utura Lt BT">
    <w:altName w:val="Segoe UI Semilight"/>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EurekaSans-Regular">
    <w:panose1 w:val="00000000000000000000"/>
    <w:charset w:val="00"/>
    <w:family w:val="modern"/>
    <w:notTrueType/>
    <w:pitch w:val="variable"/>
    <w:sig w:usb0="00000003" w:usb1="00000000" w:usb2="00000000" w:usb3="00000000" w:csb0="00000001" w:csb1="00000000"/>
  </w:font>
  <w:font w:name="Eureka Sans Light">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EurekaSans-Ligh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tisSansSerif">
    <w:altName w:val="RotisSansSerif"/>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EurekaSans-Bold">
    <w:panose1 w:val="00000000000000000000"/>
    <w:charset w:val="00"/>
    <w:family w:val="modern"/>
    <w:notTrueType/>
    <w:pitch w:val="variable"/>
    <w:sig w:usb0="00000003" w:usb1="00000000" w:usb2="00000000" w:usb3="00000000" w:csb0="00000001" w:csb1="00000000"/>
  </w:font>
  <w:font w:name="Presidencia Fina">
    <w:panose1 w:val="00000000000000000000"/>
    <w:charset w:val="00"/>
    <w:family w:val="modern"/>
    <w:notTrueType/>
    <w:pitch w:val="variable"/>
    <w:sig w:usb0="800000AF" w:usb1="4000004A" w:usb2="00000000" w:usb3="00000000" w:csb0="00000001" w:csb1="00000000"/>
  </w:font>
  <w:font w:name="Presidencia Base">
    <w:panose1 w:val="00000000000000000000"/>
    <w:charset w:val="00"/>
    <w:family w:val="modern"/>
    <w:notTrueType/>
    <w:pitch w:val="variable"/>
    <w:sig w:usb0="800000AF" w:usb1="4000004A" w:usb2="00000000" w:usb3="00000000" w:csb0="00000001" w:csb1="00000000"/>
  </w:font>
  <w:font w:name="Presidencia Fuerte">
    <w:panose1 w:val="00000000000000000000"/>
    <w:charset w:val="00"/>
    <w:family w:val="modern"/>
    <w:notTrueType/>
    <w:pitch w:val="variable"/>
    <w:sig w:usb0="00000003" w:usb1="00000000" w:usb2="00000000" w:usb3="00000000" w:csb0="00000001" w:csb1="00000000"/>
  </w:font>
  <w:font w:name="PresidenciaFirme">
    <w:altName w:val="Times New Roman"/>
    <w:charset w:val="00"/>
    <w:family w:val="auto"/>
    <w:pitch w:val="default"/>
  </w:font>
  <w:font w:name="Futura Md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 w:name="¹Å">
    <w:altName w:val="Times New Roman"/>
    <w:panose1 w:val="00000000000000000000"/>
    <w:charset w:val="00"/>
    <w:family w:val="roman"/>
    <w:notTrueType/>
    <w:pitch w:val="default"/>
  </w:font>
  <w:font w:name="Futura Medium">
    <w:altName w:val="Lucida Sans Unicode"/>
    <w:charset w:val="B1"/>
    <w:family w:val="swiss"/>
    <w:pitch w:val="variable"/>
    <w:sig w:usb0="80000867" w:usb1="00000000" w:usb2="00000000" w:usb3="00000000" w:csb0="000001F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9D"/>
    <w:rsid w:val="000067D7"/>
    <w:rsid w:val="00040E8F"/>
    <w:rsid w:val="00073D9D"/>
    <w:rsid w:val="00102466"/>
    <w:rsid w:val="00126EA6"/>
    <w:rsid w:val="00134E42"/>
    <w:rsid w:val="00161703"/>
    <w:rsid w:val="001E6999"/>
    <w:rsid w:val="001F5AD8"/>
    <w:rsid w:val="00203812"/>
    <w:rsid w:val="00211A42"/>
    <w:rsid w:val="0021758D"/>
    <w:rsid w:val="00280E27"/>
    <w:rsid w:val="002E4400"/>
    <w:rsid w:val="003275F1"/>
    <w:rsid w:val="00364A84"/>
    <w:rsid w:val="004251DD"/>
    <w:rsid w:val="00505B20"/>
    <w:rsid w:val="00591C27"/>
    <w:rsid w:val="005C6C02"/>
    <w:rsid w:val="005F65B8"/>
    <w:rsid w:val="00606EC4"/>
    <w:rsid w:val="0068086D"/>
    <w:rsid w:val="0069590E"/>
    <w:rsid w:val="006B65DC"/>
    <w:rsid w:val="006F42DE"/>
    <w:rsid w:val="00841D60"/>
    <w:rsid w:val="00861113"/>
    <w:rsid w:val="008931D1"/>
    <w:rsid w:val="008D4962"/>
    <w:rsid w:val="00917143"/>
    <w:rsid w:val="009572F7"/>
    <w:rsid w:val="00A01F9F"/>
    <w:rsid w:val="00B07BB2"/>
    <w:rsid w:val="00B368ED"/>
    <w:rsid w:val="00B7110D"/>
    <w:rsid w:val="00BB6130"/>
    <w:rsid w:val="00BE2CD4"/>
    <w:rsid w:val="00BF238D"/>
    <w:rsid w:val="00C84F92"/>
    <w:rsid w:val="00CD473C"/>
    <w:rsid w:val="00D36D42"/>
    <w:rsid w:val="00D41C51"/>
    <w:rsid w:val="00D665AD"/>
    <w:rsid w:val="00DA72C0"/>
    <w:rsid w:val="00DC77B7"/>
    <w:rsid w:val="00E12863"/>
    <w:rsid w:val="00E6079A"/>
    <w:rsid w:val="00E973F1"/>
    <w:rsid w:val="00F2579E"/>
    <w:rsid w:val="00F572B5"/>
    <w:rsid w:val="00F82701"/>
    <w:rsid w:val="00FD1804"/>
    <w:rsid w:val="00FD5C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91C27"/>
    <w:rPr>
      <w:color w:val="808080"/>
    </w:rPr>
  </w:style>
  <w:style w:type="paragraph" w:customStyle="1" w:styleId="5F29D9B8AA3840529DAC2DF8C916C714">
    <w:name w:val="5F29D9B8AA3840529DAC2DF8C916C714"/>
    <w:rsid w:val="00073D9D"/>
  </w:style>
  <w:style w:type="paragraph" w:customStyle="1" w:styleId="33B5A22253EA46A18DE6B6AD13E457DD">
    <w:name w:val="33B5A22253EA46A18DE6B6AD13E457DD"/>
    <w:rsid w:val="00073D9D"/>
  </w:style>
  <w:style w:type="paragraph" w:customStyle="1" w:styleId="F9F32EA171F54F1693D070C6FBD0F743">
    <w:name w:val="F9F32EA171F54F1693D070C6FBD0F743"/>
    <w:rsid w:val="00F572B5"/>
    <w:pPr>
      <w:spacing w:after="160" w:line="259" w:lineRule="auto"/>
    </w:pPr>
  </w:style>
  <w:style w:type="paragraph" w:customStyle="1" w:styleId="7ECBE3240CB24705B4C5A5F0CF9FAE7C">
    <w:name w:val="7ECBE3240CB24705B4C5A5F0CF9FAE7C"/>
    <w:rsid w:val="00F572B5"/>
    <w:pPr>
      <w:spacing w:after="160" w:line="259" w:lineRule="auto"/>
    </w:pPr>
  </w:style>
  <w:style w:type="paragraph" w:customStyle="1" w:styleId="3454DBDAA08E4AA997D2EE376F3F81AD">
    <w:name w:val="3454DBDAA08E4AA997D2EE376F3F81AD"/>
    <w:rsid w:val="00161703"/>
  </w:style>
  <w:style w:type="paragraph" w:customStyle="1" w:styleId="3D859102B2204DACA157C3CD1B6784A8">
    <w:name w:val="3D859102B2204DACA157C3CD1B6784A8"/>
    <w:rsid w:val="00161703"/>
  </w:style>
  <w:style w:type="paragraph" w:customStyle="1" w:styleId="51AED4E318604104BA828D0A508BD638">
    <w:name w:val="51AED4E318604104BA828D0A508BD638"/>
    <w:rsid w:val="00591C27"/>
  </w:style>
  <w:style w:type="paragraph" w:customStyle="1" w:styleId="FEC58C2AA59C4B41B1385AB8263A38D8">
    <w:name w:val="FEC58C2AA59C4B41B1385AB8263A38D8"/>
    <w:rsid w:val="00591C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91C27"/>
    <w:rPr>
      <w:color w:val="808080"/>
    </w:rPr>
  </w:style>
  <w:style w:type="paragraph" w:customStyle="1" w:styleId="5F29D9B8AA3840529DAC2DF8C916C714">
    <w:name w:val="5F29D9B8AA3840529DAC2DF8C916C714"/>
    <w:rsid w:val="00073D9D"/>
  </w:style>
  <w:style w:type="paragraph" w:customStyle="1" w:styleId="33B5A22253EA46A18DE6B6AD13E457DD">
    <w:name w:val="33B5A22253EA46A18DE6B6AD13E457DD"/>
    <w:rsid w:val="00073D9D"/>
  </w:style>
  <w:style w:type="paragraph" w:customStyle="1" w:styleId="F9F32EA171F54F1693D070C6FBD0F743">
    <w:name w:val="F9F32EA171F54F1693D070C6FBD0F743"/>
    <w:rsid w:val="00F572B5"/>
    <w:pPr>
      <w:spacing w:after="160" w:line="259" w:lineRule="auto"/>
    </w:pPr>
  </w:style>
  <w:style w:type="paragraph" w:customStyle="1" w:styleId="7ECBE3240CB24705B4C5A5F0CF9FAE7C">
    <w:name w:val="7ECBE3240CB24705B4C5A5F0CF9FAE7C"/>
    <w:rsid w:val="00F572B5"/>
    <w:pPr>
      <w:spacing w:after="160" w:line="259" w:lineRule="auto"/>
    </w:pPr>
  </w:style>
  <w:style w:type="paragraph" w:customStyle="1" w:styleId="3454DBDAA08E4AA997D2EE376F3F81AD">
    <w:name w:val="3454DBDAA08E4AA997D2EE376F3F81AD"/>
    <w:rsid w:val="00161703"/>
  </w:style>
  <w:style w:type="paragraph" w:customStyle="1" w:styleId="3D859102B2204DACA157C3CD1B6784A8">
    <w:name w:val="3D859102B2204DACA157C3CD1B6784A8"/>
    <w:rsid w:val="00161703"/>
  </w:style>
  <w:style w:type="paragraph" w:customStyle="1" w:styleId="51AED4E318604104BA828D0A508BD638">
    <w:name w:val="51AED4E318604104BA828D0A508BD638"/>
    <w:rsid w:val="00591C27"/>
  </w:style>
  <w:style w:type="paragraph" w:customStyle="1" w:styleId="FEC58C2AA59C4B41B1385AB8263A38D8">
    <w:name w:val="FEC58C2AA59C4B41B1385AB8263A38D8"/>
    <w:rsid w:val="00591C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3918D-142C-4045-9198-0ADCAF379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2516</TotalTime>
  <Pages>58</Pages>
  <Words>23262</Words>
  <Characters>127947</Characters>
  <Application>Microsoft Office Word</Application>
  <DocSecurity>0</DocSecurity>
  <Lines>1066</Lines>
  <Paragraphs>301</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150908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DURAN SUAREZ</dc:creator>
  <cp:lastModifiedBy>SEFIPLAN</cp:lastModifiedBy>
  <cp:revision>63</cp:revision>
  <cp:lastPrinted>2025-04-16T14:25:00Z</cp:lastPrinted>
  <dcterms:created xsi:type="dcterms:W3CDTF">2025-04-07T14:09:00Z</dcterms:created>
  <dcterms:modified xsi:type="dcterms:W3CDTF">2025-07-07T21:19:00Z</dcterms:modified>
</cp:coreProperties>
</file>